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bidi w:val="0"/>
        <w:jc w:val="center"/>
        <w:rPr>
          <w:rFonts w:hint="eastAsia" w:ascii="方正小标宋简体" w:hAnsi="方正小标宋简体" w:eastAsia="方正小标宋简体" w:cs="方正小标宋简体"/>
          <w:b/>
          <w:bCs/>
          <w:sz w:val="72"/>
          <w:szCs w:val="72"/>
        </w:rPr>
      </w:pPr>
      <w:bookmarkStart w:id="1" w:name="_Toc15396475"/>
      <w:bookmarkStart w:id="2" w:name="_Toc15377193"/>
      <w:bookmarkStart w:id="3" w:name="_Toc15396597"/>
      <w:bookmarkStart w:id="4" w:name="_Toc15378441"/>
      <w:bookmarkStart w:id="5" w:name="_Toc15377425"/>
      <w:r>
        <w:rPr>
          <w:rFonts w:hint="eastAsia" w:ascii="方正小标宋简体" w:hAnsi="方正小标宋简体" w:eastAsia="方正小标宋简体" w:cs="方正小标宋简体"/>
          <w:b/>
          <w:bCs/>
          <w:sz w:val="72"/>
          <w:szCs w:val="72"/>
        </w:rPr>
        <w:t>2019年度</w:t>
      </w:r>
      <w:bookmarkEnd w:id="1"/>
      <w:bookmarkEnd w:id="2"/>
      <w:bookmarkEnd w:id="3"/>
      <w:bookmarkEnd w:id="4"/>
      <w:bookmarkEnd w:id="5"/>
    </w:p>
    <w:p>
      <w:pPr>
        <w:bidi w:val="0"/>
        <w:jc w:val="center"/>
        <w:rPr>
          <w:rFonts w:ascii="方正小标宋简体" w:hAnsi="宋体" w:eastAsia="方正小标宋简体"/>
          <w:color w:val="000000"/>
          <w:szCs w:val="72"/>
        </w:rPr>
      </w:pPr>
      <w:bookmarkStart w:id="6" w:name="_Toc15378442"/>
      <w:bookmarkStart w:id="7" w:name="_Toc15396598"/>
      <w:bookmarkStart w:id="8" w:name="_Toc15377194"/>
      <w:bookmarkStart w:id="9" w:name="_Toc15377426"/>
      <w:bookmarkStart w:id="10" w:name="_Toc15396476"/>
      <w:r>
        <w:rPr>
          <w:rFonts w:hint="eastAsia" w:ascii="方正小标宋简体" w:hAnsi="方正小标宋简体" w:eastAsia="方正小标宋简体" w:cs="方正小标宋简体"/>
          <w:b/>
          <w:bCs/>
          <w:sz w:val="72"/>
          <w:szCs w:val="72"/>
        </w:rPr>
        <w:t>四川省</w:t>
      </w:r>
      <w:r>
        <w:rPr>
          <w:rFonts w:hint="eastAsia" w:ascii="方正小标宋简体" w:hAnsi="方正小标宋简体" w:eastAsia="方正小标宋简体" w:cs="方正小标宋简体"/>
          <w:b/>
          <w:bCs/>
          <w:sz w:val="72"/>
          <w:szCs w:val="72"/>
          <w:lang w:eastAsia="zh-CN"/>
        </w:rPr>
        <w:t>商务厅</w:t>
      </w:r>
      <w:bookmarkEnd w:id="0"/>
      <w:bookmarkStart w:id="11" w:name="_Toc15306268"/>
      <w:r>
        <w:rPr>
          <w:rFonts w:hint="eastAsia" w:ascii="方正小标宋简体" w:hAnsi="方正小标宋简体" w:eastAsia="方正小标宋简体" w:cs="方正小标宋简体"/>
          <w:b/>
          <w:bCs/>
          <w:sz w:val="72"/>
          <w:szCs w:val="72"/>
        </w:rPr>
        <w:t>部门决算</w:t>
      </w:r>
      <w:bookmarkEnd w:id="6"/>
      <w:bookmarkEnd w:id="7"/>
      <w:bookmarkEnd w:id="8"/>
      <w:bookmarkEnd w:id="9"/>
      <w:bookmarkEnd w:id="10"/>
      <w:bookmarkEnd w:id="11"/>
    </w:p>
    <w:p>
      <w:pPr>
        <w:pStyle w:val="10"/>
      </w:pPr>
      <w:r>
        <w:rPr>
          <w:rFonts w:ascii="方正小标宋简体" w:hAnsi="宋体" w:eastAsia="方正小标宋简体"/>
          <w:color w:val="000000"/>
          <w:sz w:val="36"/>
          <w:szCs w:val="36"/>
        </w:rPr>
        <w:br w:type="page"/>
      </w:r>
    </w:p>
    <w:p>
      <w:pPr>
        <w:widowControl/>
        <w:spacing w:line="440" w:lineRule="exact"/>
        <w:jc w:val="left"/>
      </w:pPr>
    </w:p>
    <w:sdt>
      <w:sdtPr>
        <w:rPr>
          <w:rFonts w:ascii="宋体" w:hAnsi="宋体" w:eastAsia="宋体" w:cs="Times New Roman"/>
          <w:kern w:val="2"/>
          <w:sz w:val="21"/>
          <w:szCs w:val="24"/>
          <w:lang w:val="en-US" w:eastAsia="zh-CN" w:bidi="ar-SA"/>
        </w:rPr>
        <w:id w:val="147479553"/>
        <w15:color w:val="DBDBDB"/>
        <w:docPartObj>
          <w:docPartGallery w:val="Table of Contents"/>
          <w:docPartUnique/>
        </w:docPartObj>
      </w:sdtPr>
      <w:sdtEndPr>
        <w:rPr>
          <w:rFonts w:ascii="仿宋" w:hAnsi="仿宋" w:eastAsia="仿宋" w:cs="Times New Roman"/>
          <w:b/>
          <w:color w:val="auto"/>
          <w:kern w:val="2"/>
          <w:sz w:val="21"/>
          <w:szCs w:val="24"/>
          <w:u w:val="none"/>
          <w:lang w:val="en-US" w:eastAsia="zh-CN" w:bidi="ar-SA"/>
        </w:rPr>
      </w:sdtEndPr>
      <w:sdtContent>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pStyle w:val="10"/>
          </w:pPr>
          <w:r>
            <w:rPr>
              <w:rFonts w:hint="eastAsia"/>
            </w:rPr>
            <w:t>公开时间：2020年9月3日</w:t>
          </w:r>
        </w:p>
        <w:p>
          <w:pPr>
            <w:widowControl/>
            <w:spacing w:line="440" w:lineRule="exact"/>
            <w:jc w:val="left"/>
          </w:pPr>
        </w:p>
        <w:p>
          <w:pPr>
            <w:pStyle w:val="43"/>
            <w:tabs>
              <w:tab w:val="right" w:leader="dot" w:pos="8306"/>
            </w:tabs>
            <w:rPr>
              <w:b/>
            </w:rPr>
          </w:pPr>
          <w:r>
            <w:rPr>
              <w:rFonts w:ascii="仿宋" w:hAnsi="仿宋" w:eastAsia="仿宋"/>
              <w:b/>
              <w:color w:val="auto"/>
              <w:sz w:val="24"/>
              <w:u w:val="none"/>
            </w:rPr>
            <w:fldChar w:fldCharType="begin"/>
          </w:r>
          <w:r>
            <w:rPr>
              <w:rFonts w:ascii="仿宋" w:hAnsi="仿宋" w:eastAsia="仿宋"/>
              <w:b/>
              <w:color w:val="auto"/>
              <w:sz w:val="24"/>
              <w:u w:val="none"/>
            </w:rPr>
            <w:instrText xml:space="preserve">TOC \o "1-2" \h \u </w:instrText>
          </w:r>
          <w:r>
            <w:rPr>
              <w:rFonts w:ascii="仿宋" w:hAnsi="仿宋" w:eastAsia="仿宋"/>
              <w:b/>
              <w:color w:val="auto"/>
              <w:sz w:val="24"/>
              <w:u w:val="none"/>
            </w:rPr>
            <w:fldChar w:fldCharType="separate"/>
          </w:r>
          <w:r>
            <w:rPr>
              <w:rFonts w:ascii="仿宋" w:hAnsi="仿宋" w:eastAsia="仿宋"/>
              <w:b/>
              <w:color w:val="auto"/>
              <w:u w:val="none"/>
            </w:rPr>
            <w:fldChar w:fldCharType="begin"/>
          </w:r>
          <w:r>
            <w:rPr>
              <w:rFonts w:ascii="仿宋" w:hAnsi="仿宋" w:eastAsia="仿宋"/>
              <w:b/>
            </w:rPr>
            <w:instrText xml:space="preserve"> HYPERLINK \l _Toc434 </w:instrText>
          </w:r>
          <w:r>
            <w:rPr>
              <w:rFonts w:ascii="仿宋" w:hAnsi="仿宋" w:eastAsia="仿宋"/>
              <w:b/>
            </w:rPr>
            <w:fldChar w:fldCharType="separate"/>
          </w:r>
          <w:r>
            <w:rPr>
              <w:rFonts w:hint="eastAsia" w:ascii="黑体" w:hAnsi="黑体" w:eastAsia="黑体"/>
              <w:b/>
            </w:rPr>
            <w:t xml:space="preserve">第一部分 </w:t>
          </w:r>
          <w:r>
            <w:rPr>
              <w:rFonts w:hint="eastAsia" w:ascii="黑体" w:hAnsi="黑体" w:eastAsia="黑体"/>
              <w:b/>
              <w:bCs w:val="0"/>
            </w:rPr>
            <w:t>部门概况</w:t>
          </w:r>
          <w:r>
            <w:rPr>
              <w:b/>
            </w:rPr>
            <w:tab/>
          </w:r>
          <w:r>
            <w:rPr>
              <w:b/>
            </w:rPr>
            <w:fldChar w:fldCharType="begin"/>
          </w:r>
          <w:r>
            <w:rPr>
              <w:b/>
            </w:rPr>
            <w:instrText xml:space="preserve"> PAGEREF _Toc434 </w:instrText>
          </w:r>
          <w:r>
            <w:rPr>
              <w:b/>
            </w:rPr>
            <w:fldChar w:fldCharType="separate"/>
          </w:r>
          <w:r>
            <w:rPr>
              <w:b/>
            </w:rPr>
            <w:t>3</w:t>
          </w:r>
          <w:r>
            <w:rPr>
              <w:b/>
            </w:rPr>
            <w:fldChar w:fldCharType="end"/>
          </w:r>
          <w:r>
            <w:rPr>
              <w:rFonts w:ascii="仿宋" w:hAnsi="仿宋" w:eastAsia="仿宋"/>
              <w:b/>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_Toc21861 </w:instrText>
          </w:r>
          <w:r>
            <w:rPr>
              <w:rFonts w:ascii="仿宋" w:hAnsi="仿宋" w:eastAsia="仿宋"/>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_Toc21861 </w:instrText>
          </w:r>
          <w:r>
            <w:fldChar w:fldCharType="separate"/>
          </w:r>
          <w:r>
            <w:t>3</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_Toc11069 </w:instrText>
          </w:r>
          <w:r>
            <w:rPr>
              <w:rFonts w:ascii="仿宋" w:hAnsi="仿宋" w:eastAsia="仿宋"/>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_Toc11069 </w:instrText>
          </w:r>
          <w:r>
            <w:fldChar w:fldCharType="separate"/>
          </w:r>
          <w:r>
            <w:t>7</w:t>
          </w:r>
          <w:r>
            <w:fldChar w:fldCharType="end"/>
          </w:r>
          <w:r>
            <w:rPr>
              <w:rFonts w:ascii="仿宋" w:hAnsi="仿宋" w:eastAsia="仿宋"/>
              <w:color w:val="auto"/>
              <w:u w:val="none"/>
            </w:rPr>
            <w:fldChar w:fldCharType="end"/>
          </w:r>
        </w:p>
        <w:p>
          <w:pPr>
            <w:pStyle w:val="43"/>
            <w:tabs>
              <w:tab w:val="right" w:leader="dot" w:pos="8306"/>
            </w:tabs>
            <w:rPr>
              <w:b/>
            </w:rPr>
          </w:pPr>
          <w:r>
            <w:rPr>
              <w:rFonts w:ascii="仿宋" w:hAnsi="仿宋" w:eastAsia="仿宋"/>
              <w:b/>
              <w:color w:val="auto"/>
              <w:u w:val="none"/>
            </w:rPr>
            <w:fldChar w:fldCharType="begin"/>
          </w:r>
          <w:r>
            <w:rPr>
              <w:rFonts w:ascii="仿宋" w:hAnsi="仿宋" w:eastAsia="仿宋"/>
              <w:b/>
            </w:rPr>
            <w:instrText xml:space="preserve"> HYPERLINK \l _Toc29134 </w:instrText>
          </w:r>
          <w:r>
            <w:rPr>
              <w:rFonts w:ascii="仿宋" w:hAnsi="仿宋" w:eastAsia="仿宋"/>
              <w:b/>
            </w:rPr>
            <w:fldChar w:fldCharType="separate"/>
          </w:r>
          <w:r>
            <w:rPr>
              <w:rFonts w:hint="eastAsia" w:ascii="黑体" w:hAnsi="黑体" w:eastAsia="黑体"/>
              <w:b/>
            </w:rPr>
            <w:t xml:space="preserve">第二部分 </w:t>
          </w:r>
          <w:r>
            <w:rPr>
              <w:rFonts w:hint="eastAsia" w:ascii="黑体" w:hAnsi="黑体" w:eastAsia="黑体"/>
              <w:b/>
              <w:bCs w:val="0"/>
            </w:rPr>
            <w:t>2019年度部门决算情况说明</w:t>
          </w:r>
          <w:r>
            <w:rPr>
              <w:b/>
            </w:rPr>
            <w:tab/>
          </w:r>
          <w:r>
            <w:rPr>
              <w:b/>
            </w:rPr>
            <w:fldChar w:fldCharType="begin"/>
          </w:r>
          <w:r>
            <w:rPr>
              <w:b/>
            </w:rPr>
            <w:instrText xml:space="preserve"> PAGEREF _Toc29134 </w:instrText>
          </w:r>
          <w:r>
            <w:rPr>
              <w:b/>
            </w:rPr>
            <w:fldChar w:fldCharType="separate"/>
          </w:r>
          <w:r>
            <w:rPr>
              <w:b/>
            </w:rPr>
            <w:t>8</w:t>
          </w:r>
          <w:r>
            <w:rPr>
              <w:b/>
            </w:rPr>
            <w:fldChar w:fldCharType="end"/>
          </w:r>
          <w:r>
            <w:rPr>
              <w:rFonts w:ascii="仿宋" w:hAnsi="仿宋" w:eastAsia="仿宋"/>
              <w:b/>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_Toc21756 </w:instrText>
          </w:r>
          <w:r>
            <w:rPr>
              <w:rFonts w:ascii="仿宋" w:hAnsi="仿宋" w:eastAsia="仿宋"/>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_Toc21756 </w:instrText>
          </w:r>
          <w:r>
            <w:fldChar w:fldCharType="separate"/>
          </w:r>
          <w:r>
            <w:t>8</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_Toc6460 </w:instrText>
          </w:r>
          <w:r>
            <w:rPr>
              <w:rFonts w:ascii="仿宋" w:hAnsi="仿宋" w:eastAsia="仿宋"/>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_Toc6460 </w:instrText>
          </w:r>
          <w:r>
            <w:fldChar w:fldCharType="separate"/>
          </w:r>
          <w:r>
            <w:t>8</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_Toc3022 </w:instrText>
          </w:r>
          <w:r>
            <w:rPr>
              <w:rFonts w:ascii="仿宋" w:hAnsi="仿宋" w:eastAsia="仿宋"/>
            </w:rP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_Toc3022 </w:instrText>
          </w:r>
          <w:r>
            <w:fldChar w:fldCharType="separate"/>
          </w:r>
          <w:r>
            <w:t>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_Toc7191 </w:instrText>
          </w:r>
          <w:r>
            <w:rPr>
              <w:rFonts w:ascii="仿宋" w:hAnsi="仿宋" w:eastAsia="仿宋"/>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_Toc7191 </w:instrText>
          </w:r>
          <w:r>
            <w:fldChar w:fldCharType="separate"/>
          </w:r>
          <w:r>
            <w:t>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_Toc369 </w:instrText>
          </w:r>
          <w:r>
            <w:rPr>
              <w:rFonts w:ascii="仿宋" w:hAnsi="仿宋" w:eastAsia="仿宋"/>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_Toc369 </w:instrText>
          </w:r>
          <w:r>
            <w:fldChar w:fldCharType="separate"/>
          </w:r>
          <w:r>
            <w:t>10</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_Toc25647 </w:instrText>
          </w:r>
          <w:r>
            <w:rPr>
              <w:rFonts w:ascii="仿宋" w:hAnsi="仿宋" w:eastAsia="仿宋"/>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_Toc25647 </w:instrText>
          </w:r>
          <w:r>
            <w:fldChar w:fldCharType="separate"/>
          </w:r>
          <w:r>
            <w:t>15</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_Toc17217 </w:instrText>
          </w:r>
          <w:r>
            <w:rPr>
              <w:rFonts w:ascii="仿宋" w:hAnsi="仿宋" w:eastAsia="仿宋"/>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_Toc17217 </w:instrText>
          </w:r>
          <w:r>
            <w:fldChar w:fldCharType="separate"/>
          </w:r>
          <w:r>
            <w:t>15</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_Toc4378 </w:instrText>
          </w:r>
          <w:r>
            <w:rPr>
              <w:rFonts w:ascii="仿宋" w:hAnsi="仿宋" w:eastAsia="仿宋"/>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_Toc4378 </w:instrText>
          </w:r>
          <w:r>
            <w:fldChar w:fldCharType="separate"/>
          </w:r>
          <w:r>
            <w:t>18</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_Toc9110 </w:instrText>
          </w:r>
          <w:r>
            <w:rPr>
              <w:rFonts w:ascii="仿宋" w:hAnsi="仿宋" w:eastAsia="仿宋"/>
            </w:rPr>
            <w:fldChar w:fldCharType="separate"/>
          </w:r>
          <w:r>
            <w:rPr>
              <w:rFonts w:hint="eastAsia" w:ascii="黑体" w:hAnsi="黑体" w:eastAsia="黑体"/>
            </w:rPr>
            <w:t>九、 国有资本经营预算支出决算情况说明</w:t>
          </w:r>
          <w:r>
            <w:tab/>
          </w:r>
          <w:r>
            <w:fldChar w:fldCharType="begin"/>
          </w:r>
          <w:r>
            <w:instrText xml:space="preserve"> PAGEREF _Toc9110 </w:instrText>
          </w:r>
          <w:r>
            <w:fldChar w:fldCharType="separate"/>
          </w:r>
          <w:r>
            <w:t>18</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_Toc125 </w:instrText>
          </w:r>
          <w:r>
            <w:rPr>
              <w:rFonts w:ascii="仿宋" w:hAnsi="仿宋" w:eastAsia="仿宋"/>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_Toc125 </w:instrText>
          </w:r>
          <w:r>
            <w:fldChar w:fldCharType="separate"/>
          </w:r>
          <w:r>
            <w:t>18</w:t>
          </w:r>
          <w:r>
            <w:fldChar w:fldCharType="end"/>
          </w:r>
          <w:r>
            <w:rPr>
              <w:rFonts w:ascii="仿宋" w:hAnsi="仿宋" w:eastAsia="仿宋"/>
              <w:color w:val="auto"/>
              <w:u w:val="none"/>
            </w:rPr>
            <w:fldChar w:fldCharType="end"/>
          </w:r>
        </w:p>
        <w:p>
          <w:pPr>
            <w:pStyle w:val="43"/>
            <w:tabs>
              <w:tab w:val="right" w:leader="dot" w:pos="8306"/>
            </w:tabs>
            <w:rPr>
              <w:b/>
            </w:rPr>
          </w:pPr>
          <w:r>
            <w:rPr>
              <w:rFonts w:ascii="仿宋" w:hAnsi="仿宋" w:eastAsia="仿宋"/>
              <w:b/>
              <w:color w:val="auto"/>
              <w:u w:val="none"/>
            </w:rPr>
            <w:fldChar w:fldCharType="begin"/>
          </w:r>
          <w:r>
            <w:rPr>
              <w:rFonts w:ascii="仿宋" w:hAnsi="仿宋" w:eastAsia="仿宋"/>
              <w:b/>
            </w:rPr>
            <w:instrText xml:space="preserve"> HYPERLINK \l _Toc21353 </w:instrText>
          </w:r>
          <w:r>
            <w:rPr>
              <w:rFonts w:ascii="仿宋" w:hAnsi="仿宋" w:eastAsia="仿宋"/>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_Toc21353 </w:instrText>
          </w:r>
          <w:r>
            <w:rPr>
              <w:b/>
            </w:rPr>
            <w:fldChar w:fldCharType="separate"/>
          </w:r>
          <w:r>
            <w:rPr>
              <w:b/>
            </w:rPr>
            <w:t>29</w:t>
          </w:r>
          <w:r>
            <w:rPr>
              <w:b/>
            </w:rPr>
            <w:fldChar w:fldCharType="end"/>
          </w:r>
          <w:r>
            <w:rPr>
              <w:rFonts w:ascii="仿宋" w:hAnsi="仿宋" w:eastAsia="仿宋"/>
              <w:b/>
              <w:color w:val="auto"/>
              <w:u w:val="none"/>
            </w:rPr>
            <w:fldChar w:fldCharType="end"/>
          </w:r>
        </w:p>
        <w:p>
          <w:pPr>
            <w:pStyle w:val="43"/>
            <w:tabs>
              <w:tab w:val="right" w:leader="dot" w:pos="8306"/>
            </w:tabs>
            <w:rPr>
              <w:b/>
            </w:rPr>
          </w:pPr>
          <w:r>
            <w:rPr>
              <w:rFonts w:ascii="仿宋" w:hAnsi="仿宋" w:eastAsia="仿宋"/>
              <w:b/>
              <w:color w:val="auto"/>
              <w:u w:val="none"/>
            </w:rPr>
            <w:fldChar w:fldCharType="begin"/>
          </w:r>
          <w:r>
            <w:rPr>
              <w:rFonts w:ascii="仿宋" w:hAnsi="仿宋" w:eastAsia="仿宋"/>
              <w:b/>
            </w:rPr>
            <w:instrText xml:space="preserve"> HYPERLINK \l _Toc27053 </w:instrText>
          </w:r>
          <w:r>
            <w:rPr>
              <w:rFonts w:ascii="仿宋" w:hAnsi="仿宋" w:eastAsia="仿宋"/>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_Toc27053 </w:instrText>
          </w:r>
          <w:r>
            <w:rPr>
              <w:b/>
            </w:rPr>
            <w:fldChar w:fldCharType="separate"/>
          </w:r>
          <w:r>
            <w:rPr>
              <w:b/>
            </w:rPr>
            <w:t>34</w:t>
          </w:r>
          <w:r>
            <w:rPr>
              <w:b/>
            </w:rPr>
            <w:fldChar w:fldCharType="end"/>
          </w:r>
          <w:r>
            <w:rPr>
              <w:rFonts w:ascii="仿宋" w:hAnsi="仿宋" w:eastAsia="仿宋"/>
              <w:b/>
              <w:color w:val="auto"/>
              <w:u w:val="none"/>
            </w:rPr>
            <w:fldChar w:fldCharType="end"/>
          </w:r>
        </w:p>
        <w:p>
          <w:pPr>
            <w:pStyle w:val="43"/>
            <w:tabs>
              <w:tab w:val="right" w:leader="dot" w:pos="8306"/>
            </w:tabs>
            <w:rPr>
              <w:b/>
            </w:rPr>
          </w:pPr>
          <w:r>
            <w:rPr>
              <w:rFonts w:ascii="仿宋" w:hAnsi="仿宋" w:eastAsia="仿宋"/>
              <w:b/>
              <w:color w:val="auto"/>
              <w:u w:val="none"/>
            </w:rPr>
            <w:fldChar w:fldCharType="begin"/>
          </w:r>
          <w:r>
            <w:rPr>
              <w:rFonts w:ascii="仿宋" w:hAnsi="仿宋" w:eastAsia="仿宋"/>
              <w:b/>
            </w:rPr>
            <w:instrText xml:space="preserve"> HYPERLINK \l _Toc22007 </w:instrText>
          </w:r>
          <w:r>
            <w:rPr>
              <w:rFonts w:ascii="仿宋" w:hAnsi="仿宋" w:eastAsia="仿宋"/>
              <w:b/>
            </w:rPr>
            <w:fldChar w:fldCharType="separate"/>
          </w:r>
          <w:r>
            <w:rPr>
              <w:rFonts w:hint="eastAsia" w:ascii="黑体" w:hAnsi="黑体" w:eastAsia="黑体" w:cs="黑体"/>
              <w:b/>
              <w:szCs w:val="32"/>
            </w:rPr>
            <w:t>附件1</w:t>
          </w:r>
          <w:r>
            <w:rPr>
              <w:b/>
            </w:rPr>
            <w:tab/>
          </w:r>
          <w:r>
            <w:rPr>
              <w:b/>
            </w:rPr>
            <w:fldChar w:fldCharType="begin"/>
          </w:r>
          <w:r>
            <w:rPr>
              <w:b/>
            </w:rPr>
            <w:instrText xml:space="preserve"> PAGEREF _Toc22007 </w:instrText>
          </w:r>
          <w:r>
            <w:rPr>
              <w:b/>
            </w:rPr>
            <w:fldChar w:fldCharType="separate"/>
          </w:r>
          <w:r>
            <w:rPr>
              <w:b/>
            </w:rPr>
            <w:t>34</w:t>
          </w:r>
          <w:r>
            <w:rPr>
              <w:b/>
            </w:rPr>
            <w:fldChar w:fldCharType="end"/>
          </w:r>
          <w:r>
            <w:rPr>
              <w:rFonts w:ascii="仿宋" w:hAnsi="仿宋" w:eastAsia="仿宋"/>
              <w:b/>
              <w:color w:val="auto"/>
              <w:u w:val="none"/>
            </w:rPr>
            <w:fldChar w:fldCharType="end"/>
          </w:r>
        </w:p>
        <w:p>
          <w:pPr>
            <w:pStyle w:val="43"/>
            <w:tabs>
              <w:tab w:val="right" w:leader="dot" w:pos="8306"/>
            </w:tabs>
            <w:rPr>
              <w:b/>
            </w:rPr>
          </w:pPr>
          <w:r>
            <w:rPr>
              <w:rFonts w:ascii="仿宋" w:hAnsi="仿宋" w:eastAsia="仿宋"/>
              <w:b/>
              <w:color w:val="auto"/>
              <w:u w:val="none"/>
            </w:rPr>
            <w:fldChar w:fldCharType="begin"/>
          </w:r>
          <w:r>
            <w:rPr>
              <w:rFonts w:ascii="仿宋" w:hAnsi="仿宋" w:eastAsia="仿宋"/>
              <w:b/>
            </w:rPr>
            <w:instrText xml:space="preserve"> HYPERLINK \l _Toc12107 </w:instrText>
          </w:r>
          <w:r>
            <w:rPr>
              <w:rFonts w:ascii="仿宋" w:hAnsi="仿宋" w:eastAsia="仿宋"/>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_Toc12107 </w:instrText>
          </w:r>
          <w:r>
            <w:rPr>
              <w:b/>
            </w:rPr>
            <w:fldChar w:fldCharType="separate"/>
          </w:r>
          <w:r>
            <w:rPr>
              <w:b/>
            </w:rPr>
            <w:t>39</w:t>
          </w:r>
          <w:r>
            <w:rPr>
              <w:b/>
            </w:rPr>
            <w:fldChar w:fldCharType="end"/>
          </w:r>
          <w:r>
            <w:rPr>
              <w:rFonts w:ascii="仿宋" w:hAnsi="仿宋" w:eastAsia="仿宋"/>
              <w:b/>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_Toc1637 </w:instrText>
          </w:r>
          <w:r>
            <w:rPr>
              <w:rFonts w:ascii="仿宋" w:hAnsi="仿宋" w:eastAsia="仿宋"/>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_Toc1637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_Toc24262 </w:instrText>
          </w:r>
          <w:r>
            <w:rPr>
              <w:rFonts w:ascii="仿宋" w:hAnsi="仿宋" w:eastAsia="仿宋"/>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_Toc24262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_Toc26561 </w:instrText>
          </w:r>
          <w:r>
            <w:rPr>
              <w:rFonts w:ascii="仿宋" w:hAnsi="仿宋" w:eastAsia="仿宋"/>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_Toc26561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_Toc21739 </w:instrText>
          </w:r>
          <w:r>
            <w:rPr>
              <w:rFonts w:ascii="仿宋" w:hAnsi="仿宋" w:eastAsia="仿宋"/>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_Toc21739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_Toc31185 </w:instrText>
          </w:r>
          <w:r>
            <w:rPr>
              <w:rFonts w:ascii="仿宋" w:hAnsi="仿宋" w:eastAsia="仿宋"/>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_Toc31185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_Toc30692 </w:instrText>
          </w:r>
          <w:r>
            <w:rPr>
              <w:rFonts w:ascii="仿宋" w:hAnsi="仿宋" w:eastAsia="仿宋"/>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_Toc30692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_Toc24972 </w:instrText>
          </w:r>
          <w:r>
            <w:rPr>
              <w:rFonts w:ascii="仿宋" w:hAnsi="仿宋" w:eastAsia="仿宋"/>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_Toc24972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_Toc14941 </w:instrText>
          </w:r>
          <w:r>
            <w:rPr>
              <w:rFonts w:ascii="仿宋" w:hAnsi="仿宋" w:eastAsia="仿宋"/>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_Toc14941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_Toc27193 </w:instrText>
          </w:r>
          <w:r>
            <w:rPr>
              <w:rFonts w:ascii="仿宋" w:hAnsi="仿宋" w:eastAsia="仿宋"/>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_Toc27193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_Toc30890 </w:instrText>
          </w:r>
          <w:r>
            <w:rPr>
              <w:rFonts w:ascii="仿宋" w:hAnsi="仿宋" w:eastAsia="仿宋"/>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_Toc30890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_Toc19577 </w:instrText>
          </w:r>
          <w:r>
            <w:rPr>
              <w:rFonts w:ascii="仿宋" w:hAnsi="仿宋" w:eastAsia="仿宋"/>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_Toc19577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_Toc2070 </w:instrText>
          </w:r>
          <w:r>
            <w:rPr>
              <w:rFonts w:ascii="仿宋" w:hAnsi="仿宋" w:eastAsia="仿宋"/>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_Toc2070 </w:instrText>
          </w:r>
          <w:r>
            <w:fldChar w:fldCharType="separate"/>
          </w:r>
          <w:r>
            <w:t>39</w:t>
          </w:r>
          <w:r>
            <w:fldChar w:fldCharType="end"/>
          </w:r>
          <w:r>
            <w:rPr>
              <w:rFonts w:ascii="仿宋" w:hAnsi="仿宋" w:eastAsia="仿宋"/>
              <w:color w:val="auto"/>
              <w:u w:val="none"/>
            </w:rPr>
            <w:fldChar w:fldCharType="end"/>
          </w:r>
        </w:p>
        <w:p>
          <w:pPr>
            <w:pStyle w:val="44"/>
            <w:tabs>
              <w:tab w:val="right" w:leader="dot" w:pos="8306"/>
            </w:tabs>
          </w:pPr>
          <w:r>
            <w:rPr>
              <w:rFonts w:ascii="仿宋" w:hAnsi="仿宋" w:eastAsia="仿宋"/>
              <w:color w:val="auto"/>
              <w:u w:val="none"/>
            </w:rPr>
            <w:fldChar w:fldCharType="begin"/>
          </w:r>
          <w:r>
            <w:rPr>
              <w:rFonts w:ascii="仿宋" w:hAnsi="仿宋" w:eastAsia="仿宋"/>
            </w:rPr>
            <w:instrText xml:space="preserve"> HYPERLINK \l _Toc21203 </w:instrText>
          </w:r>
          <w:r>
            <w:rPr>
              <w:rFonts w:ascii="仿宋" w:hAnsi="仿宋" w:eastAsia="仿宋"/>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有资本经营预算支出决算表</w:t>
          </w:r>
          <w:r>
            <w:tab/>
          </w:r>
          <w:r>
            <w:fldChar w:fldCharType="begin"/>
          </w:r>
          <w:r>
            <w:instrText xml:space="preserve"> PAGEREF _Toc21203 </w:instrText>
          </w:r>
          <w:r>
            <w:fldChar w:fldCharType="separate"/>
          </w:r>
          <w:r>
            <w:t>39</w:t>
          </w:r>
          <w:r>
            <w:fldChar w:fldCharType="end"/>
          </w:r>
          <w:r>
            <w:rPr>
              <w:rFonts w:ascii="仿宋" w:hAnsi="仿宋" w:eastAsia="仿宋"/>
              <w:color w:val="auto"/>
              <w:u w:val="none"/>
            </w:rPr>
            <w:fldChar w:fldCharType="end"/>
          </w:r>
        </w:p>
        <w:p>
          <w:pPr>
            <w:widowControl/>
            <w:spacing w:line="440" w:lineRule="exact"/>
            <w:jc w:val="left"/>
            <w:rPr>
              <w:rFonts w:ascii="仿宋" w:hAnsi="仿宋" w:eastAsia="仿宋"/>
              <w:b/>
              <w:color w:val="auto"/>
              <w:sz w:val="24"/>
              <w:u w:val="none"/>
            </w:rPr>
          </w:pPr>
          <w:r>
            <w:rPr>
              <w:rFonts w:ascii="仿宋" w:hAnsi="仿宋" w:eastAsia="仿宋"/>
              <w:b/>
              <w:color w:val="auto"/>
              <w:u w:val="none"/>
            </w:rPr>
            <w:fldChar w:fldCharType="end"/>
          </w:r>
        </w:p>
      </w:sdtContent>
    </w:sdt>
    <w:p>
      <w:pPr>
        <w:pStyle w:val="2"/>
        <w:jc w:val="center"/>
        <w:rPr>
          <w:rStyle w:val="25"/>
          <w:rFonts w:ascii="黑体" w:hAnsi="黑体" w:eastAsia="黑体"/>
          <w:b/>
          <w:bCs w:val="0"/>
        </w:rPr>
      </w:pPr>
      <w:bookmarkStart w:id="12" w:name="_Toc434"/>
      <w:r>
        <w:rPr>
          <w:rFonts w:hint="eastAsia" w:ascii="黑体" w:hAnsi="黑体" w:eastAsia="黑体"/>
          <w:b w:val="0"/>
        </w:rPr>
        <w:t xml:space="preserve">第一部分 </w:t>
      </w:r>
      <w:r>
        <w:rPr>
          <w:rStyle w:val="25"/>
          <w:rFonts w:hint="eastAsia" w:ascii="黑体" w:hAnsi="黑体" w:eastAsia="黑体"/>
          <w:b w:val="0"/>
          <w:bCs w:val="0"/>
        </w:rPr>
        <w:t>部门概况</w:t>
      </w:r>
      <w:bookmarkEnd w:id="12"/>
    </w:p>
    <w:p>
      <w:pPr>
        <w:widowControl/>
        <w:jc w:val="left"/>
        <w:rPr>
          <w:rFonts w:ascii="黑体" w:eastAsia="黑体"/>
          <w:color w:val="000000"/>
          <w:sz w:val="32"/>
          <w:szCs w:val="32"/>
        </w:rPr>
      </w:pPr>
    </w:p>
    <w:p>
      <w:pPr>
        <w:pStyle w:val="3"/>
        <w:rPr>
          <w:rStyle w:val="26"/>
          <w:rFonts w:ascii="仿宋" w:hAnsi="仿宋" w:eastAsia="仿宋"/>
          <w:b w:val="0"/>
          <w:bCs w:val="0"/>
        </w:rPr>
      </w:pPr>
      <w:bookmarkStart w:id="13" w:name="_Toc15377197"/>
      <w:bookmarkStart w:id="14" w:name="_Toc15396600"/>
      <w:bookmarkStart w:id="15" w:name="_Toc21861"/>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3"/>
      <w:bookmarkEnd w:id="14"/>
      <w:bookmarkEnd w:id="15"/>
    </w:p>
    <w:p>
      <w:pPr>
        <w:adjustRightInd w:val="0"/>
        <w:spacing w:line="580" w:lineRule="exact"/>
        <w:ind w:firstLine="672" w:firstLineChars="210"/>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adjustRightInd w:val="0"/>
        <w:spacing w:line="580" w:lineRule="exact"/>
        <w:ind w:firstLine="672" w:firstLineChars="210"/>
        <w:rPr>
          <w:rFonts w:ascii="仿宋" w:hAnsi="仿宋" w:eastAsia="仿宋"/>
          <w:bCs/>
          <w:color w:val="000000"/>
          <w:sz w:val="32"/>
          <w:szCs w:val="32"/>
        </w:rPr>
      </w:pPr>
      <w:r>
        <w:rPr>
          <w:rFonts w:hint="eastAsia" w:ascii="仿宋_GB2312" w:eastAsia="仿宋_GB2312"/>
          <w:sz w:val="32"/>
          <w:szCs w:val="32"/>
        </w:rPr>
        <w:t>1.贯彻落实国家有关国内外贸易、外商投资和国际经济合作的法律、法规和方针、政策，拟订全省国内外贸易、外商投资和对外经济合作的法规、规章和实施细则，制订全省商务发展规划、计划并组织实施。</w:t>
      </w:r>
      <w:r>
        <w:rPr>
          <w:rFonts w:hint="eastAsia" w:ascii="仿宋_GB2312" w:eastAsia="仿宋_GB2312"/>
          <w:sz w:val="32"/>
          <w:szCs w:val="32"/>
        </w:rPr>
        <w:br w:type="textWrapping"/>
      </w:r>
      <w:r>
        <w:rPr>
          <w:rFonts w:hint="eastAsia" w:ascii="仿宋_GB2312" w:eastAsia="仿宋_GB2312"/>
          <w:sz w:val="32"/>
          <w:szCs w:val="32"/>
        </w:rPr>
        <w:t>　　2.按要求承担全省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r>
        <w:rPr>
          <w:rFonts w:hint="eastAsia" w:ascii="仿宋_GB2312" w:eastAsia="仿宋_GB2312"/>
          <w:sz w:val="32"/>
          <w:szCs w:val="32"/>
        </w:rPr>
        <w:br w:type="textWrapping"/>
      </w:r>
      <w:r>
        <w:rPr>
          <w:rFonts w:hint="eastAsia" w:ascii="仿宋_GB2312" w:eastAsia="仿宋_GB2312"/>
          <w:sz w:val="32"/>
          <w:szCs w:val="32"/>
        </w:rPr>
        <w:t>　　3.研究提出引导国内外资金投向市场体系建设的政策，编制大宗产品批发市场规划，指导城市商业网点规划和商业体系建设工作，推进农村市场体系建设，组织实施农村现代流通网络工程，促进城乡市场一体化发展。</w:t>
      </w:r>
      <w:r>
        <w:rPr>
          <w:rFonts w:hint="eastAsia" w:ascii="仿宋_GB2312" w:eastAsia="仿宋_GB2312"/>
          <w:sz w:val="32"/>
          <w:szCs w:val="32"/>
        </w:rPr>
        <w:br w:type="textWrapping"/>
      </w:r>
      <w:r>
        <w:rPr>
          <w:rFonts w:hint="eastAsia" w:ascii="仿宋_GB2312" w:eastAsia="仿宋_GB2312"/>
          <w:sz w:val="32"/>
          <w:szCs w:val="32"/>
        </w:rPr>
        <w:t>　　4.承担牵头协调全省整顿和规范市场经济秩序工作的责任，拟订规范市场运行和流通秩序的政策，推动商务领域信用建设，指导商业信用销售，建立市场诚信公共服务平台，按有关规定对特殊流通行业进行监督管理。 </w:t>
      </w:r>
      <w:r>
        <w:rPr>
          <w:rFonts w:hint="eastAsia" w:ascii="仿宋_GB2312" w:eastAsia="仿宋_GB2312"/>
          <w:sz w:val="32"/>
          <w:szCs w:val="32"/>
        </w:rPr>
        <w:br w:type="textWrapping"/>
      </w:r>
      <w:r>
        <w:rPr>
          <w:rFonts w:hint="eastAsia" w:ascii="仿宋_GB2312" w:eastAsia="仿宋_GB2312"/>
          <w:sz w:val="32"/>
          <w:szCs w:val="32"/>
        </w:rPr>
        <w:t>　　5.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r>
        <w:rPr>
          <w:rFonts w:hint="eastAsia" w:ascii="仿宋_GB2312" w:eastAsia="仿宋_GB2312"/>
          <w:sz w:val="32"/>
          <w:szCs w:val="32"/>
        </w:rPr>
        <w:br w:type="textWrapping"/>
      </w:r>
      <w:r>
        <w:rPr>
          <w:rFonts w:hint="eastAsia" w:ascii="仿宋_GB2312" w:eastAsia="仿宋_GB2312"/>
          <w:sz w:val="32"/>
          <w:szCs w:val="32"/>
        </w:rPr>
        <w:t>　　6.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r>
        <w:rPr>
          <w:rFonts w:hint="eastAsia" w:ascii="仿宋_GB2312" w:eastAsia="仿宋_GB2312"/>
          <w:sz w:val="32"/>
          <w:szCs w:val="32"/>
        </w:rPr>
        <w:br w:type="textWrapping"/>
      </w:r>
      <w:r>
        <w:rPr>
          <w:rFonts w:hint="eastAsia" w:ascii="仿宋_GB2312" w:eastAsia="仿宋_GB2312"/>
          <w:sz w:val="32"/>
          <w:szCs w:val="32"/>
        </w:rPr>
        <w:t>　　7.依法监督技术引进、设备进口、国家限制出口技术的工作，推进进出口贸易标准化工作，牵头负责发展服务贸易的相关工作，推动服务外包平台建设。</w:t>
      </w:r>
      <w:r>
        <w:rPr>
          <w:rFonts w:hint="eastAsia" w:ascii="仿宋_GB2312" w:eastAsia="仿宋_GB2312"/>
          <w:sz w:val="32"/>
          <w:szCs w:val="32"/>
        </w:rPr>
        <w:br w:type="textWrapping"/>
      </w:r>
      <w:r>
        <w:rPr>
          <w:rFonts w:hint="eastAsia" w:ascii="仿宋_GB2312" w:eastAsia="仿宋_GB2312"/>
          <w:sz w:val="32"/>
          <w:szCs w:val="32"/>
        </w:rPr>
        <w:t>　　8.拟订应对经济全球化、区域经济合作的对策措施，加强与自由贸易区、港澳台地区的商贸合作，推进贸易和投资便利化，负责外国和香港、澳门特别行政区及台湾地区常设驻川商务代表机构的管理。</w:t>
      </w:r>
      <w:r>
        <w:rPr>
          <w:rFonts w:hint="eastAsia" w:ascii="仿宋_GB2312" w:eastAsia="仿宋_GB2312"/>
          <w:sz w:val="32"/>
          <w:szCs w:val="32"/>
        </w:rPr>
        <w:br w:type="textWrapping"/>
      </w:r>
      <w:r>
        <w:rPr>
          <w:rFonts w:hint="eastAsia" w:ascii="仿宋_GB2312" w:eastAsia="仿宋_GB2312"/>
          <w:sz w:val="32"/>
          <w:szCs w:val="32"/>
        </w:rPr>
        <w:t>　　9.承担组织协调反倾销、反补贴、保障措施和技术性贸易壁垒等与进出口公平贸易相关工作的责任，建立进出口公平贸易预警机制，牵头开展对外贸易调查、产业损害调查，指导协调产业安全应对和国外对我省出口商品的反倾销、反补贴、保障措施的应诉工作。</w:t>
      </w:r>
      <w:r>
        <w:rPr>
          <w:rFonts w:hint="eastAsia" w:ascii="仿宋_GB2312" w:eastAsia="仿宋_GB2312"/>
          <w:sz w:val="32"/>
          <w:szCs w:val="32"/>
        </w:rPr>
        <w:br w:type="textWrapping"/>
      </w:r>
      <w:r>
        <w:rPr>
          <w:rFonts w:hint="eastAsia" w:ascii="仿宋_GB2312" w:eastAsia="仿宋_GB2312"/>
          <w:sz w:val="32"/>
          <w:szCs w:val="32"/>
        </w:rPr>
        <w:t>　　10.参与拟订外商投资地方性法规草案、政策措施、中长期规划和改革方案；指导协调省内国家级经开区和国（境）别产业园区工作；负责全省国际合作园区建设推进工作，指导国际合作园区的对外开放交流工作职责。</w:t>
      </w:r>
      <w:r>
        <w:rPr>
          <w:rFonts w:hint="eastAsia" w:ascii="仿宋_GB2312" w:eastAsia="仿宋_GB2312"/>
          <w:sz w:val="32"/>
          <w:szCs w:val="32"/>
        </w:rPr>
        <w:br w:type="textWrapping"/>
      </w:r>
      <w:r>
        <w:rPr>
          <w:rFonts w:hint="eastAsia" w:ascii="仿宋_GB2312" w:eastAsia="仿宋_GB2312"/>
          <w:sz w:val="32"/>
          <w:szCs w:val="32"/>
        </w:rPr>
        <w:t>　　11.负责全省对外经济合作工作，拟订并执行对外经济合作政策，依法管理和监督对外承包工程、对外劳务合作和出境就业等，承担境外投资管理的责任，牵头负责外派劳务和赴境外就业人员的权益保护工作，组织管理我省承担的国家对外援助任务，管理多双边对我省的无偿援助和赠款（不含财政合作项目下外国政府及国际金融组织对我省赠款）等发展合作业务。</w:t>
      </w:r>
      <w:r>
        <w:rPr>
          <w:rFonts w:hint="eastAsia" w:ascii="仿宋_GB2312" w:eastAsia="仿宋_GB2312"/>
          <w:sz w:val="32"/>
          <w:szCs w:val="32"/>
        </w:rPr>
        <w:br w:type="textWrapping"/>
      </w:r>
      <w:r>
        <w:rPr>
          <w:rFonts w:hint="eastAsia" w:ascii="仿宋_GB2312" w:eastAsia="仿宋_GB2312"/>
          <w:sz w:val="32"/>
          <w:szCs w:val="32"/>
        </w:rPr>
        <w:t>　　12.管理我省赴境外举办的各种商品交易和经贸推介活动，指导监督管理以四川省名义在境内举办的各种商贸交易会、展览会、展销会等活动。</w:t>
      </w:r>
      <w:r>
        <w:rPr>
          <w:rFonts w:hint="eastAsia" w:ascii="仿宋_GB2312" w:eastAsia="仿宋_GB2312"/>
          <w:sz w:val="32"/>
          <w:szCs w:val="32"/>
        </w:rPr>
        <w:br w:type="textWrapping"/>
      </w:r>
      <w:r>
        <w:rPr>
          <w:rFonts w:hint="eastAsia" w:ascii="仿宋_GB2312" w:eastAsia="仿宋_GB2312"/>
          <w:sz w:val="32"/>
          <w:szCs w:val="32"/>
        </w:rPr>
        <w:t>　　13.规划全省商务系统电子政务、公共商务信息服务体系建设并组织实施，推动电子商务发展。</w:t>
      </w:r>
      <w:r>
        <w:rPr>
          <w:rFonts w:hint="eastAsia" w:ascii="仿宋_GB2312" w:eastAsia="仿宋_GB2312"/>
          <w:sz w:val="32"/>
          <w:szCs w:val="32"/>
        </w:rPr>
        <w:br w:type="textWrapping"/>
      </w:r>
      <w:r>
        <w:rPr>
          <w:rFonts w:hint="eastAsia" w:ascii="仿宋_GB2312" w:eastAsia="仿宋_GB2312"/>
          <w:sz w:val="32"/>
          <w:szCs w:val="32"/>
        </w:rPr>
        <w:t>　　14.贯彻执行国家有关中国(四川)自由贸易试验区建设的方针、政策、法律法规和制度;统筹研究中国(四川)自由贸易试验区(以下简称四川自贸试验区)法规和发展规划;研究制定四川自贸试验区综合改革、投资、贸易、金融、人才等政策措施并推动实施;统筹协调国家、省级相关部门及自由贸易试验区各片区事务;指导督查自由贸易试验区各片区改革任务、工作的落实;统计发布四川自贸试验区相关公共信息;承担四川自贸试验区推进工作领导小组日常工作。</w:t>
      </w:r>
      <w:r>
        <w:rPr>
          <w:rFonts w:hint="eastAsia" w:ascii="仿宋_GB2312" w:eastAsia="仿宋_GB2312"/>
          <w:sz w:val="32"/>
          <w:szCs w:val="32"/>
        </w:rPr>
        <w:br w:type="textWrapping"/>
      </w:r>
      <w:r>
        <w:rPr>
          <w:rFonts w:hint="eastAsia" w:ascii="仿宋_GB2312" w:eastAsia="仿宋_GB2312"/>
          <w:sz w:val="32"/>
          <w:szCs w:val="32"/>
        </w:rPr>
        <w:t>　　15.承担省政府公布的有关行政审批事项。</w:t>
      </w:r>
      <w:r>
        <w:rPr>
          <w:rFonts w:hint="eastAsia" w:ascii="仿宋_GB2312" w:eastAsia="仿宋_GB2312"/>
          <w:sz w:val="32"/>
          <w:szCs w:val="32"/>
        </w:rPr>
        <w:br w:type="textWrapping"/>
      </w:r>
      <w:r>
        <w:rPr>
          <w:rFonts w:hint="eastAsia" w:ascii="仿宋_GB2312" w:eastAsia="仿宋_GB2312"/>
          <w:sz w:val="32"/>
          <w:szCs w:val="32"/>
        </w:rPr>
        <w:t>　　16.承办省政府交办的其他事项。</w:t>
      </w:r>
    </w:p>
    <w:p>
      <w:pPr>
        <w:pStyle w:val="5"/>
        <w:adjustRightInd w:val="0"/>
        <w:snapToGrid w:val="0"/>
        <w:spacing w:before="93" w:line="600" w:lineRule="exact"/>
        <w:ind w:firstLine="672" w:firstLineChars="210"/>
        <w:outlineLvl w:val="2"/>
        <w:rPr>
          <w:rFonts w:eastAsia="仿宋_GB2312"/>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r>
        <w:rPr>
          <w:rFonts w:hint="eastAsia" w:ascii="仿宋" w:hAnsi="仿宋" w:eastAsia="仿宋"/>
          <w:bCs/>
          <w:color w:val="000000"/>
          <w:sz w:val="32"/>
          <w:szCs w:val="32"/>
          <w:lang w:val="en-US" w:eastAsia="zh-CN"/>
        </w:rPr>
        <w:t>2019</w:t>
      </w:r>
      <w:r>
        <w:rPr>
          <w:rFonts w:eastAsia="仿宋_GB2312"/>
          <w:sz w:val="32"/>
          <w:szCs w:val="32"/>
        </w:rPr>
        <w:t>年，面对国内外风险挑战明显上升的复杂局面，在省委、省政府的坚强领导下，全省商务系统认真开展“不忘初心、牢记使命”主题教育，牢牢把握稳中求进工作总基调，认真践行新发展理念，全力抓好“一促两稳”工作，担当作为、攻坚克难，主要指标均达到或超过“十三五”规划进度要求，商务运行稳中有进，高质量发展态势良好，为全省经济社会发展做出了积极贡献。</w:t>
      </w:r>
    </w:p>
    <w:p>
      <w:pPr>
        <w:pStyle w:val="5"/>
        <w:adjustRightInd w:val="0"/>
        <w:snapToGrid w:val="0"/>
        <w:spacing w:before="93" w:line="600" w:lineRule="exact"/>
        <w:ind w:firstLine="672" w:firstLineChars="210"/>
        <w:outlineLvl w:val="2"/>
        <w:rPr>
          <w:rFonts w:eastAsia="仿宋_GB2312"/>
          <w:sz w:val="32"/>
          <w:szCs w:val="32"/>
        </w:rPr>
      </w:pPr>
      <w:r>
        <w:rPr>
          <w:rFonts w:eastAsia="仿宋_GB2312"/>
          <w:sz w:val="32"/>
          <w:szCs w:val="32"/>
        </w:rPr>
        <w:t>对外贸易再创佳绩。全年实现货物进出口突破67</w:t>
      </w:r>
      <w:r>
        <w:rPr>
          <w:rFonts w:hint="eastAsia" w:eastAsia="仿宋_GB2312"/>
          <w:sz w:val="32"/>
          <w:szCs w:val="32"/>
        </w:rPr>
        <w:t>65.9</w:t>
      </w:r>
      <w:r>
        <w:rPr>
          <w:rFonts w:eastAsia="仿宋_GB2312"/>
          <w:sz w:val="32"/>
          <w:szCs w:val="32"/>
        </w:rPr>
        <w:t>亿元、增长13.</w:t>
      </w:r>
      <w:r>
        <w:rPr>
          <w:rFonts w:hint="eastAsia" w:eastAsia="仿宋_GB2312"/>
          <w:sz w:val="32"/>
          <w:szCs w:val="32"/>
        </w:rPr>
        <w:t>8</w:t>
      </w:r>
      <w:r>
        <w:rPr>
          <w:rFonts w:eastAsia="仿宋_GB2312"/>
          <w:sz w:val="32"/>
          <w:szCs w:val="32"/>
        </w:rPr>
        <w:t>%，增速在全国进出口规模前十</w:t>
      </w:r>
      <w:r>
        <w:rPr>
          <w:rFonts w:hint="eastAsia" w:eastAsia="仿宋_GB2312"/>
          <w:sz w:val="32"/>
          <w:szCs w:val="32"/>
        </w:rPr>
        <w:t>强</w:t>
      </w:r>
      <w:r>
        <w:rPr>
          <w:rFonts w:eastAsia="仿宋_GB2312"/>
          <w:sz w:val="32"/>
          <w:szCs w:val="32"/>
        </w:rPr>
        <w:t>中排名第一；</w:t>
      </w:r>
      <w:r>
        <w:rPr>
          <w:rFonts w:hint="eastAsia" w:eastAsia="仿宋_GB2312"/>
          <w:sz w:val="32"/>
          <w:szCs w:val="32"/>
        </w:rPr>
        <w:t>其中出口、进口分别增长16.8%和9.9%</w:t>
      </w:r>
      <w:r>
        <w:rPr>
          <w:rFonts w:eastAsia="仿宋_GB2312"/>
          <w:sz w:val="32"/>
          <w:szCs w:val="32"/>
        </w:rPr>
        <w:t>，进出口</w:t>
      </w:r>
      <w:r>
        <w:rPr>
          <w:rFonts w:hint="eastAsia" w:eastAsia="仿宋_GB2312"/>
          <w:sz w:val="32"/>
          <w:szCs w:val="32"/>
        </w:rPr>
        <w:t>额</w:t>
      </w:r>
      <w:r>
        <w:rPr>
          <w:rFonts w:eastAsia="仿宋_GB2312"/>
          <w:sz w:val="32"/>
          <w:szCs w:val="32"/>
        </w:rPr>
        <w:t>、进口额均居全国第10位，出口额跃居全国第8位。服务进出口</w:t>
      </w:r>
      <w:r>
        <w:rPr>
          <w:rFonts w:hint="eastAsia" w:eastAsia="仿宋_GB2312"/>
          <w:sz w:val="32"/>
          <w:szCs w:val="32"/>
        </w:rPr>
        <w:t>1006.4亿元、增长13%</w:t>
      </w:r>
      <w:r>
        <w:rPr>
          <w:rFonts w:eastAsia="仿宋_GB2312"/>
          <w:sz w:val="32"/>
          <w:szCs w:val="32"/>
        </w:rPr>
        <w:t>。</w:t>
      </w:r>
    </w:p>
    <w:p>
      <w:pPr>
        <w:pStyle w:val="5"/>
        <w:adjustRightInd w:val="0"/>
        <w:snapToGrid w:val="0"/>
        <w:spacing w:before="93" w:line="600" w:lineRule="exact"/>
        <w:ind w:firstLine="672" w:firstLineChars="210"/>
        <w:outlineLvl w:val="2"/>
        <w:rPr>
          <w:rFonts w:eastAsia="仿宋_GB2312"/>
          <w:sz w:val="32"/>
          <w:szCs w:val="32"/>
        </w:rPr>
      </w:pPr>
      <w:r>
        <w:rPr>
          <w:rFonts w:eastAsia="仿宋_GB2312"/>
          <w:sz w:val="32"/>
          <w:szCs w:val="32"/>
        </w:rPr>
        <w:t>外经合作有序推进。新签对外承包工程合同额185.1亿美元、增长80.3%，完成营业额63.7亿美元、增长4.3%，对外直接投资6.5亿美元，“一带一路”经贸合作亮点纷呈。</w:t>
      </w:r>
    </w:p>
    <w:p>
      <w:pPr>
        <w:pStyle w:val="5"/>
        <w:adjustRightInd w:val="0"/>
        <w:snapToGrid w:val="0"/>
        <w:spacing w:before="93" w:line="600" w:lineRule="exact"/>
        <w:ind w:firstLine="672" w:firstLineChars="210"/>
        <w:outlineLvl w:val="2"/>
        <w:rPr>
          <w:rFonts w:eastAsia="仿宋_GB2312"/>
          <w:sz w:val="32"/>
          <w:szCs w:val="32"/>
        </w:rPr>
      </w:pPr>
      <w:r>
        <w:rPr>
          <w:rFonts w:eastAsia="仿宋_GB2312"/>
          <w:sz w:val="32"/>
          <w:szCs w:val="32"/>
        </w:rPr>
        <w:t>开放平台能级提升。自贸试验区累计新设立企业9.6万家、注册资本1.1万亿元，其中外商投资企业992家，主要指标居内陆自贸试验区前列。1—11月全省国家级经开区实现规模以上工业总产值6855.5亿元、增长5.7%，进出口454亿元、增长10.3%。开发区、园区外资承载能力进一步增强。</w:t>
      </w:r>
    </w:p>
    <w:p>
      <w:pPr>
        <w:pStyle w:val="5"/>
        <w:adjustRightInd w:val="0"/>
        <w:snapToGrid w:val="0"/>
        <w:spacing w:before="93" w:line="600" w:lineRule="exact"/>
        <w:ind w:firstLine="672" w:firstLineChars="210"/>
        <w:outlineLvl w:val="2"/>
        <w:rPr>
          <w:rFonts w:eastAsia="仿宋_GB2312"/>
          <w:sz w:val="32"/>
          <w:szCs w:val="32"/>
        </w:rPr>
      </w:pPr>
      <w:r>
        <w:rPr>
          <w:rFonts w:eastAsia="仿宋_GB2312"/>
          <w:sz w:val="32"/>
          <w:szCs w:val="32"/>
        </w:rPr>
        <w:t>消费规模较快增长。社会消费品零售总额迈上2万亿元台阶、增长10.4%。网络零售额5210.6亿元、增长22.1%，总额居全国第6位。</w:t>
      </w:r>
    </w:p>
    <w:p>
      <w:pPr>
        <w:pStyle w:val="5"/>
        <w:adjustRightInd w:val="0"/>
        <w:snapToGrid w:val="0"/>
        <w:spacing w:before="93" w:line="600" w:lineRule="exact"/>
        <w:ind w:firstLine="672" w:firstLineChars="210"/>
        <w:outlineLvl w:val="2"/>
        <w:rPr>
          <w:rFonts w:hint="eastAsia" w:eastAsia="仿宋_GB2312"/>
          <w:sz w:val="32"/>
          <w:szCs w:val="32"/>
        </w:rPr>
      </w:pPr>
      <w:r>
        <w:rPr>
          <w:rFonts w:eastAsia="仿宋_GB2312"/>
          <w:sz w:val="32"/>
          <w:szCs w:val="32"/>
        </w:rPr>
        <w:t>服务业实现赶超升位。服务业增加值2</w:t>
      </w:r>
      <w:r>
        <w:rPr>
          <w:rFonts w:hint="eastAsia" w:eastAsia="仿宋_GB2312"/>
          <w:sz w:val="32"/>
          <w:szCs w:val="32"/>
        </w:rPr>
        <w:t>.</w:t>
      </w:r>
      <w:r>
        <w:rPr>
          <w:rFonts w:eastAsia="仿宋_GB2312"/>
          <w:sz w:val="32"/>
          <w:szCs w:val="32"/>
        </w:rPr>
        <w:t>44万亿元、增长</w:t>
      </w:r>
      <w:r>
        <w:rPr>
          <w:rFonts w:hint="eastAsia" w:eastAsia="仿宋_GB2312"/>
          <w:sz w:val="32"/>
          <w:szCs w:val="32"/>
        </w:rPr>
        <w:t>8.5</w:t>
      </w:r>
      <w:r>
        <w:rPr>
          <w:rFonts w:eastAsia="仿宋_GB2312"/>
          <w:sz w:val="32"/>
          <w:szCs w:val="32"/>
        </w:rPr>
        <w:t>%，占全省地区生产总值的52.</w:t>
      </w:r>
      <w:r>
        <w:rPr>
          <w:rFonts w:hint="eastAsia" w:eastAsia="仿宋_GB2312"/>
          <w:sz w:val="32"/>
          <w:szCs w:val="32"/>
        </w:rPr>
        <w:t>4</w:t>
      </w:r>
      <w:r>
        <w:rPr>
          <w:rFonts w:eastAsia="仿宋_GB2312"/>
          <w:sz w:val="32"/>
          <w:szCs w:val="32"/>
        </w:rPr>
        <w:t>%</w:t>
      </w:r>
      <w:r>
        <w:rPr>
          <w:rFonts w:hint="eastAsia" w:eastAsia="仿宋_GB2312"/>
          <w:sz w:val="32"/>
          <w:szCs w:val="32"/>
        </w:rPr>
        <w:t>。</w:t>
      </w:r>
    </w:p>
    <w:p>
      <w:pPr>
        <w:pStyle w:val="3"/>
        <w:ind w:firstLine="640" w:firstLineChars="200"/>
        <w:rPr>
          <w:rStyle w:val="26"/>
          <w:b w:val="0"/>
          <w:bCs w:val="0"/>
        </w:rPr>
      </w:pPr>
      <w:bookmarkStart w:id="20" w:name="_Toc15396601"/>
      <w:bookmarkStart w:id="21" w:name="_Toc11069"/>
      <w:bookmarkStart w:id="22"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bookmarkEnd w:id="22"/>
    </w:p>
    <w:p>
      <w:pPr>
        <w:ind w:firstLine="800" w:firstLineChars="250"/>
        <w:rPr>
          <w:rFonts w:ascii="仿宋" w:hAnsi="仿宋" w:eastAsia="仿宋"/>
          <w:sz w:val="32"/>
          <w:szCs w:val="32"/>
        </w:rPr>
      </w:pPr>
      <w:r>
        <w:rPr>
          <w:rFonts w:hint="eastAsia" w:ascii="仿宋" w:hAnsi="仿宋" w:eastAsia="仿宋"/>
          <w:sz w:val="32"/>
          <w:szCs w:val="32"/>
          <w:lang w:eastAsia="zh-CN"/>
        </w:rPr>
        <w:t>四川省商务厅</w:t>
      </w:r>
      <w:r>
        <w:rPr>
          <w:rFonts w:hint="eastAsia" w:ascii="仿宋" w:hAnsi="仿宋" w:eastAsia="仿宋"/>
          <w:sz w:val="32"/>
          <w:szCs w:val="32"/>
        </w:rPr>
        <w:t>下属二级单位</w:t>
      </w:r>
      <w:r>
        <w:rPr>
          <w:rFonts w:hint="eastAsia" w:ascii="仿宋" w:hAnsi="仿宋" w:eastAsia="仿宋"/>
          <w:sz w:val="32"/>
          <w:szCs w:val="32"/>
          <w:lang w:val="en-US" w:eastAsia="zh-CN"/>
        </w:rPr>
        <w:t>7</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6</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lang w:eastAsia="zh-CN"/>
        </w:rPr>
        <w:t>四川省商务厅</w:t>
      </w:r>
      <w:r>
        <w:rPr>
          <w:rFonts w:hint="eastAsia" w:ascii="仿宋" w:hAnsi="仿宋" w:eastAsia="仿宋"/>
          <w:color w:val="000000"/>
          <w:sz w:val="32"/>
          <w:szCs w:val="32"/>
        </w:rPr>
        <w:t>2019年度部门决算编制范围的二级预算单位包括：</w:t>
      </w:r>
    </w:p>
    <w:p>
      <w:pPr>
        <w:widowControl/>
        <w:numPr>
          <w:ilvl w:val="0"/>
          <w:numId w:val="0"/>
        </w:numPr>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四川省商务厅机关</w:t>
      </w:r>
    </w:p>
    <w:p>
      <w:pPr>
        <w:widowControl/>
        <w:numPr>
          <w:ilvl w:val="0"/>
          <w:numId w:val="0"/>
        </w:numPr>
        <w:ind w:firstLine="640" w:firstLineChars="200"/>
        <w:jc w:val="left"/>
        <w:rPr>
          <w:rFonts w:ascii="仿宋" w:hAnsi="仿宋" w:eastAsia="仿宋"/>
          <w:color w:val="000000"/>
          <w:kern w:val="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四川省商务厅机关服务中心</w:t>
      </w:r>
    </w:p>
    <w:p>
      <w:pPr>
        <w:widowControl/>
        <w:numPr>
          <w:ilvl w:val="0"/>
          <w:numId w:val="0"/>
        </w:numPr>
        <w:ind w:firstLine="640" w:firstLineChars="200"/>
        <w:jc w:val="left"/>
        <w:rPr>
          <w:rFonts w:ascii="仿宋" w:hAnsi="仿宋" w:eastAsia="仿宋"/>
          <w:color w:val="000000"/>
          <w:kern w:val="0"/>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四川省商务厅信息中心</w:t>
      </w:r>
    </w:p>
    <w:p>
      <w:pPr>
        <w:widowControl/>
        <w:numPr>
          <w:ilvl w:val="0"/>
          <w:numId w:val="0"/>
        </w:numPr>
        <w:ind w:firstLine="640" w:firstLineChars="200"/>
        <w:jc w:val="left"/>
        <w:rPr>
          <w:rFonts w:ascii="仿宋" w:hAnsi="仿宋" w:eastAsia="仿宋"/>
          <w:color w:val="000000"/>
          <w:kern w:val="0"/>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四川商务职业学院</w:t>
      </w:r>
    </w:p>
    <w:p>
      <w:pPr>
        <w:widowControl/>
        <w:numPr>
          <w:ilvl w:val="0"/>
          <w:numId w:val="0"/>
        </w:numPr>
        <w:ind w:firstLine="640" w:firstLineChars="200"/>
        <w:jc w:val="left"/>
        <w:rPr>
          <w:rFonts w:ascii="仿宋" w:hAnsi="仿宋" w:eastAsia="仿宋"/>
          <w:color w:val="000000"/>
          <w:kern w:val="0"/>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四川省商务学校</w:t>
      </w:r>
    </w:p>
    <w:p>
      <w:pPr>
        <w:widowControl/>
        <w:numPr>
          <w:ilvl w:val="0"/>
          <w:numId w:val="0"/>
        </w:numPr>
        <w:ind w:firstLine="640" w:firstLineChars="200"/>
        <w:jc w:val="left"/>
        <w:rPr>
          <w:rFonts w:ascii="仿宋" w:hAnsi="仿宋" w:eastAsia="仿宋"/>
          <w:color w:val="000000"/>
          <w:kern w:val="0"/>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四川省商务发展事务中心</w:t>
      </w:r>
    </w:p>
    <w:p>
      <w:pPr>
        <w:widowControl/>
        <w:numPr>
          <w:ilvl w:val="0"/>
          <w:numId w:val="0"/>
        </w:numPr>
        <w:ind w:firstLine="640" w:firstLineChars="200"/>
        <w:jc w:val="left"/>
        <w:rPr>
          <w:rFonts w:ascii="仿宋" w:hAnsi="仿宋" w:eastAsia="仿宋"/>
          <w:color w:val="000000"/>
          <w:kern w:val="0"/>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四川省国际经济贸易研究所</w:t>
      </w: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3" w:name="_Toc15377204"/>
      <w:bookmarkStart w:id="24" w:name="_Toc15396602"/>
      <w:bookmarkStart w:id="25" w:name="_Toc2913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3"/>
      <w:bookmarkEnd w:id="24"/>
      <w:bookmarkEnd w:id="25"/>
    </w:p>
    <w:p/>
    <w:p>
      <w:pPr>
        <w:pStyle w:val="24"/>
        <w:numPr>
          <w:ilvl w:val="0"/>
          <w:numId w:val="1"/>
        </w:numPr>
        <w:spacing w:line="600" w:lineRule="exact"/>
        <w:ind w:firstLineChars="0"/>
        <w:outlineLvl w:val="1"/>
        <w:rPr>
          <w:rStyle w:val="26"/>
          <w:rFonts w:ascii="黑体" w:hAnsi="黑体" w:eastAsia="黑体"/>
          <w:b w:val="0"/>
        </w:rPr>
      </w:pPr>
      <w:bookmarkStart w:id="26" w:name="_Toc15377205"/>
      <w:bookmarkStart w:id="27" w:name="_Toc21756"/>
      <w:bookmarkStart w:id="28"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bookmarkEnd w:id="28"/>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2019年度收、支总计53745.88万元。与2018年相比，收、支总计各增加</w:t>
      </w:r>
      <w:r>
        <w:rPr>
          <w:rFonts w:hint="eastAsia" w:ascii="仿宋" w:hAnsi="仿宋" w:eastAsia="仿宋"/>
          <w:color w:val="000000"/>
          <w:sz w:val="32"/>
          <w:szCs w:val="32"/>
          <w:lang w:val="en-US" w:eastAsia="zh-CN"/>
        </w:rPr>
        <w:t>98.76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0.18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事业收入较上年增加。</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8240" behindDoc="0" locked="0" layoutInCell="1" allowOverlap="1">
            <wp:simplePos x="0" y="0"/>
            <wp:positionH relativeFrom="column">
              <wp:posOffset>1011555</wp:posOffset>
            </wp:positionH>
            <wp:positionV relativeFrom="paragraph">
              <wp:posOffset>150495</wp:posOffset>
            </wp:positionV>
            <wp:extent cx="3199130" cy="1835150"/>
            <wp:effectExtent l="0" t="0" r="127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199130" cy="183515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29" w:name="_Toc6460"/>
      <w:bookmarkStart w:id="30" w:name="_Toc15396604"/>
      <w:bookmarkStart w:id="31"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9"/>
      <w:bookmarkEnd w:id="30"/>
      <w:bookmarkEnd w:id="31"/>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2019年本年收入合计</w:t>
      </w:r>
      <w:r>
        <w:rPr>
          <w:rFonts w:hint="eastAsia" w:ascii="仿宋" w:hAnsi="仿宋" w:eastAsia="仿宋"/>
          <w:color w:val="000000"/>
          <w:sz w:val="32"/>
          <w:szCs w:val="32"/>
          <w:lang w:val="en-US" w:eastAsia="zh-CN"/>
        </w:rPr>
        <w:t>34823.61</w:t>
      </w:r>
      <w:r>
        <w:rPr>
          <w:rFonts w:hint="eastAsia" w:ascii="仿宋" w:hAnsi="仿宋" w:eastAsia="仿宋"/>
          <w:color w:val="000000"/>
          <w:sz w:val="32"/>
          <w:szCs w:val="32"/>
        </w:rPr>
        <w:t>万元，其中：一般公共预算财政拨款收入25501.63万元，占</w:t>
      </w:r>
      <w:r>
        <w:rPr>
          <w:rFonts w:hint="eastAsia" w:ascii="仿宋" w:hAnsi="仿宋" w:eastAsia="仿宋"/>
          <w:color w:val="000000"/>
          <w:sz w:val="32"/>
          <w:szCs w:val="32"/>
          <w:lang w:val="en-US" w:eastAsia="zh-CN"/>
        </w:rPr>
        <w:t>73.23</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%；事业收入5811.54万元，占</w:t>
      </w:r>
      <w:r>
        <w:rPr>
          <w:rFonts w:hint="eastAsia" w:ascii="仿宋" w:hAnsi="仿宋" w:eastAsia="仿宋"/>
          <w:color w:val="000000"/>
          <w:sz w:val="32"/>
          <w:szCs w:val="32"/>
          <w:lang w:val="en-US" w:eastAsia="zh-CN"/>
        </w:rPr>
        <w:t>16.69</w:t>
      </w:r>
      <w:r>
        <w:rPr>
          <w:rFonts w:hint="eastAsia" w:ascii="仿宋" w:hAnsi="仿宋" w:eastAsia="仿宋"/>
          <w:color w:val="000000"/>
          <w:sz w:val="32"/>
          <w:szCs w:val="32"/>
        </w:rPr>
        <w:t>%；经营收入3096.33万元，占</w:t>
      </w:r>
      <w:r>
        <w:rPr>
          <w:rFonts w:hint="eastAsia" w:ascii="仿宋" w:hAnsi="仿宋" w:eastAsia="仿宋"/>
          <w:color w:val="000000"/>
          <w:sz w:val="32"/>
          <w:szCs w:val="32"/>
          <w:lang w:val="en-US" w:eastAsia="zh-CN"/>
        </w:rPr>
        <w:t>8.89</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%；其他收入414.11万元，占</w:t>
      </w:r>
      <w:r>
        <w:rPr>
          <w:rFonts w:hint="eastAsia" w:ascii="仿宋" w:hAnsi="仿宋" w:eastAsia="仿宋"/>
          <w:color w:val="000000"/>
          <w:sz w:val="32"/>
          <w:szCs w:val="32"/>
          <w:lang w:val="en-US" w:eastAsia="zh-CN"/>
        </w:rPr>
        <w:t>1.19</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671195</wp:posOffset>
            </wp:positionH>
            <wp:positionV relativeFrom="paragraph">
              <wp:posOffset>139700</wp:posOffset>
            </wp:positionV>
            <wp:extent cx="3199765" cy="1984375"/>
            <wp:effectExtent l="0" t="0" r="635" b="158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199765" cy="198437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32" w:name="_Toc15377207"/>
      <w:bookmarkStart w:id="33" w:name="_Toc3022"/>
      <w:bookmarkStart w:id="34"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32"/>
      <w:bookmarkEnd w:id="33"/>
      <w:bookmarkEnd w:id="34"/>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2019年本年支出合计34448.77万元，其中：基本支出19627.24万元，占</w:t>
      </w:r>
      <w:r>
        <w:rPr>
          <w:rFonts w:hint="eastAsia" w:ascii="仿宋" w:hAnsi="仿宋" w:eastAsia="仿宋"/>
          <w:color w:val="000000"/>
          <w:sz w:val="32"/>
          <w:szCs w:val="32"/>
          <w:lang w:val="en-US" w:eastAsia="zh-CN"/>
        </w:rPr>
        <w:t>56.98</w:t>
      </w:r>
      <w:r>
        <w:rPr>
          <w:rFonts w:hint="eastAsia" w:ascii="仿宋" w:hAnsi="仿宋" w:eastAsia="仿宋"/>
          <w:color w:val="000000"/>
          <w:sz w:val="32"/>
          <w:szCs w:val="32"/>
        </w:rPr>
        <w:t>%；项目支出11760.9万元，占</w:t>
      </w:r>
      <w:r>
        <w:rPr>
          <w:rFonts w:hint="eastAsia" w:ascii="仿宋" w:hAnsi="仿宋" w:eastAsia="仿宋"/>
          <w:color w:val="000000"/>
          <w:sz w:val="32"/>
          <w:szCs w:val="32"/>
          <w:lang w:val="en-US" w:eastAsia="zh-CN"/>
        </w:rPr>
        <w:t>34.14</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%；经营支出3060.64万元，占</w:t>
      </w:r>
      <w:r>
        <w:rPr>
          <w:rFonts w:hint="eastAsia" w:ascii="仿宋" w:hAnsi="仿宋" w:eastAsia="仿宋"/>
          <w:color w:val="000000"/>
          <w:sz w:val="32"/>
          <w:szCs w:val="32"/>
          <w:lang w:val="en-US" w:eastAsia="zh-CN"/>
        </w:rPr>
        <w:t>8.88</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shd w:val="pct10" w:color="auto" w:fill="FFFFFF"/>
        </w:rPr>
      </w:pPr>
      <w:r>
        <w:drawing>
          <wp:anchor distT="0" distB="0" distL="114300" distR="114300" simplePos="0" relativeHeight="251663360" behindDoc="0" locked="0" layoutInCell="1" allowOverlap="1">
            <wp:simplePos x="0" y="0"/>
            <wp:positionH relativeFrom="column">
              <wp:posOffset>549275</wp:posOffset>
            </wp:positionH>
            <wp:positionV relativeFrom="paragraph">
              <wp:posOffset>177800</wp:posOffset>
            </wp:positionV>
            <wp:extent cx="3532505" cy="2070735"/>
            <wp:effectExtent l="0" t="0" r="10795"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532505" cy="2070735"/>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6"/>
          <w:rFonts w:ascii="黑体" w:hAnsi="黑体" w:eastAsia="黑体"/>
          <w:b w:val="0"/>
        </w:rPr>
      </w:pPr>
      <w:bookmarkStart w:id="35" w:name="_Toc15377208"/>
      <w:bookmarkStart w:id="36" w:name="_Toc7191"/>
      <w:bookmarkStart w:id="37"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5"/>
      <w:bookmarkEnd w:id="36"/>
      <w:bookmarkEnd w:id="37"/>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9年财政拨款收、支总计37501.63万元。与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1156.08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2.99</w:t>
      </w:r>
      <w:r>
        <w:rPr>
          <w:rFonts w:ascii="仿宋" w:hAnsi="仿宋" w:eastAsia="仿宋"/>
          <w:color w:val="000000"/>
          <w:sz w:val="32"/>
          <w:szCs w:val="32"/>
        </w:rPr>
        <w:t>%</w:t>
      </w:r>
      <w:r>
        <w:rPr>
          <w:rFonts w:hint="eastAsia" w:ascii="仿宋" w:hAnsi="仿宋" w:eastAsia="仿宋"/>
          <w:color w:val="000000"/>
          <w:sz w:val="32"/>
          <w:szCs w:val="32"/>
        </w:rPr>
        <w:t>。主要变动原因是一般公共预算财政拨款</w:t>
      </w:r>
      <w:r>
        <w:rPr>
          <w:rFonts w:hint="eastAsia" w:ascii="仿宋" w:hAnsi="仿宋" w:eastAsia="仿宋"/>
          <w:color w:val="000000"/>
          <w:sz w:val="32"/>
          <w:szCs w:val="32"/>
          <w:lang w:eastAsia="zh-CN"/>
        </w:rPr>
        <w:t>较上年减少</w:t>
      </w:r>
      <w:r>
        <w:rPr>
          <w:rFonts w:hint="eastAsia" w:ascii="仿宋" w:hAnsi="仿宋" w:eastAsia="仿宋"/>
          <w:color w:val="000000"/>
          <w:sz w:val="32"/>
          <w:szCs w:val="32"/>
          <w:lang w:val="en-US" w:eastAsia="zh-CN"/>
        </w:rPr>
        <w:t>1105.08万元。</w:t>
      </w:r>
    </w:p>
    <w:p>
      <w:pPr>
        <w:spacing w:line="600" w:lineRule="exact"/>
        <w:ind w:firstLine="0" w:firstLineChars="0"/>
        <w:rPr>
          <w:rFonts w:ascii="仿宋" w:hAnsi="仿宋" w:eastAsia="仿宋"/>
          <w:color w:val="000000"/>
          <w:sz w:val="32"/>
          <w:szCs w:val="32"/>
        </w:rPr>
      </w:pPr>
      <w:r>
        <w:drawing>
          <wp:anchor distT="0" distB="0" distL="114300" distR="114300" simplePos="0" relativeHeight="251667456" behindDoc="0" locked="0" layoutInCell="1" allowOverlap="1">
            <wp:simplePos x="0" y="0"/>
            <wp:positionH relativeFrom="column">
              <wp:posOffset>785495</wp:posOffset>
            </wp:positionH>
            <wp:positionV relativeFrom="paragraph">
              <wp:posOffset>84455</wp:posOffset>
            </wp:positionV>
            <wp:extent cx="3400425" cy="1889760"/>
            <wp:effectExtent l="0" t="0" r="9525" b="152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3400425" cy="188976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6"/>
          <w:rFonts w:ascii="黑体" w:hAnsi="黑体" w:eastAsia="黑体"/>
          <w:b w:val="0"/>
        </w:rPr>
      </w:pPr>
      <w:bookmarkStart w:id="38" w:name="_Toc15377209"/>
      <w:bookmarkStart w:id="39" w:name="_Toc15396607"/>
      <w:bookmarkStart w:id="40" w:name="_Toc36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000000"/>
          <w:sz w:val="32"/>
          <w:szCs w:val="32"/>
        </w:rPr>
      </w:pPr>
      <w:bookmarkStart w:id="41" w:name="_Toc15377210"/>
      <w:r>
        <w:rPr>
          <w:rFonts w:hint="eastAsia" w:ascii="仿宋" w:hAnsi="仿宋" w:eastAsia="仿宋"/>
          <w:b/>
          <w:color w:val="000000"/>
          <w:sz w:val="32"/>
          <w:szCs w:val="32"/>
        </w:rPr>
        <w:t>（一）一般公共预算财政拨款支出决算总体情况</w:t>
      </w:r>
      <w:bookmarkEnd w:id="4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9年一般公共预算财政拨款支出25463.37万元，占本年支出合计的</w:t>
      </w:r>
      <w:r>
        <w:rPr>
          <w:rFonts w:hint="eastAsia" w:ascii="仿宋" w:hAnsi="仿宋" w:eastAsia="仿宋"/>
          <w:color w:val="000000"/>
          <w:sz w:val="32"/>
          <w:szCs w:val="32"/>
          <w:lang w:val="en-US" w:eastAsia="zh-CN"/>
        </w:rPr>
        <w:t>73.92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1193.44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4.48</w:t>
      </w:r>
      <w:r>
        <w:rPr>
          <w:rFonts w:ascii="仿宋" w:hAnsi="仿宋" w:eastAsia="仿宋"/>
          <w:color w:val="000000"/>
          <w:sz w:val="32"/>
          <w:szCs w:val="32"/>
        </w:rPr>
        <w:t>%</w:t>
      </w:r>
      <w:r>
        <w:rPr>
          <w:rFonts w:hint="eastAsia" w:ascii="仿宋" w:hAnsi="仿宋" w:eastAsia="仿宋"/>
          <w:color w:val="000000"/>
          <w:sz w:val="32"/>
          <w:szCs w:val="32"/>
        </w:rPr>
        <w:t>。主要变动原因是商业服务业等支出</w:t>
      </w:r>
      <w:r>
        <w:rPr>
          <w:rFonts w:hint="eastAsia" w:ascii="仿宋" w:hAnsi="仿宋" w:eastAsia="仿宋"/>
          <w:color w:val="000000"/>
          <w:sz w:val="32"/>
          <w:szCs w:val="32"/>
          <w:lang w:eastAsia="zh-CN"/>
        </w:rPr>
        <w:t>比上年减少。</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72576" behindDoc="0" locked="0" layoutInCell="1" allowOverlap="1">
            <wp:simplePos x="0" y="0"/>
            <wp:positionH relativeFrom="column">
              <wp:posOffset>734695</wp:posOffset>
            </wp:positionH>
            <wp:positionV relativeFrom="paragraph">
              <wp:posOffset>76835</wp:posOffset>
            </wp:positionV>
            <wp:extent cx="3606800" cy="1764030"/>
            <wp:effectExtent l="0" t="0" r="12700" b="76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3606800" cy="1764030"/>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42" w:name="_Toc15377211"/>
      <w:r>
        <w:rPr>
          <w:rFonts w:hint="eastAsia" w:ascii="仿宋" w:hAnsi="仿宋" w:eastAsia="仿宋"/>
          <w:b/>
          <w:color w:val="000000"/>
          <w:sz w:val="32"/>
          <w:szCs w:val="32"/>
        </w:rPr>
        <w:t>（二）一般公共预算财政拨款支出决算结构情况</w:t>
      </w:r>
      <w:bookmarkEnd w:id="42"/>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政拨款支出25463.37万元，主要用于以下方面</w:t>
      </w:r>
      <w:r>
        <w:rPr>
          <w:rFonts w:hint="eastAsia" w:ascii="仿宋" w:hAnsi="仿宋" w:eastAsia="仿宋"/>
          <w:color w:val="000000" w:themeColor="text1"/>
          <w:sz w:val="32"/>
          <w:szCs w:val="32"/>
          <w:lang w:eastAsia="zh-CN"/>
          <w14:textFill>
            <w14:solidFill>
              <w14:schemeClr w14:val="tx1"/>
            </w14:solidFill>
          </w14:textFill>
        </w:rPr>
        <w:t>：</w:t>
      </w:r>
      <w:r>
        <w:rPr>
          <w:rFonts w:ascii="仿宋" w:hAnsi="仿宋" w:eastAsia="仿宋"/>
          <w:color w:val="000000"/>
          <w:sz w:val="32"/>
          <w:szCs w:val="32"/>
        </w:rPr>
        <w:t>一般公共服务支出</w:t>
      </w:r>
      <w:r>
        <w:rPr>
          <w:rFonts w:hint="eastAsia" w:ascii="仿宋" w:hAnsi="仿宋" w:eastAsia="仿宋"/>
          <w:color w:val="000000"/>
          <w:sz w:val="32"/>
          <w:szCs w:val="32"/>
        </w:rPr>
        <w:t>4959.43</w:t>
      </w:r>
      <w:r>
        <w:rPr>
          <w:rFonts w:ascii="仿宋" w:hAnsi="仿宋" w:eastAsia="仿宋"/>
          <w:color w:val="000000"/>
          <w:sz w:val="32"/>
          <w:szCs w:val="32"/>
        </w:rPr>
        <w:t>万元，占</w:t>
      </w:r>
      <w:r>
        <w:rPr>
          <w:rFonts w:hint="eastAsia" w:ascii="仿宋" w:hAnsi="仿宋" w:eastAsia="仿宋"/>
          <w:color w:val="000000"/>
          <w:sz w:val="32"/>
          <w:szCs w:val="32"/>
          <w:lang w:val="en-US" w:eastAsia="zh-CN"/>
        </w:rPr>
        <w:t>19.48</w:t>
      </w:r>
      <w:r>
        <w:rPr>
          <w:rFonts w:hint="eastAsia" w:ascii="仿宋" w:hAnsi="仿宋" w:eastAsia="仿宋"/>
          <w:color w:val="000000"/>
          <w:sz w:val="32"/>
          <w:szCs w:val="32"/>
        </w:rPr>
        <w:t>%；</w:t>
      </w:r>
      <w:r>
        <w:rPr>
          <w:rFonts w:ascii="仿宋" w:hAnsi="仿宋" w:eastAsia="仿宋"/>
          <w:color w:val="000000"/>
          <w:sz w:val="32"/>
          <w:szCs w:val="32"/>
        </w:rPr>
        <w:t>教育支出</w:t>
      </w:r>
      <w:r>
        <w:rPr>
          <w:rFonts w:hint="eastAsia" w:ascii="仿宋" w:hAnsi="仿宋" w:eastAsia="仿宋"/>
          <w:color w:val="000000"/>
          <w:sz w:val="32"/>
          <w:szCs w:val="32"/>
        </w:rPr>
        <w:t>15381.92</w:t>
      </w:r>
      <w:r>
        <w:rPr>
          <w:rFonts w:ascii="仿宋" w:hAnsi="仿宋" w:eastAsia="仿宋"/>
          <w:color w:val="000000"/>
          <w:sz w:val="32"/>
          <w:szCs w:val="32"/>
        </w:rPr>
        <w:t>万元，占</w:t>
      </w:r>
      <w:r>
        <w:rPr>
          <w:rFonts w:hint="eastAsia" w:ascii="仿宋" w:hAnsi="仿宋" w:eastAsia="仿宋"/>
          <w:color w:val="000000"/>
          <w:sz w:val="32"/>
          <w:szCs w:val="32"/>
          <w:lang w:val="en-US" w:eastAsia="zh-CN"/>
        </w:rPr>
        <w:t>60.41</w:t>
      </w:r>
      <w:r>
        <w:rPr>
          <w:rFonts w:hint="eastAsia" w:ascii="仿宋" w:hAnsi="仿宋" w:eastAsia="仿宋"/>
          <w:color w:val="000000"/>
          <w:sz w:val="32"/>
          <w:szCs w:val="32"/>
        </w:rPr>
        <w:t>%；</w:t>
      </w:r>
      <w:r>
        <w:rPr>
          <w:rFonts w:ascii="仿宋" w:hAnsi="仿宋" w:eastAsia="仿宋"/>
          <w:color w:val="000000"/>
          <w:sz w:val="32"/>
          <w:szCs w:val="32"/>
        </w:rPr>
        <w:t>科学技术支出</w:t>
      </w:r>
      <w:r>
        <w:rPr>
          <w:rFonts w:hint="eastAsia" w:ascii="仿宋" w:hAnsi="仿宋" w:eastAsia="仿宋"/>
          <w:color w:val="000000"/>
          <w:sz w:val="32"/>
          <w:szCs w:val="32"/>
        </w:rPr>
        <w:t>167.73</w:t>
      </w:r>
      <w:r>
        <w:rPr>
          <w:rFonts w:ascii="仿宋" w:hAnsi="仿宋" w:eastAsia="仿宋"/>
          <w:color w:val="000000"/>
          <w:sz w:val="32"/>
          <w:szCs w:val="32"/>
        </w:rPr>
        <w:t>万元，占0.</w:t>
      </w:r>
      <w:r>
        <w:rPr>
          <w:rFonts w:hint="eastAsia" w:ascii="仿宋" w:hAnsi="仿宋" w:eastAsia="仿宋"/>
          <w:color w:val="000000"/>
          <w:sz w:val="32"/>
          <w:szCs w:val="32"/>
          <w:lang w:val="en-US" w:eastAsia="zh-CN"/>
        </w:rPr>
        <w:t>66</w:t>
      </w:r>
      <w:r>
        <w:rPr>
          <w:rFonts w:hint="eastAsia" w:ascii="仿宋" w:hAnsi="仿宋" w:eastAsia="仿宋"/>
          <w:color w:val="000000"/>
          <w:sz w:val="32"/>
          <w:szCs w:val="32"/>
        </w:rPr>
        <w:t>%；</w:t>
      </w:r>
      <w:r>
        <w:rPr>
          <w:rFonts w:ascii="仿宋" w:hAnsi="仿宋" w:eastAsia="仿宋"/>
          <w:color w:val="000000"/>
          <w:sz w:val="32"/>
          <w:szCs w:val="32"/>
        </w:rPr>
        <w:t>社会保障和就业支出</w:t>
      </w:r>
      <w:r>
        <w:rPr>
          <w:rFonts w:hint="eastAsia" w:ascii="仿宋" w:hAnsi="仿宋" w:eastAsia="仿宋"/>
          <w:color w:val="000000"/>
          <w:sz w:val="32"/>
          <w:szCs w:val="32"/>
        </w:rPr>
        <w:t>2117.85</w:t>
      </w:r>
      <w:r>
        <w:rPr>
          <w:rFonts w:ascii="仿宋" w:hAnsi="仿宋" w:eastAsia="仿宋"/>
          <w:color w:val="000000"/>
          <w:sz w:val="32"/>
          <w:szCs w:val="32"/>
        </w:rPr>
        <w:t>万元，占</w:t>
      </w:r>
      <w:r>
        <w:rPr>
          <w:rFonts w:hint="eastAsia" w:ascii="仿宋" w:hAnsi="仿宋" w:eastAsia="仿宋"/>
          <w:color w:val="000000"/>
          <w:sz w:val="32"/>
          <w:szCs w:val="32"/>
          <w:lang w:val="en-US" w:eastAsia="zh-CN"/>
        </w:rPr>
        <w:t>8.32</w:t>
      </w:r>
      <w:r>
        <w:rPr>
          <w:rFonts w:hint="eastAsia" w:ascii="仿宋" w:hAnsi="仿宋" w:eastAsia="仿宋"/>
          <w:color w:val="000000"/>
          <w:sz w:val="32"/>
          <w:szCs w:val="32"/>
        </w:rPr>
        <w:t>%；</w:t>
      </w:r>
      <w:r>
        <w:rPr>
          <w:rFonts w:hint="eastAsia" w:ascii="仿宋" w:hAnsi="仿宋" w:eastAsia="仿宋"/>
          <w:color w:val="000000"/>
          <w:sz w:val="32"/>
          <w:szCs w:val="32"/>
          <w:lang w:eastAsia="zh-CN"/>
        </w:rPr>
        <w:t>卫生健康支出</w:t>
      </w:r>
      <w:r>
        <w:rPr>
          <w:rFonts w:hint="eastAsia" w:ascii="仿宋" w:hAnsi="仿宋" w:eastAsia="仿宋"/>
          <w:color w:val="000000"/>
          <w:sz w:val="32"/>
          <w:szCs w:val="32"/>
        </w:rPr>
        <w:t>379.7</w:t>
      </w:r>
      <w:r>
        <w:rPr>
          <w:rFonts w:ascii="仿宋" w:hAnsi="仿宋" w:eastAsia="仿宋"/>
          <w:color w:val="000000"/>
          <w:sz w:val="32"/>
          <w:szCs w:val="32"/>
        </w:rPr>
        <w:t>万元，占1.</w:t>
      </w:r>
      <w:r>
        <w:rPr>
          <w:rFonts w:hint="eastAsia" w:ascii="仿宋" w:hAnsi="仿宋" w:eastAsia="仿宋"/>
          <w:color w:val="000000"/>
          <w:sz w:val="32"/>
          <w:szCs w:val="32"/>
          <w:lang w:val="en-US" w:eastAsia="zh-CN"/>
        </w:rPr>
        <w:t>49</w:t>
      </w:r>
      <w:r>
        <w:rPr>
          <w:rFonts w:hint="eastAsia" w:ascii="仿宋" w:hAnsi="仿宋" w:eastAsia="仿宋"/>
          <w:color w:val="000000"/>
          <w:sz w:val="32"/>
          <w:szCs w:val="32"/>
        </w:rPr>
        <w:t>%；</w:t>
      </w:r>
      <w:r>
        <w:rPr>
          <w:rFonts w:ascii="仿宋" w:hAnsi="仿宋" w:eastAsia="仿宋"/>
          <w:color w:val="000000"/>
          <w:sz w:val="32"/>
          <w:szCs w:val="32"/>
        </w:rPr>
        <w:t>商业服务业等支出</w:t>
      </w:r>
      <w:r>
        <w:rPr>
          <w:rFonts w:hint="eastAsia" w:ascii="仿宋" w:hAnsi="仿宋" w:eastAsia="仿宋"/>
          <w:color w:val="000000"/>
          <w:sz w:val="32"/>
          <w:szCs w:val="32"/>
        </w:rPr>
        <w:t>1978.88</w:t>
      </w:r>
      <w:r>
        <w:rPr>
          <w:rFonts w:ascii="仿宋" w:hAnsi="仿宋" w:eastAsia="仿宋"/>
          <w:color w:val="000000"/>
          <w:sz w:val="32"/>
          <w:szCs w:val="32"/>
        </w:rPr>
        <w:t>万元，占</w:t>
      </w:r>
      <w:r>
        <w:rPr>
          <w:rFonts w:hint="eastAsia" w:ascii="仿宋" w:hAnsi="仿宋" w:eastAsia="仿宋"/>
          <w:color w:val="000000"/>
          <w:sz w:val="32"/>
          <w:szCs w:val="32"/>
          <w:lang w:val="en-US" w:eastAsia="zh-CN"/>
        </w:rPr>
        <w:t>7.77</w:t>
      </w:r>
      <w:r>
        <w:rPr>
          <w:rFonts w:hint="eastAsia" w:ascii="仿宋" w:hAnsi="仿宋" w:eastAsia="仿宋"/>
          <w:color w:val="000000"/>
          <w:sz w:val="32"/>
          <w:szCs w:val="32"/>
        </w:rPr>
        <w:t>%；</w:t>
      </w:r>
      <w:r>
        <w:rPr>
          <w:rFonts w:ascii="仿宋" w:hAnsi="仿宋" w:eastAsia="仿宋"/>
          <w:color w:val="000000"/>
          <w:sz w:val="32"/>
          <w:szCs w:val="32"/>
        </w:rPr>
        <w:t>住房保障支出</w:t>
      </w:r>
      <w:r>
        <w:rPr>
          <w:rFonts w:hint="eastAsia" w:ascii="仿宋" w:hAnsi="仿宋" w:eastAsia="仿宋"/>
          <w:color w:val="000000"/>
          <w:sz w:val="32"/>
          <w:szCs w:val="32"/>
        </w:rPr>
        <w:t>472.85</w:t>
      </w:r>
      <w:r>
        <w:rPr>
          <w:rFonts w:ascii="仿宋" w:hAnsi="仿宋" w:eastAsia="仿宋"/>
          <w:color w:val="000000"/>
          <w:sz w:val="32"/>
          <w:szCs w:val="32"/>
        </w:rPr>
        <w:t>万元，占1.</w:t>
      </w:r>
      <w:r>
        <w:rPr>
          <w:rFonts w:hint="eastAsia" w:ascii="仿宋" w:hAnsi="仿宋" w:eastAsia="仿宋"/>
          <w:color w:val="000000"/>
          <w:sz w:val="32"/>
          <w:szCs w:val="32"/>
          <w:lang w:val="en-US" w:eastAsia="zh-CN"/>
        </w:rPr>
        <w:t>86</w:t>
      </w:r>
      <w:r>
        <w:rPr>
          <w:rFonts w:hint="eastAsia" w:ascii="仿宋" w:hAnsi="仿宋" w:eastAsia="仿宋"/>
          <w:color w:val="000000"/>
          <w:sz w:val="32"/>
          <w:szCs w:val="32"/>
        </w:rPr>
        <w:t>%</w:t>
      </w:r>
      <w:r>
        <w:rPr>
          <w:rFonts w:hint="eastAsia" w:ascii="仿宋" w:hAnsi="仿宋" w:eastAsia="仿宋"/>
          <w:color w:val="000000"/>
          <w:sz w:val="32"/>
          <w:szCs w:val="32"/>
          <w:lang w:eastAsia="zh-CN"/>
        </w:rPr>
        <w:t>；灾害防治及应急管理支出</w:t>
      </w:r>
      <w:r>
        <w:rPr>
          <w:rFonts w:hint="eastAsia" w:ascii="仿宋" w:hAnsi="仿宋" w:eastAsia="仿宋"/>
          <w:color w:val="000000"/>
          <w:sz w:val="32"/>
          <w:szCs w:val="32"/>
          <w:lang w:val="en-US" w:eastAsia="zh-CN"/>
        </w:rPr>
        <w:t>5万元，占0.02%</w:t>
      </w:r>
      <w:r>
        <w:rPr>
          <w:rFonts w:hint="eastAsia" w:ascii="仿宋" w:hAnsi="仿宋" w:eastAsia="仿宋"/>
          <w:color w:val="000000"/>
          <w:sz w:val="32"/>
          <w:szCs w:val="32"/>
        </w:rPr>
        <w:t>。</w:t>
      </w:r>
    </w:p>
    <w:p>
      <w:pPr>
        <w:spacing w:line="600" w:lineRule="exact"/>
        <w:ind w:firstLine="64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78720" behindDoc="0" locked="0" layoutInCell="1" allowOverlap="1">
            <wp:simplePos x="0" y="0"/>
            <wp:positionH relativeFrom="column">
              <wp:posOffset>709295</wp:posOffset>
            </wp:positionH>
            <wp:positionV relativeFrom="paragraph">
              <wp:posOffset>350520</wp:posOffset>
            </wp:positionV>
            <wp:extent cx="3717925" cy="2138045"/>
            <wp:effectExtent l="0" t="0" r="15875" b="146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3717925" cy="2138045"/>
                    </a:xfrm>
                    <a:prstGeom prst="rect">
                      <a:avLst/>
                    </a:prstGeom>
                    <a:noFill/>
                    <a:ln>
                      <a:noFill/>
                    </a:ln>
                  </pic:spPr>
                </pic:pic>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43" w:name="_Toc15377212"/>
      <w:r>
        <w:rPr>
          <w:rFonts w:hint="eastAsia" w:ascii="仿宋" w:hAnsi="仿宋" w:eastAsia="仿宋"/>
          <w:b/>
          <w:color w:val="000000"/>
          <w:sz w:val="32"/>
          <w:szCs w:val="32"/>
        </w:rPr>
        <w:t>（三）一般公共预算财政拨款支出决算具体情况</w:t>
      </w:r>
      <w:bookmarkEnd w:id="43"/>
    </w:p>
    <w:p>
      <w:pPr>
        <w:spacing w:line="600" w:lineRule="exact"/>
        <w:ind w:firstLine="643" w:firstLineChars="200"/>
        <w:outlineLvl w:val="2"/>
        <w:rPr>
          <w:rFonts w:ascii="仿宋" w:hAnsi="仿宋" w:eastAsia="仿宋"/>
          <w:color w:val="FF0000"/>
          <w:sz w:val="32"/>
          <w:szCs w:val="32"/>
        </w:rPr>
      </w:pPr>
      <w:bookmarkStart w:id="44" w:name="_Toc15377213"/>
      <w:bookmarkStart w:id="45" w:name="_Toc15378460"/>
      <w:bookmarkStart w:id="46" w:name="_Toc15377444"/>
      <w:r>
        <w:rPr>
          <w:rFonts w:hint="eastAsia"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年般公共预算支出决算数为25463.37万元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hint="eastAsia" w:ascii="仿宋" w:hAnsi="仿宋" w:eastAsia="仿宋"/>
          <w:bCs/>
          <w:color w:val="000000"/>
          <w:sz w:val="32"/>
          <w:szCs w:val="32"/>
          <w:lang w:val="en-US" w:eastAsia="zh-CN"/>
        </w:rPr>
        <w:t>95.06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4"/>
      <w:bookmarkEnd w:id="45"/>
      <w:bookmarkEnd w:id="46"/>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1.一般公共服务支出（类）</w:t>
      </w:r>
      <w:r>
        <w:rPr>
          <w:rFonts w:hint="eastAsia" w:ascii="仿宋_GB2312" w:hAnsi="仿宋_GB2312" w:eastAsia="仿宋_GB2312"/>
          <w:color w:val="000000"/>
          <w:sz w:val="32"/>
          <w:lang w:eastAsia="zh-CN"/>
        </w:rPr>
        <w:t>纪检监察事务</w:t>
      </w:r>
      <w:r>
        <w:rPr>
          <w:rFonts w:hint="eastAsia" w:ascii="仿宋_GB2312" w:hAnsi="仿宋_GB2312" w:eastAsia="仿宋_GB2312"/>
          <w:color w:val="000000"/>
          <w:sz w:val="32"/>
        </w:rPr>
        <w:t>（款）</w:t>
      </w:r>
      <w:r>
        <w:rPr>
          <w:rFonts w:hint="eastAsia" w:ascii="仿宋_GB2312" w:hAnsi="仿宋_GB2312" w:eastAsia="仿宋_GB2312"/>
          <w:color w:val="000000"/>
          <w:sz w:val="32"/>
          <w:lang w:eastAsia="zh-CN"/>
        </w:rPr>
        <w:t>大案要案查处</w:t>
      </w:r>
      <w:r>
        <w:rPr>
          <w:rFonts w:hint="eastAsia" w:ascii="仿宋_GB2312" w:hAnsi="仿宋_GB2312" w:eastAsia="仿宋_GB2312"/>
          <w:color w:val="000000"/>
          <w:sz w:val="32"/>
        </w:rPr>
        <w:t>（项）：支出决算为</w:t>
      </w:r>
      <w:r>
        <w:rPr>
          <w:rFonts w:hint="eastAsia" w:ascii="仿宋_GB2312" w:hAnsi="仿宋_GB2312" w:eastAsia="仿宋_GB2312"/>
          <w:color w:val="000000"/>
          <w:sz w:val="32"/>
          <w:lang w:val="en-US" w:eastAsia="zh-CN"/>
        </w:rPr>
        <w:t>3.12</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2"/>
          <w:rFonts w:hint="eastAsia" w:ascii="仿宋_GB2312" w:eastAsia="仿宋_GB2312"/>
          <w:b w:val="0"/>
          <w:bCs w:val="0"/>
          <w:color w:val="000000"/>
          <w:sz w:val="32"/>
          <w:szCs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rPr>
        <w:t>.一般公共服务支出（类）商贸事务（款）行政运行（项）：支出决算为</w:t>
      </w:r>
      <w:r>
        <w:rPr>
          <w:rFonts w:hint="eastAsia" w:ascii="仿宋_GB2312" w:hAnsi="仿宋_GB2312" w:eastAsia="仿宋_GB2312"/>
          <w:color w:val="000000"/>
          <w:sz w:val="32"/>
          <w:lang w:val="en-US" w:eastAsia="zh-CN"/>
        </w:rPr>
        <w:t>2460.79</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2"/>
          <w:rFonts w:hint="eastAsia" w:ascii="仿宋_GB2312" w:eastAsia="仿宋_GB2312"/>
          <w:b w:val="0"/>
          <w:bCs w:val="0"/>
          <w:color w:val="000000"/>
          <w:sz w:val="32"/>
          <w:szCs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rPr>
        <w:t>.一般公共服务支出（类）商贸事务（款）一般行政管理事务（项）：支出决算为</w:t>
      </w:r>
      <w:r>
        <w:rPr>
          <w:rFonts w:hint="eastAsia" w:ascii="仿宋_GB2312" w:hAnsi="仿宋_GB2312" w:eastAsia="仿宋_GB2312"/>
          <w:color w:val="000000"/>
          <w:sz w:val="32"/>
          <w:lang w:val="en-US" w:eastAsia="zh-CN"/>
        </w:rPr>
        <w:t>568.24</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rPr>
        <w:t>.一般公共服务支出（类）商贸事务（款）机关服务（项）：支出决算为</w:t>
      </w:r>
      <w:r>
        <w:rPr>
          <w:rFonts w:hint="eastAsia" w:ascii="仿宋_GB2312" w:hAnsi="仿宋_GB2312" w:eastAsia="仿宋_GB2312"/>
          <w:color w:val="000000"/>
          <w:sz w:val="32"/>
          <w:lang w:val="en-US" w:eastAsia="zh-CN"/>
        </w:rPr>
        <w:t>270.59</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5</w:t>
      </w:r>
      <w:r>
        <w:rPr>
          <w:rFonts w:hint="eastAsia" w:ascii="仿宋_GB2312" w:hAnsi="仿宋_GB2312" w:eastAsia="仿宋_GB2312"/>
          <w:color w:val="000000"/>
          <w:sz w:val="32"/>
        </w:rPr>
        <w:t>.一般公共服务支出（类）商贸事务（款）事业运行（项）：支出决算为</w:t>
      </w:r>
      <w:r>
        <w:rPr>
          <w:rFonts w:hint="eastAsia" w:ascii="仿宋_GB2312" w:hAnsi="仿宋_GB2312" w:eastAsia="仿宋_GB2312"/>
          <w:color w:val="000000"/>
          <w:sz w:val="32"/>
          <w:lang w:val="en-US" w:eastAsia="zh-CN"/>
        </w:rPr>
        <w:t>158.01</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.一般公共服务支出（类）商贸事务（款）其他商贸事务支出（项）：支出决算为</w:t>
      </w:r>
      <w:r>
        <w:rPr>
          <w:rFonts w:hint="eastAsia" w:ascii="仿宋_GB2312" w:hAnsi="仿宋_GB2312" w:eastAsia="仿宋_GB2312"/>
          <w:color w:val="000000"/>
          <w:sz w:val="32"/>
          <w:lang w:val="en-US" w:eastAsia="zh-CN"/>
        </w:rPr>
        <w:t>1479.87</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7</w:t>
      </w:r>
      <w:r>
        <w:rPr>
          <w:rFonts w:hint="eastAsia" w:ascii="仿宋_GB2312" w:hAnsi="仿宋_GB2312" w:eastAsia="仿宋_GB2312"/>
          <w:color w:val="000000"/>
          <w:sz w:val="32"/>
        </w:rPr>
        <w:t>.一般公共服务支出（类）其他共产党事务支出（款）其他共产党事务支出（项）：支出决算为</w:t>
      </w:r>
      <w:r>
        <w:rPr>
          <w:rFonts w:hint="eastAsia" w:ascii="仿宋_GB2312" w:hAnsi="仿宋_GB2312" w:eastAsia="仿宋_GB2312"/>
          <w:color w:val="000000"/>
          <w:sz w:val="32"/>
          <w:lang w:val="en-US" w:eastAsia="zh-CN"/>
        </w:rPr>
        <w:t>0.3</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8</w:t>
      </w:r>
      <w:r>
        <w:rPr>
          <w:rFonts w:hint="eastAsia" w:ascii="仿宋_GB2312" w:hAnsi="仿宋_GB2312" w:eastAsia="仿宋_GB2312"/>
          <w:color w:val="000000"/>
          <w:sz w:val="32"/>
        </w:rPr>
        <w:t>.一般公共服务支出（类）质量技术监督与检验检疫事务（款）其他质量技术监督与检验检疫事务支出（项）：支出决算为12万元，完成预算100%。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9</w:t>
      </w:r>
      <w:r>
        <w:rPr>
          <w:rFonts w:hint="eastAsia" w:ascii="仿宋_GB2312" w:hAnsi="仿宋_GB2312" w:eastAsia="仿宋_GB2312"/>
          <w:color w:val="000000"/>
          <w:sz w:val="32"/>
        </w:rPr>
        <w:t>.一般公共服务支出（类）</w:t>
      </w:r>
      <w:r>
        <w:rPr>
          <w:rFonts w:hint="eastAsia" w:ascii="仿宋_GB2312" w:hAnsi="仿宋_GB2312" w:eastAsia="仿宋_GB2312"/>
          <w:color w:val="000000"/>
          <w:sz w:val="32"/>
          <w:lang w:eastAsia="zh-CN"/>
        </w:rPr>
        <w:t>其他一般公共服务支出</w:t>
      </w:r>
      <w:r>
        <w:rPr>
          <w:rFonts w:hint="eastAsia" w:ascii="仿宋_GB2312" w:hAnsi="仿宋_GB2312" w:eastAsia="仿宋_GB2312"/>
          <w:color w:val="000000"/>
          <w:sz w:val="32"/>
        </w:rPr>
        <w:t>（款）</w:t>
      </w:r>
      <w:r>
        <w:rPr>
          <w:rFonts w:hint="eastAsia" w:ascii="仿宋_GB2312" w:hAnsi="仿宋_GB2312" w:eastAsia="仿宋_GB2312"/>
          <w:color w:val="000000"/>
          <w:sz w:val="32"/>
          <w:lang w:eastAsia="zh-CN"/>
        </w:rPr>
        <w:t>其他一般公共服务支出</w:t>
      </w:r>
      <w:r>
        <w:rPr>
          <w:rFonts w:hint="eastAsia" w:ascii="仿宋_GB2312" w:hAnsi="仿宋_GB2312" w:eastAsia="仿宋_GB2312"/>
          <w:color w:val="000000"/>
          <w:sz w:val="32"/>
        </w:rPr>
        <w:t>（项）：支出决算为</w:t>
      </w:r>
      <w:r>
        <w:rPr>
          <w:rFonts w:hint="eastAsia" w:ascii="仿宋_GB2312" w:hAnsi="仿宋_GB2312" w:eastAsia="仿宋_GB2312"/>
          <w:color w:val="000000"/>
          <w:sz w:val="32"/>
          <w:lang w:val="en-US" w:eastAsia="zh-CN"/>
        </w:rPr>
        <w:t>6.5</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10</w:t>
      </w:r>
      <w:r>
        <w:rPr>
          <w:rFonts w:hint="eastAsia" w:ascii="仿宋_GB2312" w:hAnsi="仿宋_GB2312" w:eastAsia="仿宋_GB2312"/>
          <w:color w:val="000000"/>
          <w:sz w:val="32"/>
        </w:rPr>
        <w:t>.教育支出（类）职业教育（款）中专教育（项）：支出决算为</w:t>
      </w:r>
      <w:r>
        <w:rPr>
          <w:rFonts w:hint="eastAsia" w:ascii="仿宋_GB2312" w:hAnsi="仿宋_GB2312" w:eastAsia="仿宋_GB2312"/>
          <w:color w:val="000000"/>
          <w:sz w:val="32"/>
          <w:lang w:val="en-US" w:eastAsia="zh-CN"/>
        </w:rPr>
        <w:t>4391.14</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95.77</w:t>
      </w:r>
      <w:r>
        <w:rPr>
          <w:rFonts w:hint="eastAsia" w:ascii="仿宋_GB2312" w:hAnsi="仿宋_GB2312" w:eastAsia="仿宋_GB2312"/>
          <w:color w:val="000000"/>
          <w:sz w:val="32"/>
        </w:rPr>
        <w:t>%，决算数小于预算的主要原因是四川省</w:t>
      </w:r>
      <w:r>
        <w:rPr>
          <w:rFonts w:ascii="仿宋_GB2312" w:eastAsia="仿宋_GB2312"/>
          <w:color w:val="000000"/>
          <w:sz w:val="32"/>
          <w:szCs w:val="32"/>
        </w:rPr>
        <w:t>商务学校项目</w:t>
      </w:r>
      <w:r>
        <w:rPr>
          <w:rFonts w:hint="eastAsia" w:ascii="仿宋_GB2312" w:eastAsia="仿宋_GB2312"/>
          <w:color w:val="000000"/>
          <w:sz w:val="32"/>
          <w:szCs w:val="32"/>
        </w:rPr>
        <w:t>结转</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11</w:t>
      </w:r>
      <w:r>
        <w:rPr>
          <w:rFonts w:hint="eastAsia" w:ascii="仿宋_GB2312" w:hAnsi="仿宋_GB2312" w:eastAsia="仿宋_GB2312"/>
          <w:color w:val="000000"/>
          <w:sz w:val="32"/>
        </w:rPr>
        <w:t>.教育支出（类）职业教育（款）高等职业教育（项）：支出决算为109</w:t>
      </w:r>
      <w:r>
        <w:rPr>
          <w:rFonts w:hint="eastAsia" w:ascii="仿宋_GB2312" w:hAnsi="仿宋_GB2312" w:eastAsia="仿宋_GB2312"/>
          <w:color w:val="000000"/>
          <w:sz w:val="32"/>
          <w:lang w:val="en-US" w:eastAsia="zh-CN"/>
        </w:rPr>
        <w:t>13.82</w:t>
      </w:r>
      <w:r>
        <w:rPr>
          <w:rFonts w:hint="eastAsia" w:ascii="仿宋_GB2312" w:hAnsi="仿宋_GB2312" w:eastAsia="仿宋_GB2312"/>
          <w:color w:val="000000"/>
          <w:sz w:val="32"/>
        </w:rPr>
        <w:t>万元，完成预算9</w:t>
      </w:r>
      <w:r>
        <w:rPr>
          <w:rFonts w:hint="eastAsia" w:ascii="仿宋_GB2312" w:hAnsi="仿宋_GB2312" w:eastAsia="仿宋_GB2312"/>
          <w:color w:val="000000"/>
          <w:sz w:val="32"/>
          <w:lang w:val="en-US" w:eastAsia="zh-CN"/>
        </w:rPr>
        <w:t>1.21</w:t>
      </w:r>
      <w:r>
        <w:rPr>
          <w:rFonts w:hint="eastAsia" w:ascii="仿宋_GB2312" w:hAnsi="仿宋_GB2312" w:eastAsia="仿宋_GB2312"/>
          <w:color w:val="000000"/>
          <w:sz w:val="32"/>
        </w:rPr>
        <w:t>%，决算数小于预算的主要原因是四川商务职业学院项目经费结转。</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rPr>
        <w:t>.教育支出（类）进修及培训（款）培训支出（项）：支出决算为</w:t>
      </w:r>
      <w:r>
        <w:rPr>
          <w:rFonts w:hint="eastAsia" w:ascii="仿宋_GB2312" w:hAnsi="仿宋_GB2312" w:eastAsia="仿宋_GB2312"/>
          <w:color w:val="000000"/>
          <w:sz w:val="32"/>
          <w:lang w:val="en-US" w:eastAsia="zh-CN"/>
        </w:rPr>
        <w:t>76.96</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58.30</w:t>
      </w:r>
      <w:r>
        <w:rPr>
          <w:rFonts w:hint="eastAsia" w:ascii="仿宋_GB2312" w:hAnsi="仿宋_GB2312" w:eastAsia="仿宋_GB2312"/>
          <w:color w:val="000000"/>
          <w:sz w:val="32"/>
        </w:rPr>
        <w:t>%，决算数小于预算的主要原因是</w:t>
      </w:r>
      <w:r>
        <w:rPr>
          <w:rStyle w:val="33"/>
          <w:rFonts w:hint="eastAsia" w:ascii="仿宋_GB2312" w:eastAsia="仿宋_GB2312"/>
          <w:b w:val="0"/>
          <w:bCs w:val="0"/>
          <w:color w:val="000000"/>
          <w:sz w:val="32"/>
          <w:szCs w:val="32"/>
        </w:rPr>
        <w:t>加强培训费管理，减少培训班次、人次节约经费。</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rPr>
        <w:t>.科学技术支出（类）应用研究（款）机构运行（项）：支出决算为</w:t>
      </w:r>
      <w:r>
        <w:rPr>
          <w:rFonts w:hint="eastAsia" w:ascii="仿宋_GB2312" w:hAnsi="仿宋_GB2312" w:eastAsia="仿宋_GB2312"/>
          <w:color w:val="000000"/>
          <w:sz w:val="32"/>
          <w:lang w:val="en-US" w:eastAsia="zh-CN"/>
        </w:rPr>
        <w:t>102.43</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rPr>
        <w:t>.科学技术支出（类）应用研究（款）社会公益研究（项）：支出决算为</w:t>
      </w:r>
      <w:r>
        <w:rPr>
          <w:rFonts w:hint="eastAsia" w:ascii="仿宋_GB2312" w:hAnsi="仿宋_GB2312" w:eastAsia="仿宋_GB2312"/>
          <w:color w:val="000000"/>
          <w:sz w:val="32"/>
          <w:lang w:val="en-US" w:eastAsia="zh-CN"/>
        </w:rPr>
        <w:t>60.29</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4"/>
          <w:rFonts w:hint="eastAsia" w:ascii="仿宋_GB2312" w:eastAsia="仿宋_GB2312"/>
          <w:b w:val="0"/>
          <w:bCs w:val="0"/>
          <w:color w:val="000000"/>
          <w:sz w:val="32"/>
          <w:szCs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5</w:t>
      </w:r>
      <w:r>
        <w:rPr>
          <w:rFonts w:hint="eastAsia" w:ascii="仿宋_GB2312" w:hAnsi="仿宋_GB2312" w:eastAsia="仿宋_GB2312"/>
          <w:color w:val="000000"/>
          <w:sz w:val="32"/>
        </w:rPr>
        <w:t>.科学技术支出（类）技术研究与开发（款）应用技术研究与开发（项）：支出决算为5万元，完成预算100%。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.社会保障和就业支出（类）行政事业单位离退休（款）事业单位离退休（项）：支出决算为</w:t>
      </w:r>
      <w:r>
        <w:rPr>
          <w:rFonts w:hint="eastAsia" w:ascii="仿宋_GB2312" w:hAnsi="仿宋_GB2312" w:eastAsia="仿宋_GB2312"/>
          <w:color w:val="000000"/>
          <w:sz w:val="32"/>
          <w:lang w:val="en-US" w:eastAsia="zh-CN"/>
        </w:rPr>
        <w:t>54.61</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7</w:t>
      </w:r>
      <w:r>
        <w:rPr>
          <w:rFonts w:hint="eastAsia" w:ascii="仿宋_GB2312" w:hAnsi="仿宋_GB2312" w:eastAsia="仿宋_GB2312"/>
          <w:color w:val="000000"/>
          <w:sz w:val="32"/>
        </w:rPr>
        <w:t>.社会保障和就业支出（类）行政事业单位离退休（款）未归口管理的行政单位离退休（项）：支出决算为</w:t>
      </w:r>
      <w:r>
        <w:rPr>
          <w:rFonts w:hint="eastAsia" w:ascii="仿宋_GB2312" w:hAnsi="仿宋_GB2312" w:eastAsia="仿宋_GB2312"/>
          <w:color w:val="000000"/>
          <w:sz w:val="32"/>
          <w:lang w:val="en-US" w:eastAsia="zh-CN"/>
        </w:rPr>
        <w:t>1221.99</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5"/>
          <w:rFonts w:hint="eastAsia" w:ascii="仿宋_GB2312" w:eastAsia="仿宋_GB2312"/>
          <w:b w:val="0"/>
          <w:bCs w:val="0"/>
          <w:color w:val="000000"/>
          <w:sz w:val="32"/>
          <w:szCs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8</w:t>
      </w:r>
      <w:r>
        <w:rPr>
          <w:rFonts w:hint="eastAsia" w:ascii="仿宋_GB2312" w:hAnsi="仿宋_GB2312" w:eastAsia="仿宋_GB2312"/>
          <w:color w:val="000000"/>
          <w:sz w:val="32"/>
        </w:rPr>
        <w:t>.社会保障和就业支出（类）行政事业单位离退休（款）机关事业单位基本养老保险缴费支出（项）：支出决算为</w:t>
      </w:r>
      <w:r>
        <w:rPr>
          <w:rFonts w:hint="eastAsia" w:ascii="仿宋_GB2312" w:hAnsi="仿宋_GB2312" w:eastAsia="仿宋_GB2312"/>
          <w:color w:val="000000"/>
          <w:sz w:val="32"/>
          <w:lang w:val="en-US" w:eastAsia="zh-CN"/>
        </w:rPr>
        <w:t>538.05</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6"/>
          <w:rFonts w:hint="eastAsia" w:ascii="仿宋_GB2312" w:eastAsia="仿宋_GB2312"/>
          <w:b w:val="0"/>
          <w:bCs w:val="0"/>
          <w:color w:val="000000"/>
          <w:sz w:val="32"/>
          <w:szCs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hint="eastAsia" w:ascii="仿宋_GB2312" w:hAnsi="仿宋_GB2312" w:eastAsia="仿宋_GB2312"/>
          <w:color w:val="000000"/>
          <w:sz w:val="32"/>
          <w:lang w:val="en-US" w:eastAsia="zh-CN"/>
        </w:rPr>
        <w:t>9</w:t>
      </w:r>
      <w:r>
        <w:rPr>
          <w:rFonts w:hint="eastAsia" w:ascii="仿宋_GB2312" w:hAnsi="仿宋_GB2312" w:eastAsia="仿宋_GB2312"/>
          <w:color w:val="000000"/>
          <w:sz w:val="32"/>
        </w:rPr>
        <w:t>.社会保障和就业支出（类）行政事业单位离退休（款）机关事业单位职业年金缴费支出（项）：支出决算为</w:t>
      </w:r>
      <w:r>
        <w:rPr>
          <w:rFonts w:hint="eastAsia" w:ascii="仿宋_GB2312" w:hAnsi="仿宋_GB2312" w:eastAsia="仿宋_GB2312"/>
          <w:color w:val="000000"/>
          <w:sz w:val="32"/>
          <w:lang w:val="en-US" w:eastAsia="zh-CN"/>
        </w:rPr>
        <w:t>45.92</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20</w:t>
      </w:r>
      <w:r>
        <w:rPr>
          <w:rFonts w:hint="eastAsia" w:ascii="仿宋_GB2312" w:hAnsi="仿宋_GB2312" w:eastAsia="仿宋_GB2312"/>
          <w:color w:val="000000"/>
          <w:sz w:val="32"/>
        </w:rPr>
        <w:t>.社会保障和就业支出（类）抚恤（款）死亡抚恤（项）：支出决算为</w:t>
      </w:r>
      <w:r>
        <w:rPr>
          <w:rFonts w:hint="eastAsia" w:ascii="仿宋_GB2312" w:hAnsi="仿宋_GB2312" w:eastAsia="仿宋_GB2312"/>
          <w:color w:val="000000"/>
          <w:sz w:val="32"/>
          <w:lang w:val="en-US" w:eastAsia="zh-CN"/>
        </w:rPr>
        <w:t>167.82</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rPr>
        <w:t>.社会保障和就业支出（类）其他社会保障和就业支出（款）其他社会保障和就业支出（项）：支出决算为</w:t>
      </w:r>
      <w:r>
        <w:rPr>
          <w:rFonts w:hint="eastAsia" w:ascii="仿宋_GB2312" w:hAnsi="仿宋_GB2312" w:eastAsia="仿宋_GB2312"/>
          <w:color w:val="000000"/>
          <w:sz w:val="32"/>
          <w:lang w:val="en-US" w:eastAsia="zh-CN"/>
        </w:rPr>
        <w:t>89.47</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7"/>
          <w:rFonts w:hint="eastAsia" w:ascii="仿宋_GB2312" w:eastAsia="仿宋_GB2312"/>
          <w:b w:val="0"/>
          <w:bCs w:val="0"/>
          <w:color w:val="000000"/>
          <w:sz w:val="32"/>
          <w:szCs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rPr>
        <w:t>.医疗卫生与计划生育支出（类）行政事业单位医疗（款）行政单位医疗（项）：支出决算为</w:t>
      </w:r>
      <w:r>
        <w:rPr>
          <w:rFonts w:hint="eastAsia" w:ascii="仿宋_GB2312" w:hAnsi="仿宋_GB2312" w:eastAsia="仿宋_GB2312"/>
          <w:color w:val="000000"/>
          <w:sz w:val="32"/>
          <w:lang w:val="en-US" w:eastAsia="zh-CN"/>
        </w:rPr>
        <w:t>166</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rPr>
        <w:t>.医疗卫生与计划生育支出（类）行政事业单位医疗（款）事业单位医疗（项）：支出决算为</w:t>
      </w:r>
      <w:r>
        <w:rPr>
          <w:rFonts w:hint="eastAsia" w:ascii="仿宋_GB2312" w:hAnsi="仿宋_GB2312" w:eastAsia="仿宋_GB2312"/>
          <w:color w:val="000000"/>
          <w:sz w:val="32"/>
          <w:lang w:val="en-US" w:eastAsia="zh-CN"/>
        </w:rPr>
        <w:t>125.75</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rPr>
        <w:t>.医疗卫生与计划生育支出（类）行政事业单位医疗（款）公务员医疗补助（项）：支出决算为</w:t>
      </w:r>
      <w:r>
        <w:rPr>
          <w:rFonts w:hint="eastAsia" w:ascii="仿宋_GB2312" w:hAnsi="仿宋_GB2312" w:eastAsia="仿宋_GB2312"/>
          <w:color w:val="000000"/>
          <w:sz w:val="32"/>
          <w:lang w:val="en-US" w:eastAsia="zh-CN"/>
        </w:rPr>
        <w:t>87.95</w:t>
      </w:r>
      <w:r>
        <w:rPr>
          <w:rFonts w:hint="eastAsia" w:ascii="仿宋_GB2312" w:hAnsi="仿宋_GB2312" w:eastAsia="仿宋_GB2312"/>
          <w:color w:val="000000"/>
          <w:sz w:val="32"/>
        </w:rPr>
        <w:t>万元，完成预算100%。</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5</w:t>
      </w:r>
      <w:r>
        <w:rPr>
          <w:rFonts w:hint="eastAsia" w:ascii="仿宋_GB2312" w:hAnsi="仿宋_GB2312" w:eastAsia="仿宋_GB2312"/>
          <w:color w:val="000000"/>
          <w:sz w:val="32"/>
        </w:rPr>
        <w:t>.商业服务业等支出（类）商业流通事务（款）其他商业流通事务支出（项）：支出决算为</w:t>
      </w:r>
      <w:r>
        <w:rPr>
          <w:rFonts w:hint="eastAsia" w:ascii="仿宋_GB2312" w:hAnsi="仿宋_GB2312" w:eastAsia="仿宋_GB2312"/>
          <w:color w:val="000000"/>
          <w:sz w:val="32"/>
          <w:lang w:val="en-US" w:eastAsia="zh-CN"/>
        </w:rPr>
        <w:t>1152.00</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.商业服务业等支出（类）涉外发展服务支出（款）其他涉外发展服务支出（项）：支出决算为</w:t>
      </w:r>
      <w:r>
        <w:rPr>
          <w:rFonts w:hint="eastAsia" w:ascii="仿宋_GB2312" w:hAnsi="仿宋_GB2312" w:eastAsia="仿宋_GB2312"/>
          <w:color w:val="000000"/>
          <w:sz w:val="32"/>
          <w:lang w:val="en-US" w:eastAsia="zh-CN"/>
        </w:rPr>
        <w:t>584.25</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7</w:t>
      </w:r>
      <w:r>
        <w:rPr>
          <w:rFonts w:hint="eastAsia" w:ascii="仿宋_GB2312" w:hAnsi="仿宋_GB2312" w:eastAsia="仿宋_GB2312"/>
          <w:color w:val="000000"/>
          <w:sz w:val="32"/>
        </w:rPr>
        <w:t>.商业服务业等支出（类）其他商业服务业等支出（款）其他商业服务业等支出（项）：支出决算为</w:t>
      </w:r>
      <w:r>
        <w:rPr>
          <w:rFonts w:hint="eastAsia" w:ascii="仿宋_GB2312" w:hAnsi="仿宋_GB2312" w:eastAsia="仿宋_GB2312"/>
          <w:color w:val="000000"/>
          <w:sz w:val="32"/>
          <w:lang w:val="en-US" w:eastAsia="zh-CN"/>
        </w:rPr>
        <w:t>242.64</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p>
    <w:p>
      <w:pPr>
        <w:pStyle w:val="31"/>
        <w:autoSpaceDN w:val="0"/>
        <w:ind w:firstLine="640" w:firstLineChars="200"/>
        <w:jc w:val="left"/>
        <w:textAlignment w:val="bottom"/>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hint="eastAsia" w:ascii="仿宋_GB2312" w:hAnsi="仿宋_GB2312" w:eastAsia="仿宋_GB2312"/>
          <w:color w:val="000000"/>
          <w:sz w:val="32"/>
          <w:lang w:val="en-US" w:eastAsia="zh-CN"/>
        </w:rPr>
        <w:t>8</w:t>
      </w:r>
      <w:r>
        <w:rPr>
          <w:rFonts w:hint="eastAsia" w:ascii="仿宋_GB2312" w:hAnsi="仿宋_GB2312" w:eastAsia="仿宋_GB2312"/>
          <w:color w:val="000000"/>
          <w:sz w:val="32"/>
        </w:rPr>
        <w:t>.住房保障支出（类）住房改革支出（款）住房公积金（项）：支出决算为</w:t>
      </w:r>
      <w:r>
        <w:rPr>
          <w:rFonts w:hint="eastAsia" w:ascii="仿宋_GB2312" w:hAnsi="仿宋_GB2312" w:eastAsia="仿宋_GB2312"/>
          <w:color w:val="000000"/>
          <w:sz w:val="32"/>
          <w:lang w:val="en-US" w:eastAsia="zh-CN"/>
        </w:rPr>
        <w:t>364.71</w:t>
      </w:r>
      <w:r>
        <w:rPr>
          <w:rFonts w:hint="eastAsia" w:ascii="仿宋_GB2312" w:hAnsi="仿宋_GB2312" w:eastAsia="仿宋_GB2312"/>
          <w:color w:val="000000"/>
          <w:sz w:val="32"/>
        </w:rPr>
        <w:t>万元，完成预算</w:t>
      </w:r>
      <w:r>
        <w:rPr>
          <w:rFonts w:hint="eastAsia" w:ascii="仿宋_GB2312" w:hAnsi="仿宋_GB2312" w:eastAsia="仿宋_GB2312"/>
          <w:color w:val="000000"/>
          <w:sz w:val="32"/>
          <w:lang w:val="en-US" w:eastAsia="zh-CN"/>
        </w:rPr>
        <w:t>100</w:t>
      </w:r>
      <w:r>
        <w:rPr>
          <w:rFonts w:hint="eastAsia" w:ascii="仿宋_GB2312" w:hAnsi="仿宋_GB2312" w:eastAsia="仿宋_GB2312"/>
          <w:color w:val="000000"/>
          <w:sz w:val="32"/>
        </w:rPr>
        <w:t>%</w:t>
      </w:r>
      <w:r>
        <w:rPr>
          <w:rStyle w:val="38"/>
          <w:rFonts w:hint="eastAsia" w:ascii="仿宋_GB2312" w:eastAsia="仿宋_GB2312"/>
          <w:b w:val="0"/>
          <w:bCs w:val="0"/>
          <w:color w:val="000000"/>
          <w:sz w:val="32"/>
          <w:szCs w:val="32"/>
        </w:rPr>
        <w:t>。</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lang w:val="en-US" w:eastAsia="zh-CN"/>
        </w:rPr>
        <w:t>29</w:t>
      </w:r>
      <w:r>
        <w:rPr>
          <w:rFonts w:hint="eastAsia" w:ascii="仿宋_GB2312" w:hAnsi="仿宋_GB2312" w:eastAsia="仿宋_GB2312"/>
          <w:color w:val="000000"/>
          <w:sz w:val="32"/>
        </w:rPr>
        <w:t>.住房保障支出（类）住房改革支出（款）购房补贴（项）：支出决算为</w:t>
      </w:r>
      <w:r>
        <w:rPr>
          <w:rFonts w:hint="eastAsia" w:ascii="仿宋_GB2312" w:hAnsi="仿宋_GB2312" w:eastAsia="仿宋_GB2312"/>
          <w:color w:val="000000"/>
          <w:sz w:val="32"/>
          <w:lang w:val="en-US" w:eastAsia="zh-CN"/>
        </w:rPr>
        <w:t>108.14</w:t>
      </w:r>
      <w:r>
        <w:rPr>
          <w:rFonts w:hint="eastAsia" w:ascii="仿宋_GB2312" w:hAnsi="仿宋_GB2312" w:eastAsia="仿宋_GB2312"/>
          <w:color w:val="000000"/>
          <w:sz w:val="32"/>
        </w:rPr>
        <w:t>万元，完成预算100%。</w:t>
      </w:r>
    </w:p>
    <w:p>
      <w:pPr>
        <w:spacing w:line="60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30.</w:t>
      </w:r>
      <w:r>
        <w:rPr>
          <w:rFonts w:hint="eastAsia" w:ascii="仿宋_GB2312" w:hAnsi="仿宋_GB2312" w:eastAsia="仿宋_GB2312"/>
          <w:color w:val="000000"/>
          <w:sz w:val="32"/>
          <w:lang w:eastAsia="zh-CN"/>
        </w:rPr>
        <w:t>灾害防治及应急管理支出</w:t>
      </w:r>
      <w:r>
        <w:rPr>
          <w:rFonts w:hint="eastAsia" w:ascii="仿宋_GB2312" w:hAnsi="仿宋_GB2312" w:eastAsia="仿宋_GB2312"/>
          <w:color w:val="000000"/>
          <w:sz w:val="32"/>
        </w:rPr>
        <w:t>（类）</w:t>
      </w:r>
      <w:r>
        <w:rPr>
          <w:rFonts w:hint="eastAsia" w:ascii="仿宋_GB2312" w:hAnsi="仿宋_GB2312" w:eastAsia="仿宋_GB2312"/>
          <w:color w:val="000000"/>
          <w:sz w:val="32"/>
          <w:lang w:eastAsia="zh-CN"/>
        </w:rPr>
        <w:t>应急管理事务</w:t>
      </w:r>
      <w:r>
        <w:rPr>
          <w:rFonts w:hint="eastAsia" w:ascii="仿宋_GB2312" w:hAnsi="仿宋_GB2312" w:eastAsia="仿宋_GB2312"/>
          <w:color w:val="000000"/>
          <w:sz w:val="32"/>
        </w:rPr>
        <w:t>（款）</w:t>
      </w:r>
      <w:r>
        <w:rPr>
          <w:rFonts w:hint="eastAsia" w:ascii="仿宋_GB2312" w:hAnsi="仿宋_GB2312" w:eastAsia="仿宋_GB2312"/>
          <w:color w:val="000000"/>
          <w:sz w:val="32"/>
          <w:lang w:eastAsia="zh-CN"/>
        </w:rPr>
        <w:t>其他应急管理事务</w:t>
      </w:r>
      <w:r>
        <w:rPr>
          <w:rFonts w:hint="eastAsia" w:ascii="仿宋_GB2312" w:hAnsi="仿宋_GB2312" w:eastAsia="仿宋_GB2312"/>
          <w:color w:val="000000"/>
          <w:sz w:val="32"/>
        </w:rPr>
        <w:t>（项）：支出决算为</w:t>
      </w:r>
      <w:r>
        <w:rPr>
          <w:rFonts w:hint="eastAsia" w:ascii="仿宋_GB2312" w:hAnsi="仿宋_GB2312" w:eastAsia="仿宋_GB2312"/>
          <w:color w:val="000000"/>
          <w:sz w:val="32"/>
          <w:lang w:val="en-US" w:eastAsia="zh-CN"/>
        </w:rPr>
        <w:t>5</w:t>
      </w:r>
      <w:r>
        <w:rPr>
          <w:rFonts w:hint="eastAsia" w:ascii="仿宋_GB2312" w:hAnsi="仿宋_GB2312" w:eastAsia="仿宋_GB2312"/>
          <w:color w:val="000000"/>
          <w:sz w:val="32"/>
        </w:rPr>
        <w:t>万元，完成预算100%。</w:t>
      </w:r>
    </w:p>
    <w:p>
      <w:pPr>
        <w:tabs>
          <w:tab w:val="right" w:pos="8306"/>
        </w:tabs>
        <w:spacing w:line="600" w:lineRule="exact"/>
        <w:ind w:firstLine="640"/>
        <w:outlineLvl w:val="1"/>
        <w:rPr>
          <w:rStyle w:val="26"/>
        </w:rPr>
      </w:pPr>
      <w:bookmarkStart w:id="47" w:name="_Toc15396608"/>
      <w:bookmarkStart w:id="48" w:name="_Toc15377214"/>
      <w:bookmarkStart w:id="49" w:name="_Toc25647"/>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7"/>
      <w:bookmarkEnd w:id="48"/>
      <w:bookmarkEnd w:id="49"/>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9年一般公共预算财政拨款基本支出15,422.52万元，其中：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11,011.95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2,861.37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50" w:name="_Toc15377215"/>
      <w:bookmarkStart w:id="51" w:name="_Toc15396609"/>
      <w:bookmarkStart w:id="52" w:name="_Toc17217"/>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0"/>
      <w:bookmarkEnd w:id="51"/>
      <w:bookmarkEnd w:id="52"/>
    </w:p>
    <w:p>
      <w:pPr>
        <w:spacing w:line="600" w:lineRule="exact"/>
        <w:ind w:firstLine="640"/>
        <w:outlineLvl w:val="2"/>
        <w:rPr>
          <w:rFonts w:ascii="仿宋" w:hAnsi="仿宋" w:eastAsia="仿宋"/>
          <w:b/>
          <w:color w:val="000000"/>
          <w:sz w:val="32"/>
          <w:szCs w:val="32"/>
        </w:rPr>
      </w:pPr>
      <w:bookmarkStart w:id="53" w:name="_Toc15377216"/>
      <w:r>
        <w:rPr>
          <w:rFonts w:hint="eastAsia" w:ascii="仿宋" w:hAnsi="仿宋" w:eastAsia="仿宋"/>
          <w:b/>
          <w:color w:val="000000"/>
          <w:sz w:val="32"/>
          <w:szCs w:val="32"/>
        </w:rPr>
        <w:t>（一）“三公”经费财政拨款支出决算总体情况说明</w:t>
      </w:r>
      <w:bookmarkEnd w:id="5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310.32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61.48</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sz w:val="32"/>
          <w:szCs w:val="32"/>
        </w:rPr>
        <w:t>我厅严格执行公务接待管理制度，减少接待次数和陪同人数，不断压缩接待费支出；减少车辆维修费支出等</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4" w:name="_Toc15377217"/>
      <w:r>
        <w:rPr>
          <w:rFonts w:hint="eastAsia" w:ascii="仿宋" w:hAnsi="仿宋" w:eastAsia="仿宋"/>
          <w:b/>
          <w:color w:val="000000"/>
          <w:sz w:val="32"/>
          <w:szCs w:val="32"/>
        </w:rPr>
        <w:t>（二）“三公”经费财政拨款支出决算具体情况说明</w:t>
      </w:r>
      <w:bookmarkEnd w:id="5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199.59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64.32</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97.92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31.55</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12.81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4.13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drawing>
          <wp:anchor distT="0" distB="0" distL="114300" distR="114300" simplePos="0" relativeHeight="251685888" behindDoc="0" locked="0" layoutInCell="1" allowOverlap="1">
            <wp:simplePos x="0" y="0"/>
            <wp:positionH relativeFrom="column">
              <wp:posOffset>859155</wp:posOffset>
            </wp:positionH>
            <wp:positionV relativeFrom="paragraph">
              <wp:posOffset>94615</wp:posOffset>
            </wp:positionV>
            <wp:extent cx="3809365" cy="2164080"/>
            <wp:effectExtent l="0" t="0" r="635" b="762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3809365" cy="2164080"/>
                    </a:xfrm>
                    <a:prstGeom prst="rect">
                      <a:avLst/>
                    </a:prstGeom>
                    <a:noFill/>
                    <a:ln>
                      <a:noFill/>
                    </a:ln>
                  </pic:spPr>
                </pic:pic>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firstLineChars="200"/>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单位：万元</w:t>
      </w:r>
    </w:p>
    <w:p>
      <w:pPr>
        <w:spacing w:line="600" w:lineRule="exact"/>
        <w:ind w:firstLine="640"/>
        <w:rPr>
          <w:rFonts w:ascii="仿宋" w:hAnsi="仿宋" w:eastAsia="仿宋"/>
          <w:color w:val="000000"/>
          <w:sz w:val="32"/>
          <w:szCs w:val="32"/>
        </w:rPr>
      </w:pPr>
      <w:bookmarkStart w:id="102" w:name="_GoBack"/>
      <w:bookmarkEnd w:id="102"/>
      <w:r>
        <w:rPr>
          <w:rFonts w:hint="eastAsia" w:ascii="仿宋" w:hAnsi="仿宋" w:eastAsia="仿宋"/>
          <w:color w:val="000000"/>
          <w:sz w:val="32"/>
          <w:szCs w:val="32"/>
        </w:rPr>
        <w:t>（图7：“三公”经费财政拨款支出结构）（饼状图）</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199.59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90.72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35</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42</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1.61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我厅厉行节约，压缩出国费。</w:t>
      </w:r>
    </w:p>
    <w:p>
      <w:pPr>
        <w:spacing w:line="600" w:lineRule="exact"/>
        <w:ind w:firstLine="640"/>
        <w:rPr>
          <w:rFonts w:hint="eastAsia" w:ascii="仿宋_GB2312" w:hAnsi="Times New Roman" w:eastAsia="仿宋_GB2312" w:cs="Times New Roman"/>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组织</w:t>
      </w:r>
      <w:r>
        <w:rPr>
          <w:rFonts w:hint="eastAsia" w:ascii="仿宋_GB2312" w:hAnsi="Times New Roman" w:eastAsia="仿宋_GB2312" w:cs="Times New Roman"/>
          <w:color w:val="000000"/>
          <w:sz w:val="32"/>
          <w:szCs w:val="32"/>
        </w:rPr>
        <w:t>经贸交流访问团，赴欧洲、亚洲、每周、澳洲等重点国家和地区参加行业展会，开展小分队招商、推介会、对接会、一对一洽谈、登门拜访、办展等多种形式的经贸促进活动，在巩固传统市场和经贸合作模式的基础上，进一步深化我省与相关国家和地区在“5+1”重点产业以及商贸流通、现代服务业和园区建设等方面的投资贸易合作</w:t>
      </w:r>
      <w:r>
        <w:rPr>
          <w:rFonts w:hint="eastAsia" w:ascii="仿宋_GB2312" w:hAnsi="Times New Roman" w:eastAsia="仿宋_GB2312" w:cs="Times New Roman"/>
          <w:color w:val="000000"/>
          <w:sz w:val="32"/>
          <w:szCs w:val="32"/>
          <w:lang w:eastAsia="zh-CN"/>
        </w:rPr>
        <w:t>。</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97.92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42.91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9.45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8.8</w:t>
      </w:r>
      <w:r>
        <w:rPr>
          <w:rFonts w:ascii="仿宋_GB2312" w:eastAsia="仿宋_GB2312"/>
          <w:color w:val="000000"/>
          <w:sz w:val="32"/>
          <w:szCs w:val="32"/>
        </w:rPr>
        <w:t>%</w:t>
      </w:r>
      <w:r>
        <w:rPr>
          <w:rFonts w:hint="eastAsia" w:ascii="仿宋_GB2312" w:eastAsia="仿宋_GB2312"/>
          <w:color w:val="000000"/>
          <w:sz w:val="32"/>
          <w:szCs w:val="32"/>
        </w:rPr>
        <w:t>。主要原因是厉行节约，</w:t>
      </w:r>
      <w:r>
        <w:rPr>
          <w:rFonts w:hint="eastAsia" w:ascii="仿宋_GB2312" w:eastAsia="仿宋_GB2312"/>
          <w:color w:val="000000"/>
          <w:sz w:val="32"/>
          <w:szCs w:val="32"/>
          <w:lang w:eastAsia="zh-CN"/>
        </w:rPr>
        <w:t>压缩</w:t>
      </w:r>
      <w:r>
        <w:rPr>
          <w:rFonts w:hint="eastAsia" w:ascii="仿宋_GB2312" w:eastAsia="仿宋_GB2312"/>
          <w:color w:val="000000"/>
          <w:sz w:val="32"/>
          <w:szCs w:val="32"/>
        </w:rPr>
        <w:t>公务用车运行费用</w:t>
      </w:r>
      <w:r>
        <w:rPr>
          <w:rFonts w:hint="eastAsia" w:ascii="仿宋_GB2312" w:eastAsia="仿宋_GB2312"/>
          <w:color w:val="000000"/>
          <w:sz w:val="32"/>
          <w:szCs w:val="32"/>
          <w:lang w:eastAsia="zh-CN"/>
        </w:rPr>
        <w:t>。</w:t>
      </w:r>
    </w:p>
    <w:p>
      <w:pPr>
        <w:spacing w:line="600" w:lineRule="exact"/>
        <w:ind w:firstLine="640" w:firstLineChars="200"/>
        <w:rPr>
          <w:rFonts w:hint="default" w:ascii="仿宋_GB2312" w:eastAsia="仿宋_GB2312"/>
          <w:b w:val="0"/>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、其他用车</w:t>
      </w:r>
      <w:r>
        <w:rPr>
          <w:rFonts w:hint="eastAsia" w:ascii="仿宋_GB2312" w:eastAsia="仿宋_GB2312"/>
          <w:color w:val="000000"/>
          <w:sz w:val="32"/>
          <w:szCs w:val="32"/>
          <w:lang w:val="en-US" w:eastAsia="zh-CN"/>
        </w:rPr>
        <w:t>26辆。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97.92</w:t>
      </w:r>
      <w:r>
        <w:rPr>
          <w:rFonts w:hint="eastAsia" w:ascii="仿宋_GB2312" w:eastAsia="仿宋_GB2312"/>
          <w:color w:val="000000"/>
          <w:sz w:val="32"/>
          <w:szCs w:val="32"/>
        </w:rPr>
        <w:t>万元。主要用于电子商务进农村、脱贫</w:t>
      </w:r>
      <w:r>
        <w:rPr>
          <w:rFonts w:hint="eastAsia" w:ascii="仿宋_GB2312" w:eastAsia="仿宋_GB2312"/>
          <w:color w:val="000000"/>
          <w:sz w:val="32"/>
          <w:szCs w:val="32"/>
          <w:lang w:eastAsia="zh-CN"/>
        </w:rPr>
        <w:t>攻坚</w:t>
      </w:r>
      <w:r>
        <w:rPr>
          <w:rFonts w:hint="eastAsia" w:ascii="仿宋_GB2312" w:eastAsia="仿宋_GB2312"/>
          <w:color w:val="000000"/>
          <w:sz w:val="32"/>
          <w:szCs w:val="32"/>
        </w:rPr>
        <w:t>、</w:t>
      </w:r>
      <w:r>
        <w:rPr>
          <w:rFonts w:hint="eastAsia" w:ascii="仿宋_GB2312" w:eastAsia="仿宋_GB2312"/>
          <w:color w:val="000000"/>
          <w:sz w:val="32"/>
          <w:szCs w:val="32"/>
          <w:lang w:eastAsia="zh-CN"/>
        </w:rPr>
        <w:t>市场</w:t>
      </w:r>
      <w:r>
        <w:rPr>
          <w:rFonts w:hint="eastAsia" w:ascii="仿宋_GB2312" w:eastAsia="仿宋_GB2312"/>
          <w:color w:val="000000"/>
          <w:sz w:val="32"/>
          <w:szCs w:val="32"/>
        </w:rPr>
        <w:t>体系建设、</w:t>
      </w:r>
      <w:r>
        <w:rPr>
          <w:rFonts w:hint="eastAsia" w:ascii="仿宋_GB2312" w:eastAsia="仿宋_GB2312"/>
          <w:color w:val="000000"/>
          <w:sz w:val="32"/>
          <w:szCs w:val="32"/>
          <w:lang w:eastAsia="zh-CN"/>
        </w:rPr>
        <w:t>安全</w:t>
      </w:r>
      <w:r>
        <w:rPr>
          <w:rFonts w:hint="eastAsia" w:ascii="仿宋_GB2312" w:eastAsia="仿宋_GB2312"/>
          <w:color w:val="000000"/>
          <w:sz w:val="32"/>
          <w:szCs w:val="32"/>
        </w:rPr>
        <w:t>检查等所需的公务用车燃料费、维修费、过路过桥费、保险费等支出。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12.81</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22.66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11.82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47.99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按照过紧日子要求，减少接待批次和人数，</w:t>
      </w:r>
      <w:r>
        <w:rPr>
          <w:rFonts w:hint="eastAsia" w:ascii="仿宋_GB2312" w:eastAsia="仿宋_GB2312"/>
          <w:color w:val="000000"/>
          <w:sz w:val="32"/>
          <w:szCs w:val="32"/>
        </w:rPr>
        <w:t>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12.81</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630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12.81</w:t>
      </w:r>
      <w:r>
        <w:rPr>
          <w:rFonts w:hint="eastAsia" w:ascii="仿宋_GB2312" w:eastAsia="仿宋_GB2312"/>
          <w:color w:val="000000"/>
          <w:sz w:val="32"/>
          <w:szCs w:val="32"/>
        </w:rPr>
        <w:t>万元，具体内容包括：</w:t>
      </w:r>
      <w:r>
        <w:rPr>
          <w:rFonts w:hint="eastAsia" w:ascii="仿宋_GB2312" w:hAnsi="仿宋" w:eastAsia="仿宋_GB2312" w:cs="仿宋_GB2312"/>
          <w:sz w:val="32"/>
          <w:szCs w:val="32"/>
        </w:rPr>
        <w:t>主管部门接待费</w:t>
      </w:r>
      <w:r>
        <w:rPr>
          <w:rFonts w:hint="eastAsia" w:ascii="仿宋_GB2312" w:eastAsia="仿宋_GB2312"/>
          <w:color w:val="000000"/>
          <w:sz w:val="32"/>
          <w:szCs w:val="32"/>
          <w:lang w:val="en-US" w:eastAsia="zh-CN"/>
        </w:rPr>
        <w:t>4.5</w:t>
      </w:r>
      <w:r>
        <w:rPr>
          <w:rFonts w:hint="eastAsia" w:ascii="仿宋_GB2312" w:hAnsi="仿宋" w:eastAsia="仿宋_GB2312" w:cs="仿宋_GB2312"/>
          <w:sz w:val="32"/>
          <w:szCs w:val="32"/>
        </w:rPr>
        <w:t>万元，省际接待费</w:t>
      </w:r>
      <w:r>
        <w:rPr>
          <w:rFonts w:hint="eastAsia" w:ascii="仿宋_GB2312" w:hAnsi="仿宋" w:eastAsia="仿宋_GB2312" w:cs="仿宋_GB2312"/>
          <w:sz w:val="32"/>
          <w:szCs w:val="32"/>
          <w:lang w:val="en-US" w:eastAsia="zh-CN"/>
        </w:rPr>
        <w:t>3.2</w:t>
      </w:r>
      <w:r>
        <w:rPr>
          <w:rFonts w:hint="eastAsia" w:ascii="仿宋_GB2312" w:hAnsi="仿宋" w:eastAsia="仿宋_GB2312" w:cs="仿宋_GB2312"/>
          <w:sz w:val="32"/>
          <w:szCs w:val="32"/>
        </w:rPr>
        <w:t>万元，地市州</w:t>
      </w:r>
      <w:r>
        <w:rPr>
          <w:rFonts w:hint="eastAsia" w:ascii="仿宋_GB2312" w:hAnsi="仿宋" w:eastAsia="仿宋_GB2312" w:cs="仿宋_GB2312"/>
          <w:sz w:val="32"/>
          <w:szCs w:val="32"/>
          <w:lang w:eastAsia="zh-CN"/>
        </w:rPr>
        <w:t>接待</w:t>
      </w:r>
      <w:r>
        <w:rPr>
          <w:rFonts w:hint="eastAsia" w:ascii="仿宋_GB2312" w:hAnsi="仿宋" w:eastAsia="仿宋_GB2312" w:cs="仿宋_GB2312"/>
          <w:sz w:val="32"/>
          <w:szCs w:val="32"/>
          <w:lang w:val="en-US" w:eastAsia="zh-CN"/>
        </w:rPr>
        <w:t>1.21</w:t>
      </w:r>
      <w:r>
        <w:rPr>
          <w:rFonts w:hint="eastAsia" w:ascii="仿宋_GB2312" w:hAnsi="仿宋" w:eastAsia="仿宋_GB2312" w:cs="仿宋_GB2312"/>
          <w:sz w:val="32"/>
          <w:szCs w:val="32"/>
        </w:rPr>
        <w:t>万元，外事接待</w:t>
      </w:r>
      <w:r>
        <w:rPr>
          <w:rFonts w:hint="eastAsia" w:ascii="仿宋_GB2312" w:hAnsi="仿宋" w:eastAsia="仿宋_GB2312" w:cs="仿宋_GB2312"/>
          <w:sz w:val="32"/>
          <w:szCs w:val="32"/>
          <w:lang w:val="en-US" w:eastAsia="zh-CN"/>
        </w:rPr>
        <w:t>3.9</w:t>
      </w:r>
      <w:r>
        <w:rPr>
          <w:rFonts w:hint="eastAsia" w:ascii="仿宋_GB2312" w:hAnsi="仿宋" w:eastAsia="仿宋_GB2312" w:cs="仿宋_GB2312"/>
          <w:sz w:val="32"/>
          <w:szCs w:val="32"/>
        </w:rPr>
        <w:t>万元等</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3.9</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177</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3.9</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sz w:val="32"/>
          <w:szCs w:val="32"/>
        </w:rPr>
        <w:t>主要用于接待境外相关商协会、企业、国外驻成都总领事馆、驻华大使等相关人员来川访问事宜</w:t>
      </w:r>
      <w:r>
        <w:rPr>
          <w:rFonts w:hint="eastAsia" w:ascii="仿宋_GB2312" w:eastAsia="仿宋_GB2312" w:cs="Times New Roman"/>
          <w:color w:val="000000"/>
          <w:sz w:val="32"/>
          <w:szCs w:val="32"/>
          <w:lang w:eastAsia="zh-CN"/>
        </w:rPr>
        <w:t>。</w:t>
      </w:r>
    </w:p>
    <w:p>
      <w:pPr>
        <w:spacing w:line="600" w:lineRule="exact"/>
        <w:ind w:firstLine="640"/>
        <w:outlineLvl w:val="1"/>
        <w:rPr>
          <w:rStyle w:val="26"/>
          <w:rFonts w:ascii="黑体" w:hAnsi="黑体" w:eastAsia="黑体"/>
        </w:rPr>
      </w:pPr>
      <w:bookmarkStart w:id="55" w:name="_Toc15396610"/>
      <w:bookmarkStart w:id="56" w:name="_Toc15377218"/>
      <w:bookmarkStart w:id="57" w:name="_Toc437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55"/>
      <w:bookmarkEnd w:id="56"/>
      <w:bookmarkEnd w:id="5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58" w:name="_Toc15396611"/>
      <w:bookmarkStart w:id="59" w:name="_Toc9110"/>
      <w:bookmarkStart w:id="60" w:name="_Toc15377219"/>
      <w:r>
        <w:rPr>
          <w:rStyle w:val="26"/>
          <w:rFonts w:hint="eastAsia" w:ascii="黑体" w:hAnsi="黑体" w:eastAsia="黑体"/>
          <w:b w:val="0"/>
        </w:rPr>
        <w:t>国有资本经营预算支出决算情况说明</w:t>
      </w:r>
      <w:bookmarkEnd w:id="58"/>
      <w:bookmarkEnd w:id="59"/>
      <w:bookmarkEnd w:id="6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61" w:name="_Toc125"/>
      <w:bookmarkStart w:id="62" w:name="_Toc15396612"/>
      <w:bookmarkStart w:id="63"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61"/>
      <w:bookmarkEnd w:id="62"/>
      <w:bookmarkEnd w:id="63"/>
    </w:p>
    <w:p>
      <w:pPr>
        <w:spacing w:line="600" w:lineRule="exact"/>
        <w:ind w:firstLine="643" w:firstLineChars="200"/>
        <w:outlineLvl w:val="2"/>
        <w:rPr>
          <w:rFonts w:ascii="仿宋" w:hAnsi="仿宋" w:eastAsia="仿宋"/>
          <w:color w:val="000000"/>
          <w:sz w:val="32"/>
          <w:szCs w:val="32"/>
        </w:rPr>
      </w:pPr>
      <w:bookmarkStart w:id="64" w:name="_Toc15377222"/>
      <w:r>
        <w:rPr>
          <w:rFonts w:hint="eastAsia" w:ascii="仿宋" w:hAnsi="仿宋" w:eastAsia="仿宋"/>
          <w:b/>
          <w:color w:val="000000"/>
          <w:sz w:val="32"/>
          <w:szCs w:val="32"/>
        </w:rPr>
        <w:t>（一）机关运行经费支出情况</w:t>
      </w:r>
      <w:bookmarkEnd w:id="64"/>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四川省商务厅</w:t>
      </w:r>
      <w:r>
        <w:rPr>
          <w:rFonts w:hint="eastAsia" w:ascii="仿宋_GB2312" w:eastAsia="仿宋_GB2312"/>
          <w:color w:val="000000"/>
          <w:sz w:val="32"/>
          <w:szCs w:val="32"/>
        </w:rPr>
        <w:t>机关运行经费支出1315.90万元，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2018年增加722.4万元，增长121.72%，主要原因是统计口径变化，非定额公用经费纳入机关运行经费反映，如剔除此因素，机关运行经费与上年持平</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5" w:name="_Toc15377223"/>
      <w:r>
        <w:rPr>
          <w:rFonts w:hint="eastAsia" w:ascii="仿宋" w:hAnsi="仿宋" w:eastAsia="仿宋"/>
          <w:b/>
          <w:color w:val="000000"/>
          <w:sz w:val="32"/>
          <w:szCs w:val="32"/>
        </w:rPr>
        <w:t>（二）政府采购支出情况</w:t>
      </w:r>
      <w:bookmarkEnd w:id="65"/>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四川省商务厅</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5505.65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1752.34</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1493.37</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2259.94</w:t>
      </w:r>
      <w:r>
        <w:rPr>
          <w:rFonts w:hint="eastAsia" w:ascii="仿宋_GB2312" w:eastAsia="仿宋_GB2312"/>
          <w:color w:val="000000"/>
          <w:sz w:val="32"/>
          <w:szCs w:val="32"/>
        </w:rPr>
        <w:t>万元。主要用于办公设备设施耗材购置以及车辆维修加油、物业管理等专项业务购买服务等工作</w:t>
      </w:r>
      <w:r>
        <w:rPr>
          <w:rFonts w:hint="eastAsia" w:ascii="仿宋_GB2312" w:eastAsia="仿宋_GB2312"/>
          <w:color w:val="000000"/>
          <w:sz w:val="32"/>
          <w:szCs w:val="32"/>
          <w:lang w:eastAsia="zh-CN"/>
        </w:rPr>
        <w:t>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3164.86</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57.48</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1456.17</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26.45</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6" w:name="_Toc15377224"/>
      <w:r>
        <w:rPr>
          <w:rFonts w:hint="eastAsia" w:ascii="仿宋" w:hAnsi="仿宋" w:eastAsia="仿宋"/>
          <w:b/>
          <w:color w:val="000000"/>
          <w:sz w:val="32"/>
          <w:szCs w:val="32"/>
        </w:rPr>
        <w:t>（三）国有资产占有使用情况</w:t>
      </w:r>
      <w:bookmarkEnd w:id="66"/>
    </w:p>
    <w:p>
      <w:pPr>
        <w:autoSpaceDE w:val="0"/>
        <w:autoSpaceDN w:val="0"/>
        <w:adjustRightInd w:val="0"/>
        <w:spacing w:line="600" w:lineRule="exact"/>
        <w:ind w:firstLine="640" w:firstLineChars="200"/>
        <w:jc w:val="left"/>
        <w:outlineLvl w:val="9"/>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四川省商务厅</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eastAsia="zh-CN"/>
          <w14:textFill>
            <w14:solidFill>
              <w14:schemeClr w14:val="tx1"/>
            </w14:solidFill>
          </w14:textFill>
        </w:rPr>
        <w:t>普通公务出行保障。</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left="0" w:firstLine="643" w:firstLineChars="200"/>
        <w:jc w:val="left"/>
        <w:outlineLvl w:val="2"/>
        <w:rPr>
          <w:rFonts w:ascii="仿宋" w:hAnsi="仿宋" w:eastAsia="仿宋" w:cs="Times New Roman"/>
          <w:b/>
          <w:bCs w:val="0"/>
          <w:color w:val="000000"/>
          <w:sz w:val="32"/>
          <w:szCs w:val="32"/>
        </w:rPr>
      </w:pPr>
      <w:r>
        <w:rPr>
          <w:rFonts w:hint="eastAsia" w:ascii="仿宋" w:hAnsi="仿宋" w:eastAsia="仿宋" w:cs="Times New Roman"/>
          <w:b/>
          <w:bCs w:val="0"/>
          <w:color w:val="000000"/>
          <w:sz w:val="32"/>
          <w:szCs w:val="32"/>
          <w:u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根据预算绩效管理要求，本部门（单位）在年初预算编制阶段，组织对自贸办专项经费项目（项目名称）开展了预算事前绩效评估，对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本部门按要求对2019年部门整体支出开展绩效自评，从评价情况来看商务厅201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按照统一部署，按时、按质编制完成预算，一次性通过绩效目标审查，当年待批复项目预控指标全部细化。节能降耗效果较好，严格执行“三公经费”预算，严格执行政府采购预算，资产管理规范，内控制度健全。及时公开预算和决算、依法接受财政监督，部门职责履行结果很好，服务对象较为满意，整体支出绩效较好。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个项目支出绩效评价，从评价情况来看项目资金使用符合规定，达到预定绩效目标。</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本部门在2019年度部门决算中反映“自贸办专项经费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2019年学生资助经费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“学院外墙风貌整治”等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贸办专项经费项目绩效目标完成情况综述。项目全年预算数295万，执行数未198.7万元，完成预算的67.36%。通过项目实施，聚焦聚力改革创新高效协同，自贸试验区建设多点突破。积极打造川渝自贸试验区协同开放示范区，全面推进8个协同改革先行区建设，持续开展“魅力自贸·开放四川”链动全球活动，推动自贸试验区加快建设。发现的主要问题：当前我省商务发展不充分不平衡，外贸依存度仍然较低，企业集中、区域集中、方式集中给外贸带来较大的结构性风险；开放平台体制机制创新不够，能级亟待提升。尤其在中美经贸摩擦后续演化仍不确定背景下，影响正沿供应链、产业链传导至更多区域和领域。下一步要研究试行自贸试验区片区、国家外贸转型升级基地、国家级经开区、综合保税区、保税物流中心（B型）等平台口岸开放型经济指标排名制度，完善对外开放法治示范区创建指标，科学评估先行先试和引领发展工作成效，建立合理可行的“进出”机制，强化正向激励和逆向约束，推动在更多领域更好发挥“以点带面”示范带动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2019年学生资助经费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1210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%。通过项目实施，确保</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“不让一个学生因家庭经济困难而失学”，为家庭经济困难学生实现人生梦想提供了强有力的保障</w:t>
      </w:r>
      <w:r>
        <w:rPr>
          <w:rFonts w:hint="eastAsia" w:ascii="仿宋_GB2312" w:hAnsi="仿宋_GB2312" w:eastAsia="仿宋_GB2312" w:cs="仿宋_GB2312"/>
          <w:sz w:val="32"/>
          <w:szCs w:val="32"/>
          <w:lang w:eastAsia="zh-CN"/>
        </w:rPr>
        <w:t>。此外，形成了助困、奖优和引导相结合的资助架构，在助困的同时发现其中的优秀学生，树立优秀典型案例，加强励志教育、诚信教育和感恩教育，促进家庭经济困难学生更好地成长成才，实现资助育人的目的。今后，学院将继续认真落实各项学生资助工作，在精准资助上下足功夫，通过多种渠道，对受助对象进行科学评估和准确认定，实现资助对象精准、资助标准精准和资金发放时间精准，切实把好事办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院外墙风貌整治项目绩效目标完成情况综述。项目全年预算数1906万元，执行数为1503万元，完成预算的78.8%。师生满意度达到90%以上，质量良好，项目完成98%。通过项目实施，保障了学院外墙安全，整体提升了校园形象，室内粉刷通过了国家相关部门检测，保证了学生身体健康对学院的招生工作起到提升作业。发现的主要问题是由于第一次这么大的维修工作整体上还有部分漏项下一步会在今后的工作中逐步完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文家校区修复改造项目绩效目标完成情况综述。项目全年预算数</w:t>
      </w:r>
      <w:r>
        <w:rPr>
          <w:rFonts w:hint="eastAsia" w:ascii="仿宋_GB2312" w:hAnsi="仿宋_GB2312" w:eastAsia="仿宋_GB2312" w:cs="仿宋_GB2312"/>
          <w:sz w:val="32"/>
          <w:szCs w:val="32"/>
          <w:lang w:val="en-US" w:eastAsia="zh-CN"/>
        </w:rPr>
        <w:t>212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69%，完成项目数量指标85%质量指标良好师生满意度达到90%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完工时间比计划推迟了一个月。</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工期的准确性不够，主要是学生公寓室内粉刷减项及计划假期开工结果假期中才完成招标工作</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工期计划上考虑资金下拨时间及招标的不确定性，做出更加合理的时间计划。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特聘教师”项目绩效目标情况综述：项目全年预算数450万元，执行数450万元，完成预算的100%。通过项目实施，促进了中职学校学生专业技能实训操作能力，提高了毕业学生就业率。学校对现有校内教师培训和专业技能转化提升重视不够，短期内仍需校外聘请专家和实训教师任课。下一步将加强校内教师的专业和实操能力培训提升。</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tbl>
      <w:tblPr>
        <w:tblStyle w:val="12"/>
        <w:tblW w:w="9165" w:type="dxa"/>
        <w:tblInd w:w="0" w:type="dxa"/>
        <w:shd w:val="clear" w:color="auto" w:fill="auto"/>
        <w:tblLayout w:type="autofit"/>
        <w:tblCellMar>
          <w:top w:w="0" w:type="dxa"/>
          <w:left w:w="0" w:type="dxa"/>
          <w:bottom w:w="0" w:type="dxa"/>
          <w:right w:w="0" w:type="dxa"/>
        </w:tblCellMar>
      </w:tblPr>
      <w:tblGrid>
        <w:gridCol w:w="1065"/>
        <w:gridCol w:w="1035"/>
        <w:gridCol w:w="1035"/>
        <w:gridCol w:w="765"/>
        <w:gridCol w:w="675"/>
        <w:gridCol w:w="2595"/>
        <w:gridCol w:w="1995"/>
      </w:tblGrid>
      <w:tr>
        <w:tblPrEx>
          <w:tblCellMar>
            <w:top w:w="0" w:type="dxa"/>
            <w:left w:w="0" w:type="dxa"/>
            <w:bottom w:w="0" w:type="dxa"/>
            <w:right w:w="0" w:type="dxa"/>
          </w:tblCellMar>
        </w:tblPrEx>
        <w:trPr>
          <w:trHeight w:val="675" w:hRule="atLeast"/>
        </w:trPr>
        <w:tc>
          <w:tcPr>
            <w:tcW w:w="916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项目绩效目标完成情况表</w:t>
            </w:r>
          </w:p>
        </w:tc>
      </w:tr>
      <w:tr>
        <w:tblPrEx>
          <w:shd w:val="clear" w:color="auto" w:fill="auto"/>
          <w:tblCellMar>
            <w:top w:w="0" w:type="dxa"/>
            <w:left w:w="0" w:type="dxa"/>
            <w:bottom w:w="0" w:type="dxa"/>
            <w:right w:w="0" w:type="dxa"/>
          </w:tblCellMar>
        </w:tblPrEx>
        <w:trPr>
          <w:trHeight w:val="285" w:hRule="atLeast"/>
        </w:trPr>
        <w:tc>
          <w:tcPr>
            <w:tcW w:w="916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CellMar>
            <w:top w:w="0" w:type="dxa"/>
            <w:left w:w="0" w:type="dxa"/>
            <w:bottom w:w="0" w:type="dxa"/>
            <w:right w:w="0" w:type="dxa"/>
          </w:tblCellMar>
        </w:tblPrEx>
        <w:trPr>
          <w:trHeight w:val="43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5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39" w:hRule="atLeast"/>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0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自贸办专项经费</w:t>
            </w:r>
          </w:p>
        </w:tc>
      </w:tr>
      <w:tr>
        <w:tblPrEx>
          <w:tblCellMar>
            <w:top w:w="0" w:type="dxa"/>
            <w:left w:w="0" w:type="dxa"/>
            <w:bottom w:w="0" w:type="dxa"/>
            <w:right w:w="0" w:type="dxa"/>
          </w:tblCellMar>
        </w:tblPrEx>
        <w:trPr>
          <w:trHeight w:val="439" w:hRule="atLeast"/>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四川省商务厅</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四川省商务厅机关</w:t>
            </w:r>
          </w:p>
        </w:tc>
      </w:tr>
      <w:tr>
        <w:tblPrEx>
          <w:shd w:val="clear" w:color="auto" w:fill="auto"/>
          <w:tblCellMar>
            <w:top w:w="0" w:type="dxa"/>
            <w:left w:w="0" w:type="dxa"/>
            <w:bottom w:w="0" w:type="dxa"/>
            <w:right w:w="0" w:type="dxa"/>
          </w:tblCellMar>
        </w:tblPrEx>
        <w:trPr>
          <w:trHeight w:val="439" w:hRule="atLeast"/>
        </w:trPr>
        <w:tc>
          <w:tcPr>
            <w:tcW w:w="2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320.0</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198.7</w:t>
            </w:r>
          </w:p>
        </w:tc>
      </w:tr>
      <w:tr>
        <w:tblPrEx>
          <w:tblCellMar>
            <w:top w:w="0" w:type="dxa"/>
            <w:left w:w="0" w:type="dxa"/>
            <w:bottom w:w="0" w:type="dxa"/>
            <w:right w:w="0" w:type="dxa"/>
          </w:tblCellMar>
        </w:tblPrEx>
        <w:trPr>
          <w:trHeight w:val="439" w:hRule="atLeast"/>
        </w:trPr>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320.0</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198.7</w:t>
            </w:r>
          </w:p>
        </w:tc>
      </w:tr>
      <w:tr>
        <w:tblPrEx>
          <w:tblCellMar>
            <w:top w:w="0" w:type="dxa"/>
            <w:left w:w="0" w:type="dxa"/>
            <w:bottom w:w="0" w:type="dxa"/>
            <w:right w:w="0" w:type="dxa"/>
          </w:tblCellMar>
        </w:tblPrEx>
        <w:trPr>
          <w:trHeight w:val="439" w:hRule="atLeast"/>
        </w:trPr>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42"/>
                <w:lang w:val="en-US" w:eastAsia="zh-CN" w:bidi="ar"/>
              </w:rPr>
              <w:t xml:space="preserve"> 其他资金</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r>
      <w:tr>
        <w:tblPrEx>
          <w:shd w:val="clear" w:color="auto" w:fill="auto"/>
          <w:tblCellMar>
            <w:top w:w="0" w:type="dxa"/>
            <w:left w:w="0" w:type="dxa"/>
            <w:bottom w:w="0" w:type="dxa"/>
            <w:right w:w="0" w:type="dxa"/>
          </w:tblCellMar>
        </w:tblPrEx>
        <w:trPr>
          <w:trHeight w:val="439"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p>
        </w:tc>
        <w:tc>
          <w:tcPr>
            <w:tcW w:w="3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tblCellMar>
            <w:top w:w="0" w:type="dxa"/>
            <w:left w:w="0" w:type="dxa"/>
            <w:bottom w:w="0" w:type="dxa"/>
            <w:right w:w="0" w:type="dxa"/>
          </w:tblCellMar>
        </w:tblPrEx>
        <w:trPr>
          <w:trHeight w:val="271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推动四川省自贸试验区领导小组办公室各项工作开展</w:t>
            </w:r>
          </w:p>
        </w:tc>
        <w:tc>
          <w:tcPr>
            <w:tcW w:w="4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列入省委常委会重点事项，与省委省政府领导出访相结合，做好自贸区全球推介工作，用好各片区出台的优惠政策，提高外资对对四川的认识和来川投资创业的吸引力、竞争力。</w:t>
            </w:r>
          </w:p>
        </w:tc>
      </w:tr>
      <w:tr>
        <w:tblPrEx>
          <w:tblCellMar>
            <w:top w:w="0" w:type="dxa"/>
            <w:left w:w="0" w:type="dxa"/>
            <w:bottom w:w="0" w:type="dxa"/>
            <w:right w:w="0" w:type="dxa"/>
          </w:tblCellMar>
        </w:tblPrEx>
        <w:trPr>
          <w:trHeight w:val="439"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年度绩效指标完成情况</w:t>
            </w:r>
          </w:p>
        </w:tc>
        <w:tc>
          <w:tcPr>
            <w:tcW w:w="10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w:t>
            </w:r>
          </w:p>
        </w:tc>
      </w:tr>
      <w:tr>
        <w:tblPrEx>
          <w:shd w:val="clear" w:color="auto" w:fill="auto"/>
          <w:tblCellMar>
            <w:top w:w="0" w:type="dxa"/>
            <w:left w:w="0" w:type="dxa"/>
            <w:bottom w:w="0" w:type="dxa"/>
            <w:right w:w="0" w:type="dxa"/>
          </w:tblCellMar>
        </w:tblPrEx>
        <w:trPr>
          <w:trHeight w:val="48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数量指标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自贸办业务处室</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3个</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3个</w:t>
            </w:r>
          </w:p>
        </w:tc>
      </w:tr>
      <w:tr>
        <w:tblPrEx>
          <w:tblCellMar>
            <w:top w:w="0" w:type="dxa"/>
            <w:left w:w="0" w:type="dxa"/>
            <w:bottom w:w="0" w:type="dxa"/>
            <w:right w:w="0" w:type="dxa"/>
          </w:tblCellMar>
        </w:tblPrEx>
        <w:trPr>
          <w:trHeight w:val="480" w:hRule="atLeast"/>
        </w:trPr>
        <w:tc>
          <w:tcPr>
            <w:tcW w:w="106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自贸办职工人数</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15人</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经济效益指标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推动自贸试验区领导小组办公室各项工作顺利开展</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r>
      <w:tr>
        <w:tblPrEx>
          <w:tblCellMar>
            <w:top w:w="0" w:type="dxa"/>
            <w:left w:w="0" w:type="dxa"/>
            <w:bottom w:w="0" w:type="dxa"/>
            <w:right w:w="0" w:type="dxa"/>
          </w:tblCellMar>
        </w:tblPrEx>
        <w:trPr>
          <w:trHeight w:val="480" w:hRule="atLeast"/>
        </w:trPr>
        <w:tc>
          <w:tcPr>
            <w:tcW w:w="106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可持续影响指标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可持续影响力</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长期</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意</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满意度指标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社会满意度</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r>
    </w:tbl>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W w:w="9180" w:type="dxa"/>
        <w:tblInd w:w="0" w:type="dxa"/>
        <w:shd w:val="clear" w:color="auto" w:fill="auto"/>
        <w:tblLayout w:type="autofit"/>
        <w:tblCellMar>
          <w:top w:w="0" w:type="dxa"/>
          <w:left w:w="0" w:type="dxa"/>
          <w:bottom w:w="0" w:type="dxa"/>
          <w:right w:w="0" w:type="dxa"/>
        </w:tblCellMar>
      </w:tblPr>
      <w:tblGrid>
        <w:gridCol w:w="840"/>
        <w:gridCol w:w="735"/>
        <w:gridCol w:w="1215"/>
        <w:gridCol w:w="1215"/>
        <w:gridCol w:w="1065"/>
        <w:gridCol w:w="2175"/>
        <w:gridCol w:w="1935"/>
      </w:tblGrid>
      <w:tr>
        <w:tblPrEx>
          <w:shd w:val="clear" w:color="auto" w:fill="auto"/>
          <w:tblCellMar>
            <w:top w:w="0" w:type="dxa"/>
            <w:left w:w="0" w:type="dxa"/>
            <w:bottom w:w="0" w:type="dxa"/>
            <w:right w:w="0" w:type="dxa"/>
          </w:tblCellMar>
        </w:tblPrEx>
        <w:trPr>
          <w:trHeight w:val="675" w:hRule="atLeast"/>
        </w:trPr>
        <w:tc>
          <w:tcPr>
            <w:tcW w:w="91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项目绩效目标完成情况表</w:t>
            </w:r>
          </w:p>
        </w:tc>
      </w:tr>
      <w:tr>
        <w:tblPrEx>
          <w:shd w:val="clear" w:color="auto" w:fill="auto"/>
          <w:tblCellMar>
            <w:top w:w="0" w:type="dxa"/>
            <w:left w:w="0" w:type="dxa"/>
            <w:bottom w:w="0" w:type="dxa"/>
            <w:right w:w="0" w:type="dxa"/>
          </w:tblCellMar>
        </w:tblPrEx>
        <w:trPr>
          <w:trHeight w:val="285" w:hRule="atLeast"/>
        </w:trPr>
        <w:tc>
          <w:tcPr>
            <w:tcW w:w="91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shd w:val="clear" w:color="auto" w:fill="auto"/>
          <w:tblCellMar>
            <w:top w:w="0" w:type="dxa"/>
            <w:left w:w="0" w:type="dxa"/>
            <w:bottom w:w="0" w:type="dxa"/>
            <w:right w:w="0" w:type="dxa"/>
          </w:tblCellMar>
        </w:tblPrEx>
        <w:trPr>
          <w:trHeight w:val="43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39" w:hRule="atLeast"/>
        </w:trPr>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6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2019年学生资助经费</w:t>
            </w:r>
          </w:p>
        </w:tc>
      </w:tr>
      <w:tr>
        <w:tblPrEx>
          <w:shd w:val="clear" w:color="auto" w:fill="auto"/>
          <w:tblCellMar>
            <w:top w:w="0" w:type="dxa"/>
            <w:left w:w="0" w:type="dxa"/>
            <w:bottom w:w="0" w:type="dxa"/>
            <w:right w:w="0" w:type="dxa"/>
          </w:tblCellMar>
        </w:tblPrEx>
        <w:trPr>
          <w:trHeight w:val="439" w:hRule="atLeast"/>
        </w:trPr>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四川省商务厅</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四川商务职业学院</w:t>
            </w:r>
          </w:p>
        </w:tc>
      </w:tr>
      <w:tr>
        <w:tblPrEx>
          <w:shd w:val="clear" w:color="auto" w:fill="auto"/>
          <w:tblCellMar>
            <w:top w:w="0" w:type="dxa"/>
            <w:left w:w="0" w:type="dxa"/>
            <w:bottom w:w="0" w:type="dxa"/>
            <w:right w:w="0" w:type="dxa"/>
          </w:tblCellMar>
        </w:tblPrEx>
        <w:trPr>
          <w:trHeight w:val="439" w:hRule="atLeast"/>
        </w:trPr>
        <w:tc>
          <w:tcPr>
            <w:tcW w:w="15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1206.63</w:t>
            </w:r>
          </w:p>
        </w:tc>
      </w:tr>
      <w:tr>
        <w:tblPrEx>
          <w:shd w:val="clear" w:color="auto" w:fill="auto"/>
          <w:tblCellMar>
            <w:top w:w="0" w:type="dxa"/>
            <w:left w:w="0" w:type="dxa"/>
            <w:bottom w:w="0" w:type="dxa"/>
            <w:right w:w="0" w:type="dxa"/>
          </w:tblCellMar>
        </w:tblPrEx>
        <w:trPr>
          <w:trHeight w:val="439"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1206.63</w:t>
            </w:r>
          </w:p>
        </w:tc>
      </w:tr>
      <w:tr>
        <w:tblPrEx>
          <w:shd w:val="clear" w:color="auto" w:fill="auto"/>
          <w:tblCellMar>
            <w:top w:w="0" w:type="dxa"/>
            <w:left w:w="0" w:type="dxa"/>
            <w:bottom w:w="0" w:type="dxa"/>
            <w:right w:w="0" w:type="dxa"/>
          </w:tblCellMar>
        </w:tblPrEx>
        <w:trPr>
          <w:trHeight w:val="439"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r>
      <w:tr>
        <w:tblPrEx>
          <w:shd w:val="clear" w:color="auto" w:fill="auto"/>
          <w:tblCellMar>
            <w:top w:w="0" w:type="dxa"/>
            <w:left w:w="0" w:type="dxa"/>
            <w:bottom w:w="0" w:type="dxa"/>
            <w:right w:w="0" w:type="dxa"/>
          </w:tblCellMar>
        </w:tblPrEx>
        <w:trPr>
          <w:trHeight w:val="439"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p>
        </w:tc>
        <w:tc>
          <w:tcPr>
            <w:tcW w:w="42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shd w:val="clear" w:color="auto" w:fill="auto"/>
          <w:tblCellMar>
            <w:top w:w="0" w:type="dxa"/>
            <w:left w:w="0" w:type="dxa"/>
            <w:bottom w:w="0" w:type="dxa"/>
            <w:right w:w="0" w:type="dxa"/>
          </w:tblCellMar>
        </w:tblPrEx>
        <w:trPr>
          <w:trHeight w:val="271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助学金根据村上做出的贫困家庭证明，选取贫困学生资助。国家励志奖学金根据各系上评选的优秀学生（品学兼优）发放励志奖学金。这笔资金在一定程度上缓解了学生学业的压力，减轻了家庭的经济负担。学生可以把更多的精力投入到学习中。达到国家提出的不让一个贫困学生失学的号召。</w:t>
            </w:r>
          </w:p>
        </w:tc>
        <w:tc>
          <w:tcPr>
            <w:tcW w:w="4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根据国家奖助学金评定条件，在全院范围内评选出了国家奖助学金获得学生，上报了服兵役高等学校学生国家教育资助。按政策要求发放了国家奖学金5.6万元、国家励志奖学金112.5万元、国家助学金1021.655万元、应征入伍补助85.65万元。通过对品学兼优的学生发放奖学金进行表彰，对家庭经济困难学生发放助学金进行帮扶。有助于优良学风的形成，在一定程度上减轻了家庭经济困难学生就学方面的经济压力，使学生能全身心投入学习中，符合不让一个学生因家庭经济困难失学的号召。</w:t>
            </w:r>
          </w:p>
        </w:tc>
      </w:tr>
      <w:tr>
        <w:tblPrEx>
          <w:shd w:val="clear" w:color="auto" w:fill="auto"/>
          <w:tblCellMar>
            <w:top w:w="0" w:type="dxa"/>
            <w:left w:w="0" w:type="dxa"/>
            <w:bottom w:w="0" w:type="dxa"/>
            <w:right w:w="0" w:type="dxa"/>
          </w:tblCellMar>
        </w:tblPrEx>
        <w:trPr>
          <w:trHeight w:val="439"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年度绩效指标完成情况</w:t>
            </w:r>
          </w:p>
        </w:tc>
        <w:tc>
          <w:tcPr>
            <w:tcW w:w="7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w:t>
            </w:r>
          </w:p>
        </w:tc>
      </w:tr>
      <w:tr>
        <w:tblPrEx>
          <w:shd w:val="clear" w:color="auto" w:fill="auto"/>
          <w:tblCellMar>
            <w:top w:w="0" w:type="dxa"/>
            <w:left w:w="0" w:type="dxa"/>
            <w:bottom w:w="0" w:type="dxa"/>
            <w:right w:w="0" w:type="dxa"/>
          </w:tblCellMar>
        </w:tblPrEx>
        <w:trPr>
          <w:trHeight w:val="48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数量指标</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发放范围</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品学兼优的学生3万，贫困学生助学金740万，国家励志奖学金87万</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成学生奖助学金具体数量如下：国家奖学金7人，金额5.6万元；国家励志奖学金225人，金额112.5万元；国家助学金春季2599人，金额389.09万元、秋季3421人，金额564.465万元、助学金提标扩面177人，金额68.1万元；服兵役高等学校学生国家教育资助99人，金额85.65万元。</w:t>
            </w:r>
          </w:p>
        </w:tc>
      </w:tr>
      <w:tr>
        <w:tblPrEx>
          <w:shd w:val="clear" w:color="auto" w:fill="auto"/>
          <w:tblCellMar>
            <w:top w:w="0" w:type="dxa"/>
            <w:left w:w="0" w:type="dxa"/>
            <w:bottom w:w="0" w:type="dxa"/>
            <w:right w:w="0" w:type="dxa"/>
          </w:tblCellMar>
        </w:tblPrEx>
        <w:trPr>
          <w:trHeight w:val="480" w:hRule="atLeast"/>
        </w:trPr>
        <w:tc>
          <w:tcPr>
            <w:tcW w:w="8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时效指标</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发放时间</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2019年6月和2019年12月</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春季助学金已于2019年6月前按月完成发放；国家奖学金、国家励志奖学金、秋季助学金已于2019年11月30日前完成发放；服兵役高等学校学生国家教育资助已于2019年12月前完成当年学费扣缴和补偿发放。</w:t>
            </w:r>
          </w:p>
        </w:tc>
      </w:tr>
      <w:tr>
        <w:tblPrEx>
          <w:shd w:val="clear" w:color="auto" w:fill="auto"/>
          <w:tblCellMar>
            <w:top w:w="0" w:type="dxa"/>
            <w:left w:w="0" w:type="dxa"/>
            <w:bottom w:w="0" w:type="dxa"/>
            <w:right w:w="0"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社会效益指标</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减轻贫困家庭负担，增强社会稳定</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r>
      <w:tr>
        <w:tblPrEx>
          <w:shd w:val="clear" w:color="auto" w:fill="auto"/>
          <w:tblCellMar>
            <w:top w:w="0" w:type="dxa"/>
            <w:left w:w="0" w:type="dxa"/>
            <w:bottom w:w="0" w:type="dxa"/>
            <w:right w:w="0" w:type="dxa"/>
          </w:tblCellMar>
        </w:tblPrEx>
        <w:trPr>
          <w:trHeight w:val="480" w:hRule="atLeast"/>
        </w:trPr>
        <w:tc>
          <w:tcPr>
            <w:tcW w:w="8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可持续影响指标</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对学业影响期</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3年</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3年</w:t>
            </w:r>
          </w:p>
        </w:tc>
      </w:tr>
      <w:tr>
        <w:tblPrEx>
          <w:shd w:val="clear" w:color="auto" w:fill="auto"/>
          <w:tblCellMar>
            <w:top w:w="0" w:type="dxa"/>
            <w:left w:w="0" w:type="dxa"/>
            <w:bottom w:w="0" w:type="dxa"/>
            <w:right w:w="0"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意</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满意度指标</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学生满意度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90.86%</w:t>
            </w:r>
          </w:p>
        </w:tc>
      </w:tr>
    </w:tbl>
    <w:p>
      <w:pPr>
        <w:spacing w:line="580" w:lineRule="exact"/>
        <w:ind w:firstLine="640" w:firstLineChars="200"/>
        <w:rPr>
          <w:rFonts w:ascii="仿宋_GB2312" w:hAnsi="仿宋_GB2312" w:eastAsia="仿宋_GB2312" w:cs="仿宋_GB2312"/>
          <w:sz w:val="32"/>
          <w:szCs w:val="32"/>
        </w:rPr>
      </w:pPr>
    </w:p>
    <w:tbl>
      <w:tblPr>
        <w:tblStyle w:val="12"/>
        <w:tblW w:w="9615" w:type="dxa"/>
        <w:tblInd w:w="0" w:type="dxa"/>
        <w:shd w:val="clear" w:color="auto" w:fill="auto"/>
        <w:tblLayout w:type="autofit"/>
        <w:tblCellMar>
          <w:top w:w="0" w:type="dxa"/>
          <w:left w:w="0" w:type="dxa"/>
          <w:bottom w:w="0" w:type="dxa"/>
          <w:right w:w="0" w:type="dxa"/>
        </w:tblCellMar>
      </w:tblPr>
      <w:tblGrid>
        <w:gridCol w:w="1125"/>
        <w:gridCol w:w="1290"/>
        <w:gridCol w:w="915"/>
        <w:gridCol w:w="915"/>
        <w:gridCol w:w="1245"/>
        <w:gridCol w:w="1680"/>
        <w:gridCol w:w="2445"/>
      </w:tblGrid>
      <w:tr>
        <w:tblPrEx>
          <w:shd w:val="clear" w:color="auto" w:fill="auto"/>
        </w:tblPrEx>
        <w:trPr>
          <w:trHeight w:val="675" w:hRule="atLeast"/>
        </w:trPr>
        <w:tc>
          <w:tcPr>
            <w:tcW w:w="96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项目绩效目标完成情况表</w:t>
            </w:r>
          </w:p>
        </w:tc>
      </w:tr>
      <w:tr>
        <w:tblPrEx>
          <w:shd w:val="clear" w:color="auto" w:fill="auto"/>
          <w:tblCellMar>
            <w:top w:w="0" w:type="dxa"/>
            <w:left w:w="0" w:type="dxa"/>
            <w:bottom w:w="0" w:type="dxa"/>
            <w:right w:w="0" w:type="dxa"/>
          </w:tblCellMar>
        </w:tblPrEx>
        <w:trPr>
          <w:trHeight w:val="285" w:hRule="atLeast"/>
        </w:trPr>
        <w:tc>
          <w:tcPr>
            <w:tcW w:w="96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shd w:val="clear" w:color="auto" w:fill="auto"/>
          <w:tblCellMar>
            <w:top w:w="0" w:type="dxa"/>
            <w:left w:w="0" w:type="dxa"/>
            <w:bottom w:w="0" w:type="dxa"/>
            <w:right w:w="0" w:type="dxa"/>
          </w:tblCellMar>
        </w:tblPrEx>
        <w:trPr>
          <w:trHeight w:val="43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39" w:hRule="atLeast"/>
        </w:trPr>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2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学院外墙风貌整治</w:t>
            </w:r>
          </w:p>
        </w:tc>
      </w:tr>
      <w:tr>
        <w:tblPrEx>
          <w:shd w:val="clear" w:color="auto" w:fill="auto"/>
          <w:tblCellMar>
            <w:top w:w="0" w:type="dxa"/>
            <w:left w:w="0" w:type="dxa"/>
            <w:bottom w:w="0" w:type="dxa"/>
            <w:right w:w="0" w:type="dxa"/>
          </w:tblCellMar>
        </w:tblPrEx>
        <w:trPr>
          <w:trHeight w:val="439" w:hRule="atLeast"/>
        </w:trPr>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四川省商务厅</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四川商务职业学院</w:t>
            </w:r>
          </w:p>
        </w:tc>
      </w:tr>
      <w:tr>
        <w:tblPrEx>
          <w:shd w:val="clear" w:color="auto" w:fill="auto"/>
          <w:tblCellMar>
            <w:top w:w="0" w:type="dxa"/>
            <w:left w:w="0" w:type="dxa"/>
            <w:bottom w:w="0" w:type="dxa"/>
            <w:right w:w="0" w:type="dxa"/>
          </w:tblCellMar>
        </w:tblPrEx>
        <w:trPr>
          <w:trHeight w:val="439"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1906.</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1503</w:t>
            </w:r>
          </w:p>
        </w:tc>
      </w:tr>
      <w:tr>
        <w:tblPrEx>
          <w:shd w:val="clear" w:color="auto" w:fill="auto"/>
          <w:tblCellMar>
            <w:top w:w="0" w:type="dxa"/>
            <w:left w:w="0" w:type="dxa"/>
            <w:bottom w:w="0" w:type="dxa"/>
            <w:right w:w="0"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r>
      <w:tr>
        <w:tblPrEx>
          <w:shd w:val="clear" w:color="auto" w:fill="auto"/>
          <w:tblCellMar>
            <w:top w:w="0" w:type="dxa"/>
            <w:left w:w="0" w:type="dxa"/>
            <w:bottom w:w="0" w:type="dxa"/>
            <w:right w:w="0"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706</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r>
      <w:tr>
        <w:tblPrEx>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p>
        </w:tc>
        <w:tc>
          <w:tcPr>
            <w:tcW w:w="43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shd w:val="clear" w:color="auto" w:fill="auto"/>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3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教学楼6栋，学生宿舍7栋，实训楼1栋，办公楼1栋，食堂1栋的外墙修缮和装修。此次修缮后能提升学院整体形象，加强招生影响力。预计完成时间2019年6月，加上审计时间2个月。此次修缮后，预计在20年以内不需再修缮.</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了教学楼6栋学生寝室7栋实训楼1栋，办公楼1栋、食堂一栋共计16栋的外墙修缮和装修，基本达到了预期目标，完成时间推迟了2个月，原因是学校对外墙主材软瓷进行异地鉴定和学生上课期间要求工程暂停造成的。整体达到了绩效目标。</w:t>
            </w:r>
          </w:p>
        </w:tc>
      </w:tr>
      <w:tr>
        <w:tblPrEx>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年度绩效指标完成情况</w:t>
            </w:r>
          </w:p>
        </w:tc>
        <w:tc>
          <w:tcPr>
            <w:tcW w:w="129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w:t>
            </w:r>
          </w:p>
        </w:tc>
      </w:tr>
      <w:tr>
        <w:tblPrEx>
          <w:shd w:val="clear" w:color="auto" w:fill="auto"/>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数量指标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完成幢数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16栋</w:t>
            </w:r>
          </w:p>
        </w:tc>
      </w:tr>
      <w:tr>
        <w:tblPrEx>
          <w:shd w:val="clear" w:color="auto" w:fill="auto"/>
          <w:tblCellMar>
            <w:top w:w="0" w:type="dxa"/>
            <w:left w:w="0" w:type="dxa"/>
            <w:bottom w:w="0" w:type="dxa"/>
            <w:right w:w="0" w:type="dxa"/>
          </w:tblCellMar>
        </w:tblPrEx>
        <w:trPr>
          <w:trHeight w:val="480" w:hRule="atLeast"/>
        </w:trPr>
        <w:tc>
          <w:tcPr>
            <w:tcW w:w="112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质量指标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坚固度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r>
      <w:tr>
        <w:tblPrEx>
          <w:shd w:val="clear" w:color="auto" w:fill="auto"/>
          <w:tblCellMar>
            <w:top w:w="0" w:type="dxa"/>
            <w:left w:w="0" w:type="dxa"/>
            <w:bottom w:w="0" w:type="dxa"/>
            <w:right w:w="0" w:type="dxa"/>
          </w:tblCellMar>
        </w:tblPrEx>
        <w:trPr>
          <w:trHeight w:val="480" w:hRule="atLeast"/>
        </w:trPr>
        <w:tc>
          <w:tcPr>
            <w:tcW w:w="112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时效指标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完成时间</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2019年9月</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2019年11月</w:t>
            </w:r>
          </w:p>
        </w:tc>
      </w:tr>
      <w:tr>
        <w:tblPrEx>
          <w:shd w:val="clear" w:color="auto" w:fill="auto"/>
          <w:tblCellMar>
            <w:top w:w="0" w:type="dxa"/>
            <w:left w:w="0" w:type="dxa"/>
            <w:bottom w:w="0" w:type="dxa"/>
            <w:right w:w="0" w:type="dxa"/>
          </w:tblCellMar>
        </w:tblPrEx>
        <w:trPr>
          <w:trHeight w:val="48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可持续影响指标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使用年限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》=20年</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》=20年</w:t>
            </w:r>
          </w:p>
        </w:tc>
      </w:tr>
      <w:tr>
        <w:tblPrEx>
          <w:shd w:val="clear" w:color="auto" w:fill="auto"/>
          <w:tblCellMar>
            <w:top w:w="0" w:type="dxa"/>
            <w:left w:w="0" w:type="dxa"/>
            <w:bottom w:w="0" w:type="dxa"/>
            <w:right w:w="0" w:type="dxa"/>
          </w:tblCellMar>
        </w:tblPrEx>
        <w:trPr>
          <w:trHeight w:val="48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意</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满意度指标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师生满意度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W w:w="9420" w:type="dxa"/>
        <w:tblInd w:w="0" w:type="dxa"/>
        <w:shd w:val="clear" w:color="auto" w:fill="auto"/>
        <w:tblLayout w:type="autofit"/>
        <w:tblCellMar>
          <w:top w:w="0" w:type="dxa"/>
          <w:left w:w="0" w:type="dxa"/>
          <w:bottom w:w="0" w:type="dxa"/>
          <w:right w:w="0" w:type="dxa"/>
        </w:tblCellMar>
      </w:tblPr>
      <w:tblGrid>
        <w:gridCol w:w="945"/>
        <w:gridCol w:w="960"/>
        <w:gridCol w:w="945"/>
        <w:gridCol w:w="945"/>
        <w:gridCol w:w="1380"/>
        <w:gridCol w:w="2175"/>
        <w:gridCol w:w="2070"/>
      </w:tblGrid>
      <w:tr>
        <w:tblPrEx>
          <w:shd w:val="clear" w:color="auto" w:fill="auto"/>
          <w:tblCellMar>
            <w:top w:w="0" w:type="dxa"/>
            <w:left w:w="0" w:type="dxa"/>
            <w:bottom w:w="0" w:type="dxa"/>
            <w:right w:w="0" w:type="dxa"/>
          </w:tblCellMar>
        </w:tblPrEx>
        <w:trPr>
          <w:trHeight w:val="675" w:hRule="atLeast"/>
        </w:trPr>
        <w:tc>
          <w:tcPr>
            <w:tcW w:w="942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shd w:val="clear" w:color="auto" w:fill="auto"/>
          <w:tblCellMar>
            <w:top w:w="0" w:type="dxa"/>
            <w:left w:w="0" w:type="dxa"/>
            <w:bottom w:w="0" w:type="dxa"/>
            <w:right w:w="0" w:type="dxa"/>
          </w:tblCellMar>
        </w:tblPrEx>
        <w:trPr>
          <w:trHeight w:val="285" w:hRule="atLeast"/>
        </w:trPr>
        <w:tc>
          <w:tcPr>
            <w:tcW w:w="942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CellMar>
            <w:top w:w="0" w:type="dxa"/>
            <w:left w:w="0" w:type="dxa"/>
            <w:bottom w:w="0" w:type="dxa"/>
            <w:right w:w="0" w:type="dxa"/>
          </w:tblCellMar>
        </w:tblPrEx>
        <w:trPr>
          <w:trHeight w:val="43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7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9" w:hRule="atLeast"/>
        </w:trPr>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5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文家校区修复改造</w:t>
            </w:r>
          </w:p>
        </w:tc>
      </w:tr>
      <w:tr>
        <w:tblPrEx>
          <w:shd w:val="clear" w:color="auto" w:fill="auto"/>
          <w:tblCellMar>
            <w:top w:w="0" w:type="dxa"/>
            <w:left w:w="0" w:type="dxa"/>
            <w:bottom w:w="0" w:type="dxa"/>
            <w:right w:w="0" w:type="dxa"/>
          </w:tblCellMar>
        </w:tblPrEx>
        <w:trPr>
          <w:trHeight w:val="439" w:hRule="atLeast"/>
        </w:trPr>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四川省商务厅</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四川商务职业学院</w:t>
            </w:r>
          </w:p>
        </w:tc>
      </w:tr>
      <w:tr>
        <w:tblPrEx>
          <w:shd w:val="clear" w:color="auto" w:fill="auto"/>
          <w:tblCellMar>
            <w:top w:w="0" w:type="dxa"/>
            <w:left w:w="0" w:type="dxa"/>
            <w:bottom w:w="0" w:type="dxa"/>
            <w:right w:w="0" w:type="dxa"/>
          </w:tblCellMar>
        </w:tblPrEx>
        <w:trPr>
          <w:trHeight w:val="439" w:hRule="atLeast"/>
        </w:trPr>
        <w:tc>
          <w:tcPr>
            <w:tcW w:w="19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r>
      <w:tr>
        <w:tblPrEx>
          <w:shd w:val="clear" w:color="auto" w:fill="auto"/>
          <w:tblCellMar>
            <w:top w:w="0" w:type="dxa"/>
            <w:left w:w="0" w:type="dxa"/>
            <w:bottom w:w="0" w:type="dxa"/>
            <w:right w:w="0" w:type="dxa"/>
          </w:tblCellMar>
        </w:tblPrEx>
        <w:trPr>
          <w:trHeight w:val="439" w:hRule="atLeast"/>
        </w:trPr>
        <w:tc>
          <w:tcPr>
            <w:tcW w:w="19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r>
      <w:tr>
        <w:tblPrEx>
          <w:shd w:val="clear" w:color="auto" w:fill="auto"/>
          <w:tblCellMar>
            <w:top w:w="0" w:type="dxa"/>
            <w:left w:w="0" w:type="dxa"/>
            <w:bottom w:w="0" w:type="dxa"/>
            <w:right w:w="0" w:type="dxa"/>
          </w:tblCellMar>
        </w:tblPrEx>
        <w:trPr>
          <w:trHeight w:val="439" w:hRule="atLeast"/>
        </w:trPr>
        <w:tc>
          <w:tcPr>
            <w:tcW w:w="19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r>
      <w:tr>
        <w:tblPrEx>
          <w:shd w:val="clear" w:color="auto" w:fill="auto"/>
          <w:tblCellMar>
            <w:top w:w="0" w:type="dxa"/>
            <w:left w:w="0" w:type="dxa"/>
            <w:bottom w:w="0" w:type="dxa"/>
            <w:right w:w="0" w:type="dxa"/>
          </w:tblCellMar>
        </w:tblPrEx>
        <w:trPr>
          <w:trHeight w:val="439"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p>
        </w:tc>
        <w:tc>
          <w:tcPr>
            <w:tcW w:w="42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shd w:val="clear" w:color="auto" w:fill="auto"/>
          <w:tblCellMar>
            <w:top w:w="0" w:type="dxa"/>
            <w:left w:w="0" w:type="dxa"/>
            <w:bottom w:w="0" w:type="dxa"/>
            <w:right w:w="0" w:type="dxa"/>
          </w:tblCellMar>
        </w:tblPrEx>
        <w:trPr>
          <w:trHeight w:val="2715"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2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家校区修复：1、教学楼过道、静水苑学生公寓粉刷乳胶漆；2、食堂、活动厅、教学楼、锅炉房、配电房防水；3、应急照明安装等，满足文家校区基本学习和住宿生活条件，节能率＞＝20，师生满意度＞＝80%，符合师生需求，让学生有一个舒适的环境。</w:t>
            </w: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家教学楼过道、静水苑学生公寓粉刷乳胶漆，2、食堂、活动厅、教学楼、锅炉房、配电室防水等，3、文家校区应急照明安装等达到了预期绩效目标，均按时按质完成。满足了两校区基本学习和住宿生活条件，节能率》=20%，师生满意度》=80%，符合师生要求。</w:t>
            </w:r>
          </w:p>
        </w:tc>
      </w:tr>
      <w:tr>
        <w:tblPrEx>
          <w:tblCellMar>
            <w:top w:w="0" w:type="dxa"/>
            <w:left w:w="0" w:type="dxa"/>
            <w:bottom w:w="0" w:type="dxa"/>
            <w:right w:w="0" w:type="dxa"/>
          </w:tblCellMar>
        </w:tblPrEx>
        <w:trPr>
          <w:trHeight w:val="439"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年度绩效指标完成情况</w:t>
            </w:r>
          </w:p>
        </w:tc>
        <w:tc>
          <w:tcPr>
            <w:tcW w:w="9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w:t>
            </w:r>
          </w:p>
        </w:tc>
      </w:tr>
      <w:tr>
        <w:tblPrEx>
          <w:tblCellMar>
            <w:top w:w="0" w:type="dxa"/>
            <w:left w:w="0" w:type="dxa"/>
            <w:bottom w:w="0" w:type="dxa"/>
            <w:right w:w="0" w:type="dxa"/>
          </w:tblCellMar>
        </w:tblPrEx>
        <w:trPr>
          <w:trHeight w:val="48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数量指标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完工率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&gt;=95%</w:t>
            </w:r>
          </w:p>
        </w:tc>
      </w:tr>
      <w:tr>
        <w:tblPrEx>
          <w:tblCellMar>
            <w:top w:w="0" w:type="dxa"/>
            <w:left w:w="0" w:type="dxa"/>
            <w:bottom w:w="0" w:type="dxa"/>
            <w:right w:w="0" w:type="dxa"/>
          </w:tblCellMar>
        </w:tblPrEx>
        <w:trPr>
          <w:trHeight w:val="480" w:hRule="atLeast"/>
        </w:trPr>
        <w:tc>
          <w:tcPr>
            <w:tcW w:w="94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质量指标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坚固度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良好</w:t>
            </w:r>
          </w:p>
        </w:tc>
      </w:tr>
      <w:tr>
        <w:tblPrEx>
          <w:tblCellMar>
            <w:top w:w="0" w:type="dxa"/>
            <w:left w:w="0" w:type="dxa"/>
            <w:bottom w:w="0" w:type="dxa"/>
            <w:right w:w="0" w:type="dxa"/>
          </w:tblCellMar>
        </w:tblPrEx>
        <w:trPr>
          <w:trHeight w:val="480" w:hRule="atLeast"/>
        </w:trPr>
        <w:tc>
          <w:tcPr>
            <w:tcW w:w="94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时效指标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完成时间</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2019年12月</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2019年11月</w:t>
            </w:r>
          </w:p>
        </w:tc>
      </w:tr>
      <w:tr>
        <w:tblPrEx>
          <w:shd w:val="clear" w:color="auto" w:fill="auto"/>
          <w:tblCellMar>
            <w:top w:w="0" w:type="dxa"/>
            <w:left w:w="0" w:type="dxa"/>
            <w:bottom w:w="0" w:type="dxa"/>
            <w:right w:w="0" w:type="dxa"/>
          </w:tblCellMar>
        </w:tblPrEx>
        <w:trPr>
          <w:trHeight w:val="4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生态效益指标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产品节能率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4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意</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满意度指标</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师生满意度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W w:w="8835" w:type="dxa"/>
        <w:tblInd w:w="0" w:type="dxa"/>
        <w:shd w:val="clear" w:color="auto" w:fill="auto"/>
        <w:tblLayout w:type="autofit"/>
        <w:tblCellMar>
          <w:top w:w="0" w:type="dxa"/>
          <w:left w:w="0" w:type="dxa"/>
          <w:bottom w:w="0" w:type="dxa"/>
          <w:right w:w="0" w:type="dxa"/>
        </w:tblCellMar>
      </w:tblPr>
      <w:tblGrid>
        <w:gridCol w:w="1125"/>
        <w:gridCol w:w="1290"/>
        <w:gridCol w:w="1485"/>
        <w:gridCol w:w="540"/>
        <w:gridCol w:w="703"/>
        <w:gridCol w:w="1877"/>
        <w:gridCol w:w="1815"/>
      </w:tblGrid>
      <w:tr>
        <w:tblPrEx>
          <w:shd w:val="clear" w:color="auto" w:fill="auto"/>
          <w:tblCellMar>
            <w:top w:w="0" w:type="dxa"/>
            <w:left w:w="0" w:type="dxa"/>
            <w:bottom w:w="0" w:type="dxa"/>
            <w:right w:w="0" w:type="dxa"/>
          </w:tblCellMar>
        </w:tblPrEx>
        <w:trPr>
          <w:trHeight w:val="675" w:hRule="atLeast"/>
        </w:trPr>
        <w:tc>
          <w:tcPr>
            <w:tcW w:w="883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项目绩效目标完成情况表</w:t>
            </w:r>
          </w:p>
        </w:tc>
      </w:tr>
      <w:tr>
        <w:tblPrEx>
          <w:tblCellMar>
            <w:top w:w="0" w:type="dxa"/>
            <w:left w:w="0" w:type="dxa"/>
            <w:bottom w:w="0" w:type="dxa"/>
            <w:right w:w="0" w:type="dxa"/>
          </w:tblCellMar>
        </w:tblPrEx>
        <w:trPr>
          <w:trHeight w:val="285" w:hRule="atLeast"/>
        </w:trPr>
        <w:tc>
          <w:tcPr>
            <w:tcW w:w="883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2019   年度）</w:t>
            </w:r>
          </w:p>
        </w:tc>
      </w:tr>
      <w:tr>
        <w:tblPrEx>
          <w:tblCellMar>
            <w:top w:w="0" w:type="dxa"/>
            <w:left w:w="0" w:type="dxa"/>
            <w:bottom w:w="0" w:type="dxa"/>
            <w:right w:w="0" w:type="dxa"/>
          </w:tblCellMar>
        </w:tblPrEx>
        <w:trPr>
          <w:trHeight w:val="43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4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0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7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9" w:hRule="atLeast"/>
        </w:trPr>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4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专业特聘教师</w:t>
            </w:r>
          </w:p>
        </w:tc>
      </w:tr>
      <w:tr>
        <w:tblPrEx>
          <w:shd w:val="clear" w:color="auto" w:fill="auto"/>
          <w:tblCellMar>
            <w:top w:w="0" w:type="dxa"/>
            <w:left w:w="0" w:type="dxa"/>
            <w:bottom w:w="0" w:type="dxa"/>
            <w:right w:w="0" w:type="dxa"/>
          </w:tblCellMar>
        </w:tblPrEx>
        <w:trPr>
          <w:trHeight w:val="439" w:hRule="atLeast"/>
        </w:trPr>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272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四川省商务厅</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四川省商务学校</w:t>
            </w:r>
          </w:p>
        </w:tc>
      </w:tr>
      <w:tr>
        <w:tblPrEx>
          <w:shd w:val="clear" w:color="auto" w:fill="auto"/>
          <w:tblCellMar>
            <w:top w:w="0" w:type="dxa"/>
            <w:left w:w="0" w:type="dxa"/>
            <w:bottom w:w="0" w:type="dxa"/>
            <w:right w:w="0" w:type="dxa"/>
          </w:tblCellMar>
        </w:tblPrEx>
        <w:trPr>
          <w:trHeight w:val="439"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r>
      <w:tr>
        <w:tblPrEx>
          <w:shd w:val="clear" w:color="auto" w:fill="auto"/>
          <w:tblCellMar>
            <w:top w:w="0" w:type="dxa"/>
            <w:left w:w="0" w:type="dxa"/>
            <w:bottom w:w="0" w:type="dxa"/>
            <w:right w:w="0"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r>
      <w:tr>
        <w:tblPrEx>
          <w:shd w:val="clear" w:color="auto" w:fill="auto"/>
          <w:tblCellMar>
            <w:top w:w="0" w:type="dxa"/>
            <w:left w:w="0" w:type="dxa"/>
            <w:bottom w:w="0" w:type="dxa"/>
            <w:right w:w="0"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r>
      <w:tr>
        <w:tblPrEx>
          <w:shd w:val="clear" w:color="auto" w:fill="auto"/>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p>
        </w:tc>
        <w:tc>
          <w:tcPr>
            <w:tcW w:w="40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36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shd w:val="clear" w:color="auto" w:fill="auto"/>
          <w:tblCellMar>
            <w:top w:w="0" w:type="dxa"/>
            <w:left w:w="0" w:type="dxa"/>
            <w:bottom w:w="0" w:type="dxa"/>
            <w:right w:w="0"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0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拟为学校烹饪、电商、财经、酒旅专业聘任专业教师、实习指导教师、校外专家等校内教师无法满足的校企合作特聘教师指导学生就业实习，提高中职学校学生实际操作能力。培养更加适应市场的中等职业职教学生。全年拟聘任校外专业教师200人次，完成学生实训操作等1200余课时。</w:t>
            </w:r>
          </w:p>
        </w:tc>
        <w:tc>
          <w:tcPr>
            <w:tcW w:w="36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聘任校外专家、实习指导教师、专业教师等月均65人，多集中于需对学生实训操作培训的烹饪、酒店等专业。因聘任时间较长，学校均与之签订了劳务合同。该项目资金主要用于支付此类外聘教师课酬、劳务工资及相关社保、公积金费用。</w:t>
            </w:r>
          </w:p>
        </w:tc>
      </w:tr>
      <w:tr>
        <w:tblPrEx>
          <w:tblCellMar>
            <w:top w:w="0" w:type="dxa"/>
            <w:left w:w="0" w:type="dxa"/>
            <w:bottom w:w="0" w:type="dxa"/>
            <w:right w:w="0"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年度绩效指标完成情况</w:t>
            </w:r>
          </w:p>
        </w:tc>
        <w:tc>
          <w:tcPr>
            <w:tcW w:w="129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w:t>
            </w:r>
          </w:p>
        </w:tc>
      </w:tr>
      <w:tr>
        <w:tblPrEx>
          <w:shd w:val="clear" w:color="auto" w:fill="auto"/>
          <w:tblCellMar>
            <w:top w:w="0" w:type="dxa"/>
            <w:left w:w="0" w:type="dxa"/>
            <w:bottom w:w="0" w:type="dxa"/>
            <w:right w:w="0"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完</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成</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数量指标</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聘任校外专家人次</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520</w:t>
            </w:r>
          </w:p>
        </w:tc>
      </w:tr>
      <w:tr>
        <w:tblPrEx>
          <w:tblCellMar>
            <w:top w:w="0" w:type="dxa"/>
            <w:left w:w="0" w:type="dxa"/>
            <w:bottom w:w="0" w:type="dxa"/>
            <w:right w:w="0" w:type="dxa"/>
          </w:tblCellMar>
        </w:tblPrEx>
        <w:trPr>
          <w:trHeight w:val="480" w:hRule="atLeast"/>
        </w:trPr>
        <w:tc>
          <w:tcPr>
            <w:tcW w:w="112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质量指标</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学生就业率提升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30%-50%</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r>
      <w:tr>
        <w:tblPrEx>
          <w:shd w:val="clear" w:color="auto" w:fill="auto"/>
          <w:tblCellMar>
            <w:top w:w="0" w:type="dxa"/>
            <w:left w:w="0" w:type="dxa"/>
            <w:bottom w:w="0" w:type="dxa"/>
            <w:right w:w="0" w:type="dxa"/>
          </w:tblCellMar>
        </w:tblPrEx>
        <w:trPr>
          <w:trHeight w:val="48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效</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益</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社会效益指标</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学校声誉度提升率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5%-10%/年</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480" w:hRule="atLeast"/>
        </w:trPr>
        <w:tc>
          <w:tcPr>
            <w:tcW w:w="112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可持续影响指标</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持续影响时间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长期</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48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意</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度</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指</w:t>
            </w:r>
            <w:r>
              <w:rPr>
                <w:rFonts w:hint="default" w:ascii="Arial" w:hAnsi="Arial" w:eastAsia="宋体" w:cs="Arial"/>
                <w:i w:val="0"/>
                <w:color w:val="000000"/>
                <w:kern w:val="0"/>
                <w:sz w:val="20"/>
                <w:szCs w:val="20"/>
                <w:u w:val="none"/>
                <w:lang w:val="en-US" w:eastAsia="zh-CN" w:bidi="ar"/>
              </w:rPr>
              <w:br w:type="textWrapping"/>
            </w:r>
            <w:r>
              <w:rPr>
                <w:rFonts w:hint="default" w:ascii="Arial" w:hAnsi="Arial" w:eastAsia="宋体" w:cs="Arial"/>
                <w:i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满意度指标</w:t>
            </w:r>
          </w:p>
        </w:tc>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就业单位满意度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hint="eastAsia"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四川省商务厅</w:t>
      </w:r>
      <w:r>
        <w:rPr>
          <w:rFonts w:hint="eastAsia" w:ascii="仿宋_GB2312" w:hAnsi="仿宋_GB2312" w:eastAsia="仿宋_GB2312" w:cs="仿宋_GB2312"/>
          <w:sz w:val="32"/>
          <w:szCs w:val="32"/>
        </w:rPr>
        <w:t>部门2019年部门整体支出绩效评价报告》见附件（附件1）。</w:t>
      </w: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67" w:name="_Toc15396613"/>
      <w:bookmarkStart w:id="68" w:name="_Toc15377225"/>
      <w:bookmarkStart w:id="69" w:name="_Toc21353"/>
      <w:r>
        <w:rPr>
          <w:rFonts w:hint="eastAsia" w:ascii="黑体" w:hAnsi="黑体" w:eastAsia="黑体"/>
          <w:b w:val="0"/>
          <w:color w:val="000000"/>
          <w:sz w:val="44"/>
          <w:szCs w:val="44"/>
          <w:u w:val="none"/>
        </w:rPr>
        <w:t>名</w:t>
      </w:r>
      <w:r>
        <w:rPr>
          <w:rStyle w:val="25"/>
          <w:rFonts w:hint="eastAsia" w:ascii="黑体" w:hAnsi="黑体" w:eastAsia="黑体"/>
          <w:b w:val="0"/>
        </w:rPr>
        <w:t>词解释</w:t>
      </w:r>
      <w:bookmarkEnd w:id="67"/>
      <w:bookmarkEnd w:id="68"/>
      <w:bookmarkEnd w:id="69"/>
    </w:p>
    <w:p>
      <w:pPr>
        <w:spacing w:line="600" w:lineRule="exact"/>
        <w:jc w:val="left"/>
        <w:rPr>
          <w:rFonts w:ascii="宋体"/>
          <w:b/>
          <w:color w:val="000000"/>
          <w:sz w:val="44"/>
          <w:szCs w:val="44"/>
        </w:rPr>
      </w:pP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1.财政拨款收入：指省级财政当年拨付的资金。 </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2.事业收入：指事业单位开展专业业务活动及辅助活动所取得的收入。如</w:t>
      </w:r>
      <w:r>
        <w:rPr>
          <w:rFonts w:hint="eastAsia" w:ascii="仿宋_GB2312" w:eastAsia="仿宋_GB2312"/>
          <w:sz w:val="32"/>
          <w:szCs w:val="32"/>
          <w:lang w:eastAsia="zh-CN"/>
        </w:rPr>
        <w:t>四川</w:t>
      </w:r>
      <w:r>
        <w:rPr>
          <w:rFonts w:hint="eastAsia" w:ascii="仿宋_GB2312" w:eastAsia="仿宋_GB2312"/>
          <w:sz w:val="32"/>
          <w:szCs w:val="32"/>
        </w:rPr>
        <w:t>商务职业学院等厅属院校教育收费等。</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4.其他收入：指除上述“财政拨款收入”、“事业收入”、“经营收入”等以外的收入。主要是利息收入、事业单位投资收益、厅属学院培训开发收入等。 </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9.</w:t>
      </w:r>
      <w:r>
        <w:rPr>
          <w:rFonts w:ascii="仿宋_GB2312" w:eastAsia="仿宋_GB2312"/>
          <w:sz w:val="32"/>
          <w:szCs w:val="32"/>
          <w:lang w:eastAsia="zh-CN"/>
        </w:rPr>
        <w:t>一般公共服务支出（类）商贸事务（款）行政运行（项）：</w:t>
      </w:r>
      <w:r>
        <w:rPr>
          <w:rFonts w:hint="eastAsia" w:ascii="仿宋_GB2312" w:eastAsia="仿宋_GB2312"/>
          <w:sz w:val="32"/>
          <w:szCs w:val="32"/>
          <w:lang w:eastAsia="zh-CN"/>
        </w:rPr>
        <w:t>指：商务厅机关的基本支出。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10.一般公共服务支出（类）商贸事务（款）一般行政管理事务（项）：指</w:t>
      </w:r>
      <w:r>
        <w:rPr>
          <w:rFonts w:hint="eastAsia" w:ascii="仿宋_GB2312" w:eastAsia="仿宋_GB2312"/>
          <w:sz w:val="32"/>
          <w:szCs w:val="32"/>
          <w:lang w:eastAsia="zh-CN"/>
        </w:rPr>
        <w:t>商务厅机关未单独设置项级科目的其他项目支出。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11.一般公共服务支出（类）商贸事务（款）机关服务（项）：指</w:t>
      </w:r>
      <w:r>
        <w:rPr>
          <w:rFonts w:hint="eastAsia" w:ascii="仿宋_GB2312" w:eastAsia="仿宋_GB2312"/>
          <w:sz w:val="32"/>
          <w:szCs w:val="32"/>
          <w:lang w:eastAsia="zh-CN"/>
        </w:rPr>
        <w:t>商务厅机关服务中心的支出。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12.一般公共服务支出（类）商贸事务（款）事业运行（项）：指</w:t>
      </w:r>
      <w:r>
        <w:rPr>
          <w:rFonts w:hint="eastAsia" w:ascii="仿宋_GB2312" w:eastAsia="仿宋_GB2312"/>
          <w:sz w:val="32"/>
          <w:szCs w:val="32"/>
          <w:lang w:eastAsia="zh-CN"/>
        </w:rPr>
        <w:t>商务厅属事业单位的基本支出。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13.一般公共服务支出（类）商贸事务（款）其他商贸事务支出（项）：指</w:t>
      </w:r>
      <w:r>
        <w:rPr>
          <w:rFonts w:hint="eastAsia" w:ascii="仿宋_GB2312" w:eastAsia="仿宋_GB2312"/>
          <w:sz w:val="32"/>
          <w:szCs w:val="32"/>
          <w:lang w:eastAsia="zh-CN"/>
        </w:rPr>
        <w:t>商务厅用于</w:t>
      </w:r>
      <w:r>
        <w:rPr>
          <w:rFonts w:ascii="仿宋_GB2312" w:eastAsia="仿宋_GB2312"/>
          <w:sz w:val="32"/>
          <w:szCs w:val="32"/>
          <w:lang w:eastAsia="zh-CN"/>
        </w:rPr>
        <w:t>其他商贸事务支出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14.一般公共服务支出（类）质量技术监督与检验检疫事务（款）其他质量技术监督与检验检疫事务支出（项）：指其他质量技术监督与检验检疫事务支出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15.一般公共服务支出（类）其他共产党事务支出（款）其他一般公共服务支出（项）：指一般公共服务支出</w:t>
      </w:r>
      <w:r>
        <w:rPr>
          <w:rFonts w:hint="eastAsia" w:ascii="仿宋_GB2312" w:eastAsia="仿宋_GB2312"/>
          <w:sz w:val="32"/>
          <w:szCs w:val="32"/>
          <w:lang w:eastAsia="zh-CN"/>
        </w:rPr>
        <w:t>中</w:t>
      </w:r>
      <w:r>
        <w:rPr>
          <w:rFonts w:ascii="仿宋_GB2312" w:eastAsia="仿宋_GB2312"/>
          <w:sz w:val="32"/>
          <w:szCs w:val="32"/>
          <w:lang w:eastAsia="zh-CN"/>
        </w:rPr>
        <w:t>其他一般公共服务支出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16.教育支出（类）职业教育（款）中专教育（项）：指</w:t>
      </w:r>
      <w:r>
        <w:rPr>
          <w:rFonts w:hint="eastAsia" w:ascii="仿宋_GB2312" w:eastAsia="仿宋_GB2312"/>
          <w:sz w:val="32"/>
          <w:szCs w:val="32"/>
          <w:lang w:eastAsia="zh-CN"/>
        </w:rPr>
        <w:t>四川省商务学校的支出。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17.教育支出（类）职业教育（款）高等职业教育（项）：指</w:t>
      </w:r>
      <w:r>
        <w:rPr>
          <w:rFonts w:hint="eastAsia" w:ascii="仿宋_GB2312" w:eastAsia="仿宋_GB2312"/>
          <w:sz w:val="32"/>
          <w:szCs w:val="32"/>
          <w:lang w:eastAsia="zh-CN"/>
        </w:rPr>
        <w:t>四川商务职业学院的支出。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18.教育支出（类）进修及培训（款）培训支出（项）：指</w:t>
      </w:r>
      <w:r>
        <w:rPr>
          <w:rFonts w:hint="eastAsia" w:ascii="仿宋_GB2312" w:eastAsia="仿宋_GB2312"/>
          <w:sz w:val="32"/>
          <w:szCs w:val="32"/>
          <w:lang w:eastAsia="zh-CN"/>
        </w:rPr>
        <w:t>商务厅安排的培训支出。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19.教育支出（类）进修及培训（款）其他进修及培训（项）：指其他进修及培训</w:t>
      </w:r>
      <w:r>
        <w:rPr>
          <w:rFonts w:hint="eastAsia" w:ascii="仿宋_GB2312" w:eastAsia="仿宋_GB2312"/>
          <w:sz w:val="32"/>
          <w:szCs w:val="32"/>
          <w:lang w:eastAsia="zh-CN"/>
        </w:rPr>
        <w:t>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20.科学技术支出（类）应用研究（款）机构运行（项）：指：</w:t>
      </w:r>
      <w:r>
        <w:rPr>
          <w:rFonts w:hint="eastAsia" w:ascii="仿宋_GB2312" w:eastAsia="仿宋_GB2312"/>
          <w:sz w:val="32"/>
          <w:szCs w:val="32"/>
          <w:lang w:eastAsia="zh-CN"/>
        </w:rPr>
        <w:t>四川省国际经济贸易研究所的基本支出。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21.科学技术支出（类）应用研究（款）社会公益研究（项）：指：四川省国际经济贸易研究所</w:t>
      </w:r>
      <w:r>
        <w:rPr>
          <w:rFonts w:hint="eastAsia" w:ascii="仿宋_GB2312" w:eastAsia="仿宋_GB2312"/>
          <w:sz w:val="32"/>
          <w:szCs w:val="32"/>
          <w:lang w:eastAsia="zh-CN"/>
        </w:rPr>
        <w:t>从事社会公益研究支出。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22.科学技术支出（类）技术研究与开发（款）应用技术研究与开发（项）：指</w:t>
      </w:r>
      <w:r>
        <w:rPr>
          <w:rFonts w:hint="eastAsia" w:ascii="仿宋_GB2312" w:eastAsia="仿宋_GB2312"/>
          <w:sz w:val="32"/>
          <w:szCs w:val="32"/>
          <w:lang w:eastAsia="zh-CN"/>
        </w:rPr>
        <w:t>四川省国际经济贸易研究所从事国际贸易经济方面专项科研支出。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23.社会保障和就业支出（类）行政事业单位离退休（款）事业单位离退休（项）：指</w:t>
      </w:r>
      <w:r>
        <w:rPr>
          <w:rFonts w:hint="eastAsia" w:ascii="仿宋_GB2312" w:eastAsia="仿宋_GB2312"/>
          <w:sz w:val="32"/>
          <w:szCs w:val="32"/>
          <w:lang w:eastAsia="zh-CN"/>
        </w:rPr>
        <w:t>实行</w:t>
      </w:r>
      <w:r>
        <w:rPr>
          <w:rFonts w:ascii="仿宋_GB2312" w:eastAsia="仿宋_GB2312"/>
          <w:sz w:val="32"/>
          <w:szCs w:val="32"/>
          <w:lang w:eastAsia="zh-CN"/>
        </w:rPr>
        <w:t>归口管理的</w:t>
      </w:r>
      <w:r>
        <w:rPr>
          <w:rFonts w:hint="eastAsia" w:ascii="仿宋_GB2312" w:eastAsia="仿宋_GB2312"/>
          <w:sz w:val="32"/>
          <w:szCs w:val="32"/>
          <w:lang w:eastAsia="zh-CN"/>
        </w:rPr>
        <w:t>事业</w:t>
      </w:r>
      <w:r>
        <w:rPr>
          <w:rFonts w:ascii="仿宋_GB2312" w:eastAsia="仿宋_GB2312"/>
          <w:sz w:val="32"/>
          <w:szCs w:val="32"/>
          <w:lang w:eastAsia="zh-CN"/>
        </w:rPr>
        <w:t>单位</w:t>
      </w:r>
      <w:r>
        <w:rPr>
          <w:rFonts w:hint="eastAsia" w:ascii="仿宋_GB2312" w:eastAsia="仿宋_GB2312"/>
          <w:sz w:val="32"/>
          <w:szCs w:val="32"/>
          <w:lang w:eastAsia="zh-CN"/>
        </w:rPr>
        <w:t>开展的</w:t>
      </w:r>
      <w:r>
        <w:rPr>
          <w:rFonts w:ascii="仿宋_GB2312" w:eastAsia="仿宋_GB2312"/>
          <w:sz w:val="32"/>
          <w:szCs w:val="32"/>
          <w:lang w:eastAsia="zh-CN"/>
        </w:rPr>
        <w:t>离退休</w:t>
      </w:r>
      <w:r>
        <w:rPr>
          <w:rFonts w:hint="eastAsia" w:ascii="仿宋_GB2312" w:eastAsia="仿宋_GB2312"/>
          <w:sz w:val="32"/>
          <w:szCs w:val="32"/>
          <w:lang w:eastAsia="zh-CN"/>
        </w:rPr>
        <w:t>经费。</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24.社会保障和就业支出（类）行政事业单位离退休（款）未归口管理的行政单位离退休（项）：指</w:t>
      </w:r>
      <w:r>
        <w:rPr>
          <w:rFonts w:hint="eastAsia" w:ascii="仿宋_GB2312" w:eastAsia="仿宋_GB2312"/>
          <w:sz w:val="32"/>
          <w:szCs w:val="32"/>
          <w:lang w:eastAsia="zh-CN"/>
        </w:rPr>
        <w:t>未实行</w:t>
      </w:r>
      <w:r>
        <w:rPr>
          <w:rFonts w:ascii="仿宋_GB2312" w:eastAsia="仿宋_GB2312"/>
          <w:sz w:val="32"/>
          <w:szCs w:val="32"/>
          <w:lang w:eastAsia="zh-CN"/>
        </w:rPr>
        <w:t>归口管理的</w:t>
      </w:r>
      <w:r>
        <w:rPr>
          <w:rFonts w:hint="eastAsia" w:ascii="仿宋_GB2312" w:eastAsia="仿宋_GB2312"/>
          <w:sz w:val="32"/>
          <w:szCs w:val="32"/>
          <w:lang w:eastAsia="zh-CN"/>
        </w:rPr>
        <w:t>事业</w:t>
      </w:r>
      <w:r>
        <w:rPr>
          <w:rFonts w:ascii="仿宋_GB2312" w:eastAsia="仿宋_GB2312"/>
          <w:sz w:val="32"/>
          <w:szCs w:val="32"/>
          <w:lang w:eastAsia="zh-CN"/>
        </w:rPr>
        <w:t>单位</w:t>
      </w:r>
      <w:r>
        <w:rPr>
          <w:rFonts w:hint="eastAsia" w:ascii="仿宋_GB2312" w:eastAsia="仿宋_GB2312"/>
          <w:sz w:val="32"/>
          <w:szCs w:val="32"/>
          <w:lang w:eastAsia="zh-CN"/>
        </w:rPr>
        <w:t>开展的</w:t>
      </w:r>
      <w:r>
        <w:rPr>
          <w:rFonts w:ascii="仿宋_GB2312" w:eastAsia="仿宋_GB2312"/>
          <w:sz w:val="32"/>
          <w:szCs w:val="32"/>
          <w:lang w:eastAsia="zh-CN"/>
        </w:rPr>
        <w:t>离退休</w:t>
      </w:r>
      <w:r>
        <w:rPr>
          <w:rFonts w:hint="eastAsia" w:ascii="仿宋_GB2312" w:eastAsia="仿宋_GB2312"/>
          <w:sz w:val="32"/>
          <w:szCs w:val="32"/>
          <w:lang w:eastAsia="zh-CN"/>
        </w:rPr>
        <w:t>经费。</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25.社会保障和就业支出（类）行政事业单位离退休（款）机关事业单位基本养老保险缴费支出（项）：指</w:t>
      </w:r>
      <w:r>
        <w:rPr>
          <w:rFonts w:hint="eastAsia" w:ascii="仿宋_GB2312" w:eastAsia="仿宋_GB2312"/>
          <w:sz w:val="32"/>
          <w:szCs w:val="32"/>
          <w:lang w:eastAsia="zh-CN"/>
        </w:rPr>
        <w:t>商务厅机关和事业单位实施养老保险制度由单位缴纳的基本养老保险费支出。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26.社会保障和就业支出（类）行政事业单位离退休（款）机关事业单位职业年金缴费支出（项）：指</w:t>
      </w:r>
      <w:r>
        <w:rPr>
          <w:rFonts w:hint="eastAsia" w:ascii="仿宋_GB2312" w:eastAsia="仿宋_GB2312"/>
          <w:sz w:val="32"/>
          <w:szCs w:val="32"/>
          <w:lang w:eastAsia="zh-CN"/>
        </w:rPr>
        <w:t>商务厅实施养老保险制度由单位实际缴纳的职业年金支出。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27.社会保障和就业支出（类）抚恤（款）死亡抚恤（项）：指</w:t>
      </w:r>
      <w:r>
        <w:rPr>
          <w:rFonts w:hint="eastAsia" w:ascii="仿宋_GB2312" w:eastAsia="仿宋_GB2312"/>
          <w:sz w:val="32"/>
          <w:szCs w:val="32"/>
          <w:lang w:eastAsia="zh-CN"/>
        </w:rPr>
        <w:t>按规定用于烈士和牺牲、病故人员家属的一次性和定期抚恤金及丧葬补助费。</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28.社会保障和就业支出（类）其他社会保障和就业支出（款）其他社会保障和就业支出（项）：指他社会保障和就业支出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29.医疗卫生与计划生育支出（类）行政事业单位医疗（款）行政单位医疗（项）：指</w:t>
      </w:r>
      <w:r>
        <w:rPr>
          <w:rFonts w:hint="eastAsia" w:ascii="仿宋_GB2312" w:eastAsia="仿宋_GB2312"/>
          <w:sz w:val="32"/>
          <w:szCs w:val="32"/>
          <w:lang w:eastAsia="zh-CN"/>
        </w:rPr>
        <w:t>商务厅机关基本医疗缴费。</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30.医疗卫生与计划生育支出（类）行政事业单位医疗（款）事业单位医疗（项）：指</w:t>
      </w:r>
      <w:r>
        <w:rPr>
          <w:rFonts w:hint="eastAsia" w:ascii="仿宋_GB2312" w:eastAsia="仿宋_GB2312"/>
          <w:sz w:val="32"/>
          <w:szCs w:val="32"/>
          <w:lang w:eastAsia="zh-CN"/>
        </w:rPr>
        <w:t>商务厅属事业单位基本医疗保险缴费。</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31.医疗卫生与计划生育支出（类）行政事业单位医疗（款）公务员医疗补助（项）：指公务员医疗补助</w:t>
      </w:r>
      <w:r>
        <w:rPr>
          <w:rFonts w:hint="eastAsia" w:ascii="仿宋_GB2312" w:eastAsia="仿宋_GB2312"/>
          <w:sz w:val="32"/>
          <w:szCs w:val="32"/>
          <w:lang w:eastAsia="zh-CN"/>
        </w:rPr>
        <w:t>经费。</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32.资源勘探信息等支出（类）安全生产监管（款）其他安全生产监管支出（项）：指其他安全生产监管支出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33.商业服务业等支出（类）商业流通事务（款）一般行政管理事务（项）：指</w:t>
      </w:r>
      <w:r>
        <w:rPr>
          <w:rFonts w:hint="eastAsia" w:ascii="仿宋_GB2312" w:eastAsia="仿宋_GB2312"/>
          <w:sz w:val="32"/>
          <w:szCs w:val="32"/>
          <w:lang w:eastAsia="zh-CN"/>
        </w:rPr>
        <w:t>商务厅未单独设置项级科目的其他项目支出。</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34.商业服务业等支出（类）商业流通事务（款）其他商业流通事务支出（项）：指其他商业流通事务支出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35.商业服务业等支出（类）涉外发展服务支出（款）其他涉外发展服务支出（项）：指其他涉外发展服务支出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36.商业服务业等支出（类）其他商业服务业等支出（款）其他商业服务业等支出（项）：指其他商业服务业等支出</w:t>
      </w:r>
      <w:r>
        <w:rPr>
          <w:rFonts w:hint="eastAsia" w:ascii="仿宋_GB2312" w:eastAsia="仿宋_GB2312"/>
          <w:sz w:val="32"/>
          <w:szCs w:val="32"/>
          <w:lang w:eastAsia="zh-CN"/>
        </w:rPr>
        <w:t>。</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37.住房保障支出（类）住房改革支出（款）住房公积金（项）：指</w:t>
      </w:r>
      <w:r>
        <w:rPr>
          <w:rFonts w:hint="eastAsia" w:ascii="仿宋_GB2312" w:eastAsia="仿宋_GB2312"/>
          <w:sz w:val="32"/>
          <w:szCs w:val="32"/>
          <w:lang w:eastAsia="zh-CN"/>
        </w:rPr>
        <w:t>按照人力资源和社会保障以及财政部门规定的基本工资和津贴补贴以及规定的比例为职工缴纳的住房公积金。</w:t>
      </w:r>
    </w:p>
    <w:p>
      <w:pPr>
        <w:pStyle w:val="23"/>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38.住房保障支出（类）住房改革支出（款）购房补贴（项）：指</w:t>
      </w:r>
      <w:r>
        <w:rPr>
          <w:rFonts w:hint="eastAsia" w:ascii="仿宋_GB2312" w:eastAsia="仿宋_GB2312"/>
          <w:sz w:val="32"/>
          <w:szCs w:val="32"/>
          <w:lang w:eastAsia="zh-CN"/>
        </w:rPr>
        <w:t>按照房改政策规定向符合条件职工（含离退休人员）用于购买住房的补贴。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ascii="宋体"/>
          <w:b/>
          <w:color w:val="000000"/>
          <w:sz w:val="44"/>
          <w:szCs w:val="44"/>
        </w:rPr>
      </w:pPr>
      <w:bookmarkStart w:id="70" w:name="_Toc15377226"/>
      <w:r>
        <w:rPr>
          <w:rFonts w:ascii="宋体"/>
          <w:b/>
          <w:color w:val="000000"/>
          <w:sz w:val="44"/>
          <w:szCs w:val="44"/>
        </w:rPr>
        <w:br w:type="page"/>
      </w:r>
      <w:bookmarkStart w:id="71" w:name="_Toc15396614"/>
    </w:p>
    <w:p>
      <w:pPr>
        <w:spacing w:line="600" w:lineRule="exact"/>
        <w:jc w:val="center"/>
        <w:outlineLvl w:val="9"/>
        <w:rPr>
          <w:rFonts w:ascii="宋体"/>
          <w:b/>
          <w:color w:val="000000"/>
          <w:sz w:val="44"/>
          <w:szCs w:val="44"/>
        </w:rPr>
      </w:pPr>
    </w:p>
    <w:p>
      <w:pPr>
        <w:spacing w:line="600" w:lineRule="exact"/>
        <w:jc w:val="center"/>
        <w:outlineLvl w:val="0"/>
        <w:rPr>
          <w:rStyle w:val="25"/>
          <w:rFonts w:ascii="黑体" w:hAnsi="黑体" w:eastAsia="黑体"/>
          <w:b w:val="0"/>
        </w:rPr>
      </w:pPr>
      <w:bookmarkStart w:id="72" w:name="_Toc27053"/>
      <w:r>
        <w:rPr>
          <w:rFonts w:hint="eastAsia" w:ascii="黑体" w:hAnsi="黑体" w:eastAsia="黑体"/>
          <w:color w:val="000000"/>
          <w:sz w:val="44"/>
          <w:szCs w:val="44"/>
        </w:rPr>
        <w:t>第</w:t>
      </w:r>
      <w:r>
        <w:rPr>
          <w:rStyle w:val="25"/>
          <w:rFonts w:hint="eastAsia" w:ascii="黑体" w:hAnsi="黑体" w:eastAsia="黑体"/>
          <w:b w:val="0"/>
        </w:rPr>
        <w:t>四部分 附件</w:t>
      </w:r>
      <w:bookmarkEnd w:id="71"/>
      <w:bookmarkEnd w:id="72"/>
    </w:p>
    <w:p>
      <w:pPr>
        <w:spacing w:line="600" w:lineRule="exact"/>
        <w:jc w:val="left"/>
        <w:outlineLvl w:val="0"/>
        <w:rPr>
          <w:rFonts w:ascii="方正小标宋简体" w:hAnsi="方正小标宋简体" w:eastAsia="方正小标宋简体" w:cs="方正小标宋简体"/>
          <w:sz w:val="32"/>
          <w:szCs w:val="32"/>
        </w:rPr>
      </w:pPr>
      <w:bookmarkStart w:id="73" w:name="_Toc22007"/>
      <w:r>
        <w:rPr>
          <w:rFonts w:hint="eastAsia" w:ascii="黑体" w:hAnsi="黑体" w:eastAsia="黑体" w:cs="黑体"/>
          <w:sz w:val="32"/>
          <w:szCs w:val="32"/>
        </w:rPr>
        <w:t>附件1</w:t>
      </w:r>
      <w:bookmarkEnd w:id="73"/>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u w:val="none"/>
          <w:lang w:val="zh-CN"/>
        </w:rPr>
      </w:pPr>
      <w:r>
        <w:rPr>
          <w:rFonts w:hint="eastAsia" w:ascii="方正小标宋简体" w:hAnsi="宋体" w:eastAsia="方正小标宋简体"/>
          <w:color w:val="000000"/>
          <w:kern w:val="0"/>
          <w:sz w:val="40"/>
          <w:szCs w:val="44"/>
          <w:u w:val="none"/>
          <w:lang w:eastAsia="zh-CN"/>
        </w:rPr>
        <w:t>四川省商务厅</w:t>
      </w:r>
      <w:r>
        <w:rPr>
          <w:rFonts w:ascii="方正小标宋简体" w:hAnsi="宋体" w:eastAsia="方正小标宋简体"/>
          <w:color w:val="000000"/>
          <w:kern w:val="0"/>
          <w:sz w:val="40"/>
          <w:szCs w:val="44"/>
          <w:u w:val="none"/>
        </w:rPr>
        <w:t>2019年部门</w:t>
      </w:r>
      <w:r>
        <w:rPr>
          <w:rFonts w:hint="eastAsia" w:ascii="方正小标宋简体" w:hAnsi="宋体" w:eastAsia="方正小标宋简体"/>
          <w:color w:val="000000"/>
          <w:kern w:val="0"/>
          <w:sz w:val="40"/>
          <w:szCs w:val="44"/>
          <w:u w:val="none"/>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u w:val="none"/>
          <w:lang w:val="zh-CN"/>
        </w:rPr>
        <w:t>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rPr>
        <w:t>一、</w:t>
      </w:r>
      <w:r>
        <w:rPr>
          <w:rFonts w:hint="eastAsia" w:ascii="黑体" w:hAnsi="黑体" w:eastAsia="黑体" w:cs="黑体"/>
          <w:color w:val="000000"/>
          <w:kern w:val="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（一）机构组成。商务厅下属二级预算事业单位</w:t>
      </w:r>
      <w:r>
        <w:rPr>
          <w:rFonts w:hint="eastAsia" w:ascii="仿宋_GB2312" w:hAnsi="仿宋_GB2312" w:eastAsia="仿宋_GB2312" w:cs="仿宋_GB2312"/>
          <w:color w:val="000000"/>
          <w:kern w:val="0"/>
          <w:sz w:val="32"/>
          <w:szCs w:val="32"/>
          <w:shd w:val="clear" w:color="auto" w:fill="FFFFFF"/>
          <w:lang w:val="en-US" w:eastAsia="zh-CN"/>
        </w:rPr>
        <w:t>6</w:t>
      </w:r>
      <w:r>
        <w:rPr>
          <w:rFonts w:hint="eastAsia" w:ascii="仿宋_GB2312" w:hAnsi="仿宋_GB2312" w:eastAsia="仿宋_GB2312" w:cs="仿宋_GB2312"/>
          <w:color w:val="000000"/>
          <w:kern w:val="0"/>
          <w:sz w:val="32"/>
          <w:szCs w:val="32"/>
          <w:shd w:val="clear" w:color="auto" w:fill="FFFFFF"/>
          <w:lang w:val="zh-CN"/>
        </w:rPr>
        <w:t>个，包括：四川省商务厅机关服务中心、四川商务职业学院、四川省</w:t>
      </w:r>
      <w:r>
        <w:rPr>
          <w:rFonts w:hint="eastAsia" w:ascii="仿宋_GB2312" w:hAnsi="仿宋_GB2312" w:eastAsia="仿宋_GB2312" w:cs="仿宋_GB2312"/>
          <w:color w:val="000000"/>
          <w:kern w:val="0"/>
          <w:sz w:val="32"/>
          <w:szCs w:val="32"/>
          <w:shd w:val="clear" w:color="auto" w:fill="FFFFFF"/>
          <w:lang w:val="zh-CN" w:eastAsia="zh-CN"/>
        </w:rPr>
        <w:t>商务发展事务</w:t>
      </w:r>
      <w:r>
        <w:rPr>
          <w:rFonts w:hint="eastAsia" w:ascii="仿宋_GB2312" w:hAnsi="仿宋_GB2312" w:eastAsia="仿宋_GB2312" w:cs="仿宋_GB2312"/>
          <w:color w:val="000000"/>
          <w:kern w:val="0"/>
          <w:sz w:val="32"/>
          <w:szCs w:val="32"/>
          <w:shd w:val="clear" w:color="auto" w:fill="FFFFFF"/>
          <w:lang w:val="zh-CN"/>
        </w:rPr>
        <w:t>中心、四川省</w:t>
      </w:r>
      <w:r>
        <w:rPr>
          <w:rFonts w:hint="eastAsia" w:ascii="仿宋_GB2312" w:hAnsi="仿宋_GB2312" w:eastAsia="仿宋_GB2312" w:cs="仿宋_GB2312"/>
          <w:color w:val="000000"/>
          <w:kern w:val="0"/>
          <w:sz w:val="32"/>
          <w:szCs w:val="32"/>
          <w:shd w:val="clear" w:color="auto" w:fill="FFFFFF"/>
          <w:lang w:val="zh-CN" w:eastAsia="zh-CN"/>
        </w:rPr>
        <w:t>商务</w:t>
      </w:r>
      <w:r>
        <w:rPr>
          <w:rFonts w:hint="eastAsia" w:ascii="仿宋_GB2312" w:hAnsi="仿宋_GB2312" w:eastAsia="仿宋_GB2312" w:cs="仿宋_GB2312"/>
          <w:color w:val="000000"/>
          <w:kern w:val="0"/>
          <w:sz w:val="32"/>
          <w:szCs w:val="32"/>
          <w:shd w:val="clear" w:color="auto" w:fill="FFFFFF"/>
          <w:lang w:val="zh-CN"/>
        </w:rPr>
        <w:t>学校、四川省国际经济贸易研究所</w:t>
      </w:r>
      <w:r>
        <w:rPr>
          <w:rFonts w:hint="eastAsia" w:ascii="仿宋_GB2312" w:hAnsi="仿宋_GB2312" w:eastAsia="仿宋_GB2312" w:cs="仿宋_GB2312"/>
          <w:color w:val="000000"/>
          <w:kern w:val="0"/>
          <w:sz w:val="32"/>
          <w:szCs w:val="32"/>
          <w:shd w:val="clear" w:color="auto" w:fill="FFFFFF"/>
          <w:lang w:val="zh-CN" w:eastAsia="zh-CN"/>
        </w:rPr>
        <w:t>、四川省商务厅信息中心</w:t>
      </w:r>
      <w:r>
        <w:rPr>
          <w:rFonts w:hint="eastAsia" w:ascii="仿宋_GB2312" w:hAnsi="仿宋_GB2312" w:eastAsia="仿宋_GB2312" w:cs="仿宋_GB2312"/>
          <w:color w:val="000000"/>
          <w:kern w:val="0"/>
          <w:sz w:val="32"/>
          <w:szCs w:val="32"/>
          <w:shd w:val="clear" w:color="auto" w:fill="FFFFFF"/>
          <w:lang w:val="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eastAsia="zh-CN"/>
        </w:rPr>
      </w:pPr>
      <w:r>
        <w:rPr>
          <w:rFonts w:hint="eastAsia" w:ascii="仿宋_GB2312" w:hAnsi="仿宋_GB2312" w:eastAsia="仿宋_GB2312" w:cs="仿宋_GB2312"/>
          <w:color w:val="000000"/>
          <w:kern w:val="0"/>
          <w:sz w:val="32"/>
          <w:szCs w:val="32"/>
          <w:shd w:val="clear" w:color="auto" w:fill="FFFFFF"/>
          <w:lang w:val="zh-CN"/>
        </w:rPr>
        <w:t>厅机关内设处室</w:t>
      </w:r>
      <w:r>
        <w:rPr>
          <w:rFonts w:hint="eastAsia" w:ascii="仿宋_GB2312" w:hAnsi="仿宋_GB2312" w:eastAsia="仿宋_GB2312" w:cs="仿宋_GB2312"/>
          <w:color w:val="000000"/>
          <w:kern w:val="0"/>
          <w:sz w:val="32"/>
          <w:szCs w:val="32"/>
          <w:shd w:val="clear" w:color="auto" w:fill="FFFFFF"/>
          <w:lang w:val="en-US" w:eastAsia="zh-CN"/>
        </w:rPr>
        <w:t>25个</w:t>
      </w:r>
      <w:r>
        <w:rPr>
          <w:rFonts w:hint="eastAsia" w:ascii="仿宋_GB2312" w:hAnsi="仿宋_GB2312" w:eastAsia="仿宋_GB2312" w:cs="仿宋_GB2312"/>
          <w:color w:val="000000"/>
          <w:kern w:val="0"/>
          <w:sz w:val="32"/>
          <w:szCs w:val="32"/>
          <w:shd w:val="clear" w:color="auto" w:fill="FFFFFF"/>
          <w:lang w:val="zh-CN"/>
        </w:rPr>
        <w:t>：</w:t>
      </w:r>
      <w:r>
        <w:rPr>
          <w:rFonts w:hint="eastAsia" w:ascii="仿宋_GB2312" w:hAnsi="仿宋_GB2312" w:eastAsia="仿宋_GB2312" w:cs="仿宋_GB2312"/>
          <w:color w:val="000000"/>
          <w:kern w:val="0"/>
          <w:sz w:val="32"/>
          <w:szCs w:val="32"/>
          <w:shd w:val="clear" w:color="auto" w:fill="FFFFFF"/>
          <w:lang w:val="zh-CN" w:eastAsia="zh-CN"/>
        </w:rPr>
        <w:t>办公室、综合处、法规与贸易救济处、行政审批处、服务业发展协调处、市场秩序处、市场体系建设处、流通业发展处、市场运行与消费促进处、国际经贸关系处、对外贸易运行处、对外贸易发展处、服务贸易与商贸服务业处、产业处、对外经济合作处、电子商务与信息化处、财务处、审计处、综信处、创新处、协调处、人事教育处、离退休工作人员办公室、商业离退休人员工作处、物资离退休人员工作处。</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（二）机构职能。</w:t>
      </w:r>
      <w:r>
        <w:rPr>
          <w:rFonts w:hint="eastAsia" w:ascii="仿宋_GB2312" w:hAnsi="仿宋_GB2312" w:eastAsia="仿宋_GB2312" w:cs="仿宋_GB2312"/>
          <w:color w:val="000000"/>
          <w:kern w:val="0"/>
          <w:sz w:val="32"/>
          <w:szCs w:val="32"/>
          <w:shd w:val="clear" w:color="auto" w:fill="FFFFFF"/>
          <w:lang w:val="zh-CN" w:eastAsia="zh-CN"/>
        </w:rPr>
        <w:t>根据《中共四川省委四川省人民政府关于印发〈四川省人民政府机构改革方案〉的通知》（川委发〔2018〕26号）规定</w:t>
      </w:r>
      <w:r>
        <w:rPr>
          <w:rFonts w:hint="eastAsia" w:ascii="仿宋_GB2312" w:hAnsi="仿宋_GB2312" w:eastAsia="仿宋_GB2312" w:cs="仿宋_GB2312"/>
          <w:color w:val="000000"/>
          <w:kern w:val="0"/>
          <w:sz w:val="32"/>
          <w:szCs w:val="32"/>
          <w:shd w:val="clear" w:color="auto" w:fill="FFFFFF"/>
          <w:lang w:val="zh-CN"/>
        </w:rPr>
        <w:t>，商务厅职能主要是贯彻落实国家有关国内外贸易、外商投资和国际合作的法律、法规和方针、政策，拟订全省内外贸易、外商投资和对外经济合作的法规、规章和实施细则，制定全省商务发展规划、计划并组织实施。按要求承担全省服务业发展工作中组织实施的协调职责，推进流通产业结构调整，加快第三方物流发展，指导流通企业改革、商贸服务业和社区、商业发展，提出促进商贸企业发展的政策建议，推进流通标准化和连锁经营、商业特许经营、物流配送、电子商务等现代流通方式的发展等十五项主要职责。</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（三）人员概况。</w:t>
      </w:r>
      <w:r>
        <w:rPr>
          <w:rFonts w:hint="eastAsia" w:ascii="仿宋_GB2312" w:hAnsi="仿宋_GB2312" w:eastAsia="仿宋_GB2312" w:cs="仿宋_GB2312"/>
          <w:color w:val="000000"/>
          <w:kern w:val="0"/>
          <w:sz w:val="32"/>
          <w:szCs w:val="32"/>
          <w:shd w:val="clear" w:color="auto" w:fill="FFFFFF"/>
          <w:lang w:val="zh-CN" w:eastAsia="zh-CN"/>
        </w:rPr>
        <w:t>省商务厅</w:t>
      </w:r>
      <w:r>
        <w:rPr>
          <w:rFonts w:hint="eastAsia" w:ascii="仿宋_GB2312" w:hAnsi="仿宋_GB2312" w:eastAsia="仿宋_GB2312" w:cs="仿宋_GB2312"/>
          <w:color w:val="000000"/>
          <w:kern w:val="0"/>
          <w:sz w:val="32"/>
          <w:szCs w:val="32"/>
          <w:shd w:val="clear" w:color="auto" w:fill="FFFFFF"/>
          <w:lang w:val="zh-CN"/>
        </w:rPr>
        <w:t>总编制</w:t>
      </w:r>
      <w:r>
        <w:rPr>
          <w:rFonts w:hint="eastAsia" w:ascii="仿宋_GB2312" w:hAnsi="仿宋_GB2312" w:eastAsia="仿宋_GB2312" w:cs="仿宋_GB2312"/>
          <w:color w:val="000000"/>
          <w:kern w:val="0"/>
          <w:sz w:val="32"/>
          <w:szCs w:val="32"/>
          <w:shd w:val="clear" w:color="auto" w:fill="FFFFFF"/>
          <w:lang w:val="en-US" w:eastAsia="zh-CN"/>
        </w:rPr>
        <w:t>1205</w:t>
      </w:r>
      <w:r>
        <w:rPr>
          <w:rFonts w:hint="eastAsia" w:ascii="仿宋_GB2312" w:hAnsi="仿宋_GB2312" w:eastAsia="仿宋_GB2312" w:cs="仿宋_GB2312"/>
          <w:color w:val="000000"/>
          <w:kern w:val="0"/>
          <w:sz w:val="32"/>
          <w:szCs w:val="32"/>
          <w:shd w:val="clear" w:color="auto" w:fill="FFFFFF"/>
          <w:lang w:val="zh-CN"/>
        </w:rPr>
        <w:t>名，其中行政编制</w:t>
      </w:r>
      <w:r>
        <w:rPr>
          <w:rFonts w:hint="eastAsia" w:ascii="仿宋_GB2312" w:hAnsi="仿宋_GB2312" w:eastAsia="仿宋_GB2312" w:cs="仿宋_GB2312"/>
          <w:color w:val="000000"/>
          <w:kern w:val="0"/>
          <w:sz w:val="32"/>
          <w:szCs w:val="32"/>
          <w:shd w:val="clear" w:color="auto" w:fill="FFFFFF"/>
          <w:lang w:val="en-US" w:eastAsia="zh-CN"/>
        </w:rPr>
        <w:t>176</w:t>
      </w:r>
      <w:r>
        <w:rPr>
          <w:rFonts w:hint="eastAsia" w:ascii="仿宋_GB2312" w:hAnsi="仿宋_GB2312" w:eastAsia="仿宋_GB2312" w:cs="仿宋_GB2312"/>
          <w:color w:val="000000"/>
          <w:kern w:val="0"/>
          <w:sz w:val="32"/>
          <w:szCs w:val="32"/>
          <w:shd w:val="clear" w:color="auto" w:fill="FFFFFF"/>
          <w:lang w:val="zh-CN"/>
        </w:rPr>
        <w:t>名，参照公务员法管理的事业编制</w:t>
      </w:r>
      <w:r>
        <w:rPr>
          <w:rFonts w:hint="eastAsia" w:ascii="仿宋_GB2312" w:hAnsi="仿宋_GB2312" w:eastAsia="仿宋_GB2312" w:cs="仿宋_GB2312"/>
          <w:color w:val="000000"/>
          <w:kern w:val="0"/>
          <w:sz w:val="32"/>
          <w:szCs w:val="32"/>
          <w:shd w:val="clear" w:color="auto" w:fill="FFFFFF"/>
          <w:lang w:val="en-US" w:eastAsia="zh-CN"/>
        </w:rPr>
        <w:t>0</w:t>
      </w:r>
      <w:r>
        <w:rPr>
          <w:rFonts w:hint="eastAsia" w:ascii="仿宋_GB2312" w:hAnsi="仿宋_GB2312" w:eastAsia="仿宋_GB2312" w:cs="仿宋_GB2312"/>
          <w:color w:val="000000"/>
          <w:kern w:val="0"/>
          <w:sz w:val="32"/>
          <w:szCs w:val="32"/>
          <w:shd w:val="clear" w:color="auto" w:fill="FFFFFF"/>
          <w:lang w:val="zh-CN"/>
        </w:rPr>
        <w:t>名，其他事业编制</w:t>
      </w:r>
      <w:r>
        <w:rPr>
          <w:rFonts w:hint="eastAsia" w:ascii="仿宋_GB2312" w:hAnsi="仿宋_GB2312" w:eastAsia="仿宋_GB2312" w:cs="仿宋_GB2312"/>
          <w:color w:val="000000"/>
          <w:kern w:val="0"/>
          <w:sz w:val="32"/>
          <w:szCs w:val="32"/>
          <w:shd w:val="clear" w:color="auto" w:fill="FFFFFF"/>
          <w:lang w:val="en-US" w:eastAsia="zh-CN"/>
        </w:rPr>
        <w:t>1029</w:t>
      </w:r>
      <w:r>
        <w:rPr>
          <w:rFonts w:hint="eastAsia" w:ascii="仿宋_GB2312" w:hAnsi="仿宋_GB2312" w:eastAsia="仿宋_GB2312" w:cs="仿宋_GB2312"/>
          <w:color w:val="000000"/>
          <w:kern w:val="0"/>
          <w:sz w:val="32"/>
          <w:szCs w:val="32"/>
          <w:shd w:val="clear" w:color="auto" w:fill="FFFFFF"/>
          <w:lang w:val="zh-CN"/>
        </w:rPr>
        <w:t>名。人员总数</w:t>
      </w:r>
      <w:r>
        <w:rPr>
          <w:rFonts w:hint="eastAsia" w:ascii="仿宋_GB2312" w:hAnsi="仿宋_GB2312" w:eastAsia="仿宋_GB2312" w:cs="仿宋_GB2312"/>
          <w:color w:val="000000"/>
          <w:kern w:val="0"/>
          <w:sz w:val="32"/>
          <w:szCs w:val="32"/>
          <w:shd w:val="clear" w:color="auto" w:fill="FFFFFF"/>
          <w:lang w:val="en-US" w:eastAsia="zh-CN"/>
        </w:rPr>
        <w:t>797</w:t>
      </w:r>
      <w:r>
        <w:rPr>
          <w:rFonts w:hint="eastAsia" w:ascii="仿宋_GB2312" w:hAnsi="仿宋_GB2312" w:eastAsia="仿宋_GB2312" w:cs="仿宋_GB2312"/>
          <w:color w:val="000000"/>
          <w:kern w:val="0"/>
          <w:sz w:val="32"/>
          <w:szCs w:val="32"/>
          <w:shd w:val="clear" w:color="auto" w:fill="FFFFFF"/>
          <w:lang w:val="zh-CN"/>
        </w:rPr>
        <w:t>人，</w:t>
      </w:r>
      <w:r>
        <w:rPr>
          <w:rFonts w:hint="eastAsia" w:ascii="仿宋_GB2312" w:hAnsi="仿宋_GB2312" w:eastAsia="仿宋_GB2312" w:cs="仿宋_GB2312"/>
          <w:color w:val="000000"/>
          <w:kern w:val="0"/>
          <w:sz w:val="32"/>
          <w:szCs w:val="32"/>
          <w:shd w:val="clear" w:color="auto" w:fill="FFFFFF"/>
          <w:lang w:val="zh-CN" w:eastAsia="zh-CN"/>
        </w:rPr>
        <w:t>其中：在职人员</w:t>
      </w:r>
      <w:r>
        <w:rPr>
          <w:rFonts w:hint="eastAsia" w:ascii="仿宋_GB2312" w:hAnsi="仿宋_GB2312" w:eastAsia="仿宋_GB2312" w:cs="仿宋_GB2312"/>
          <w:color w:val="000000"/>
          <w:kern w:val="0"/>
          <w:sz w:val="32"/>
          <w:szCs w:val="32"/>
          <w:shd w:val="clear" w:color="auto" w:fill="FFFFFF"/>
          <w:lang w:val="en-US" w:eastAsia="zh-CN"/>
        </w:rPr>
        <w:t>781人、</w:t>
      </w:r>
      <w:r>
        <w:rPr>
          <w:rFonts w:hint="eastAsia" w:ascii="仿宋_GB2312" w:hAnsi="仿宋_GB2312" w:eastAsia="仿宋_GB2312" w:cs="仿宋_GB2312"/>
          <w:color w:val="000000"/>
          <w:kern w:val="0"/>
          <w:sz w:val="32"/>
          <w:szCs w:val="32"/>
          <w:shd w:val="clear" w:color="auto" w:fill="FFFFFF"/>
          <w:lang w:val="zh-CN"/>
        </w:rPr>
        <w:t>离休人员</w:t>
      </w:r>
      <w:r>
        <w:rPr>
          <w:rFonts w:hint="eastAsia" w:ascii="仿宋_GB2312" w:hAnsi="仿宋_GB2312" w:eastAsia="仿宋_GB2312" w:cs="仿宋_GB2312"/>
          <w:color w:val="000000"/>
          <w:kern w:val="0"/>
          <w:sz w:val="32"/>
          <w:szCs w:val="32"/>
          <w:shd w:val="clear" w:color="auto" w:fill="FFFFFF"/>
          <w:lang w:val="en-US" w:eastAsia="zh-CN"/>
        </w:rPr>
        <w:t>16</w:t>
      </w:r>
      <w:r>
        <w:rPr>
          <w:rFonts w:hint="eastAsia" w:ascii="仿宋_GB2312" w:hAnsi="仿宋_GB2312" w:eastAsia="仿宋_GB2312" w:cs="仿宋_GB2312"/>
          <w:color w:val="000000"/>
          <w:kern w:val="0"/>
          <w:sz w:val="32"/>
          <w:szCs w:val="32"/>
          <w:shd w:val="clear" w:color="auto" w:fill="FFFFFF"/>
          <w:lang w:val="zh-CN"/>
        </w:rPr>
        <w:t>人。</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（一）部门财政资金收入情况。</w:t>
      </w:r>
      <w:r>
        <w:rPr>
          <w:rFonts w:hint="eastAsia" w:ascii="仿宋_GB2312" w:hAnsi="仿宋_GB2312" w:eastAsia="仿宋_GB2312" w:cs="仿宋_GB2312"/>
          <w:color w:val="000000"/>
          <w:kern w:val="0"/>
          <w:sz w:val="32"/>
          <w:szCs w:val="32"/>
          <w:shd w:val="clear" w:color="auto" w:fill="FFFFFF"/>
          <w:lang w:val="zh-CN" w:eastAsia="zh-CN"/>
        </w:rPr>
        <w:t>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lang w:val="zh-CN"/>
        </w:rPr>
        <w:t>年省商务厅决算收入总额为53,745.88万元，其中：</w:t>
      </w:r>
      <w:r>
        <w:rPr>
          <w:rFonts w:hint="eastAsia" w:ascii="仿宋_GB2312" w:hAnsi="仿宋_GB2312" w:eastAsia="仿宋_GB2312" w:cs="仿宋_GB2312"/>
          <w:color w:val="000000"/>
          <w:kern w:val="0"/>
          <w:sz w:val="32"/>
          <w:szCs w:val="32"/>
          <w:shd w:val="clear" w:color="auto" w:fill="FFFFFF"/>
          <w:lang w:val="zh-CN" w:eastAsia="zh-CN"/>
        </w:rPr>
        <w:t>本年收入</w:t>
      </w:r>
      <w:r>
        <w:rPr>
          <w:rFonts w:hint="eastAsia" w:ascii="仿宋_GB2312" w:hAnsi="仿宋_GB2312" w:eastAsia="仿宋_GB2312" w:cs="仿宋_GB2312"/>
          <w:color w:val="000000"/>
          <w:kern w:val="0"/>
          <w:sz w:val="32"/>
          <w:szCs w:val="32"/>
          <w:shd w:val="clear" w:color="auto" w:fill="FFFFFF"/>
          <w:lang w:val="en-US" w:eastAsia="zh-CN"/>
        </w:rPr>
        <w:t>34,823.61万元（</w:t>
      </w:r>
      <w:r>
        <w:rPr>
          <w:rFonts w:hint="eastAsia" w:ascii="仿宋_GB2312" w:hAnsi="仿宋_GB2312" w:eastAsia="仿宋_GB2312" w:cs="仿宋_GB2312"/>
          <w:color w:val="000000"/>
          <w:kern w:val="0"/>
          <w:sz w:val="32"/>
          <w:szCs w:val="32"/>
          <w:shd w:val="clear" w:color="auto" w:fill="FFFFFF"/>
          <w:lang w:val="zh-CN"/>
        </w:rPr>
        <w:t>一般公共预算财政拨款收入25,501.63万元</w:t>
      </w:r>
      <w:r>
        <w:rPr>
          <w:rFonts w:hint="eastAsia" w:ascii="仿宋_GB2312" w:hAnsi="仿宋_GB2312" w:eastAsia="仿宋_GB2312" w:cs="仿宋_GB2312"/>
          <w:color w:val="000000"/>
          <w:kern w:val="0"/>
          <w:sz w:val="32"/>
          <w:szCs w:val="32"/>
          <w:shd w:val="clear" w:color="auto" w:fill="FFFFFF"/>
          <w:lang w:val="zh-CN" w:eastAsia="zh-CN"/>
        </w:rPr>
        <w:t>、</w:t>
      </w:r>
      <w:r>
        <w:rPr>
          <w:rFonts w:hint="eastAsia" w:ascii="仿宋_GB2312" w:hAnsi="仿宋_GB2312" w:eastAsia="仿宋_GB2312" w:cs="仿宋_GB2312"/>
          <w:color w:val="000000"/>
          <w:kern w:val="0"/>
          <w:sz w:val="32"/>
          <w:szCs w:val="32"/>
          <w:shd w:val="clear" w:color="auto" w:fill="FFFFFF"/>
          <w:lang w:val="zh-CN"/>
        </w:rPr>
        <w:t>事业收入5,811.54万元</w:t>
      </w:r>
      <w:r>
        <w:rPr>
          <w:rFonts w:hint="eastAsia" w:ascii="仿宋_GB2312" w:hAnsi="仿宋_GB2312" w:eastAsia="仿宋_GB2312" w:cs="仿宋_GB2312"/>
          <w:color w:val="000000"/>
          <w:kern w:val="0"/>
          <w:sz w:val="32"/>
          <w:szCs w:val="32"/>
          <w:shd w:val="clear" w:color="auto" w:fill="FFFFFF"/>
          <w:lang w:val="zh-CN" w:eastAsia="zh-CN"/>
        </w:rPr>
        <w:t>、</w:t>
      </w:r>
      <w:r>
        <w:rPr>
          <w:rFonts w:hint="eastAsia" w:ascii="仿宋_GB2312" w:hAnsi="仿宋_GB2312" w:eastAsia="仿宋_GB2312" w:cs="仿宋_GB2312"/>
          <w:color w:val="000000"/>
          <w:kern w:val="0"/>
          <w:sz w:val="32"/>
          <w:szCs w:val="32"/>
          <w:shd w:val="clear" w:color="auto" w:fill="FFFFFF"/>
          <w:lang w:val="zh-CN"/>
        </w:rPr>
        <w:t>经营收入3,096.33万元</w:t>
      </w:r>
      <w:r>
        <w:rPr>
          <w:rFonts w:hint="eastAsia" w:ascii="仿宋_GB2312" w:hAnsi="仿宋_GB2312" w:eastAsia="仿宋_GB2312" w:cs="仿宋_GB2312"/>
          <w:color w:val="000000"/>
          <w:kern w:val="0"/>
          <w:sz w:val="32"/>
          <w:szCs w:val="32"/>
          <w:shd w:val="clear" w:color="auto" w:fill="FFFFFF"/>
          <w:lang w:val="zh-CN" w:eastAsia="zh-CN"/>
        </w:rPr>
        <w:t>、</w:t>
      </w:r>
      <w:r>
        <w:rPr>
          <w:rFonts w:hint="eastAsia" w:ascii="仿宋_GB2312" w:hAnsi="仿宋_GB2312" w:eastAsia="仿宋_GB2312" w:cs="仿宋_GB2312"/>
          <w:color w:val="000000"/>
          <w:kern w:val="0"/>
          <w:sz w:val="32"/>
          <w:szCs w:val="32"/>
          <w:shd w:val="clear" w:color="auto" w:fill="FFFFFF"/>
          <w:lang w:val="zh-CN"/>
        </w:rPr>
        <w:t>其他收入414.11万元</w:t>
      </w:r>
      <w:r>
        <w:rPr>
          <w:rFonts w:hint="eastAsia" w:ascii="仿宋_GB2312" w:hAnsi="仿宋_GB2312" w:eastAsia="仿宋_GB2312" w:cs="仿宋_GB2312"/>
          <w:color w:val="000000"/>
          <w:kern w:val="0"/>
          <w:sz w:val="32"/>
          <w:szCs w:val="32"/>
          <w:shd w:val="clear" w:color="auto" w:fill="FFFFFF"/>
          <w:lang w:val="zh-CN" w:eastAsia="zh-CN"/>
        </w:rPr>
        <w:t>）、</w:t>
      </w:r>
      <w:r>
        <w:rPr>
          <w:rFonts w:hint="eastAsia" w:ascii="仿宋_GB2312" w:hAnsi="仿宋_GB2312" w:eastAsia="仿宋_GB2312" w:cs="仿宋_GB2312"/>
          <w:color w:val="000000"/>
          <w:kern w:val="0"/>
          <w:sz w:val="32"/>
          <w:szCs w:val="32"/>
          <w:shd w:val="clear" w:color="auto" w:fill="FFFFFF"/>
          <w:lang w:val="zh-CN"/>
        </w:rPr>
        <w:t>年初结转和结余18,922.27万元</w:t>
      </w:r>
      <w:r>
        <w:rPr>
          <w:rFonts w:hint="eastAsia" w:ascii="仿宋_GB2312" w:hAnsi="仿宋_GB2312" w:eastAsia="仿宋_GB2312" w:cs="仿宋_GB2312"/>
          <w:color w:val="000000"/>
          <w:kern w:val="0"/>
          <w:sz w:val="32"/>
          <w:szCs w:val="32"/>
          <w:shd w:val="clear" w:color="auto" w:fill="FFFFFF"/>
          <w:lang w:val="zh-CN" w:eastAsia="zh-CN"/>
        </w:rPr>
        <w:t>。</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eastAsia="zh-CN"/>
        </w:rPr>
        <w:t>（二）部门财政资金支出情况。</w:t>
      </w:r>
      <w:r>
        <w:rPr>
          <w:rFonts w:hint="eastAsia" w:ascii="仿宋_GB2312" w:hAnsi="仿宋_GB2312" w:eastAsia="仿宋_GB2312" w:cs="仿宋_GB2312"/>
          <w:color w:val="000000"/>
          <w:kern w:val="0"/>
          <w:sz w:val="32"/>
          <w:szCs w:val="32"/>
          <w:shd w:val="clear" w:color="auto" w:fill="FFFFFF"/>
          <w:lang w:val="zh-CN"/>
        </w:rPr>
        <w:t>本年支出</w:t>
      </w:r>
      <w:r>
        <w:rPr>
          <w:rFonts w:hint="eastAsia" w:ascii="仿宋_GB2312" w:hAnsi="仿宋_GB2312" w:eastAsia="仿宋_GB2312" w:cs="仿宋_GB2312"/>
          <w:color w:val="000000"/>
          <w:kern w:val="0"/>
          <w:sz w:val="32"/>
          <w:szCs w:val="32"/>
          <w:shd w:val="clear" w:color="auto" w:fill="FFFFFF"/>
          <w:lang w:val="zh-CN" w:eastAsia="zh-CN"/>
        </w:rPr>
        <w:t>合计</w:t>
      </w:r>
      <w:r>
        <w:rPr>
          <w:rFonts w:hint="eastAsia" w:ascii="仿宋_GB2312" w:hAnsi="仿宋_GB2312" w:eastAsia="仿宋_GB2312" w:cs="仿宋_GB2312"/>
          <w:color w:val="000000"/>
          <w:kern w:val="0"/>
          <w:sz w:val="32"/>
          <w:szCs w:val="32"/>
          <w:shd w:val="clear" w:color="auto" w:fill="FFFFFF"/>
          <w:lang w:val="zh-CN"/>
        </w:rPr>
        <w:t>34,448.77万元，其中：人员支出16,158.12万元，日常公用支出3,469.11万元，</w:t>
      </w:r>
      <w:r>
        <w:rPr>
          <w:rFonts w:hint="eastAsia" w:ascii="仿宋_GB2312" w:hAnsi="仿宋_GB2312" w:eastAsia="仿宋_GB2312" w:cs="仿宋_GB2312"/>
          <w:color w:val="000000"/>
          <w:kern w:val="0"/>
          <w:sz w:val="32"/>
          <w:szCs w:val="32"/>
          <w:shd w:val="clear" w:color="auto" w:fill="FFFFFF"/>
          <w:lang w:val="zh-CN" w:eastAsia="zh-CN"/>
        </w:rPr>
        <w:t>项目</w:t>
      </w:r>
      <w:r>
        <w:rPr>
          <w:rFonts w:hint="eastAsia" w:ascii="仿宋_GB2312" w:hAnsi="仿宋_GB2312" w:eastAsia="仿宋_GB2312" w:cs="仿宋_GB2312"/>
          <w:color w:val="000000"/>
          <w:kern w:val="0"/>
          <w:sz w:val="32"/>
          <w:szCs w:val="32"/>
          <w:shd w:val="clear" w:color="auto" w:fill="FFFFFF"/>
          <w:lang w:val="zh-CN"/>
        </w:rPr>
        <w:t>支出11,760.90万元，经营支出3,060.64万元。结余分配189.66万元，年末结转结余19,107.45万元。</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（一）部门预算管理。我厅部门</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制定的目标任务与国家政策法规、单位职能</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及中长期规划相符。目标任务制定明确，能较全面反映单位目标和预期效益，目标任务的制定合理可行，符合客观实际并能在一定期限内如期实现。预算编制严格按照“一上一下，二上二下”的流程，逐级编制，汇总上报，测算依据与年度工作任务相匹配，能体现重点项目优先保障</w:t>
      </w:r>
      <w:r>
        <w:rPr>
          <w:rFonts w:hint="eastAsia" w:ascii="仿宋_GB2312" w:hAnsi="仿宋_GB2312" w:eastAsia="仿宋_GB2312" w:cs="仿宋_GB2312"/>
          <w:sz w:val="32"/>
          <w:szCs w:val="32"/>
          <w:lang w:eastAsia="zh-CN"/>
        </w:rPr>
        <w:t>的原则</w:t>
      </w:r>
      <w:r>
        <w:rPr>
          <w:rFonts w:hint="eastAsia" w:ascii="仿宋_GB2312" w:hAnsi="仿宋_GB2312" w:eastAsia="仿宋_GB2312" w:cs="仿宋_GB2312"/>
          <w:sz w:val="32"/>
          <w:szCs w:val="32"/>
        </w:rPr>
        <w:t>。业务</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室负责对项目进行测算并拟定绩效目标，</w:t>
      </w:r>
      <w:r>
        <w:rPr>
          <w:rFonts w:hint="eastAsia" w:ascii="仿宋_GB2312" w:hAnsi="仿宋_GB2312" w:eastAsia="仿宋_GB2312" w:cs="仿宋_GB2312"/>
          <w:sz w:val="32"/>
          <w:szCs w:val="32"/>
          <w:lang w:eastAsia="zh-CN"/>
        </w:rPr>
        <w:t>财务处</w:t>
      </w:r>
      <w:r>
        <w:rPr>
          <w:rFonts w:hint="eastAsia" w:ascii="仿宋_GB2312" w:hAnsi="仿宋_GB2312" w:eastAsia="仿宋_GB2312" w:cs="仿宋_GB2312"/>
          <w:sz w:val="32"/>
          <w:szCs w:val="32"/>
        </w:rPr>
        <w:t>负责对基本支出公用经费及</w:t>
      </w:r>
      <w:r>
        <w:rPr>
          <w:rFonts w:hint="eastAsia" w:ascii="仿宋_GB2312" w:hAnsi="仿宋_GB2312" w:eastAsia="仿宋_GB2312" w:cs="仿宋_GB2312"/>
          <w:sz w:val="32"/>
          <w:szCs w:val="32"/>
          <w:lang w:eastAsia="zh-CN"/>
        </w:rPr>
        <w:t>通用</w:t>
      </w:r>
      <w:r>
        <w:rPr>
          <w:rFonts w:hint="eastAsia" w:ascii="仿宋_GB2312" w:hAnsi="仿宋_GB2312" w:eastAsia="仿宋_GB2312" w:cs="仿宋_GB2312"/>
          <w:sz w:val="32"/>
          <w:szCs w:val="32"/>
        </w:rPr>
        <w:t>项目进行测算，</w:t>
      </w:r>
      <w:r>
        <w:rPr>
          <w:rFonts w:hint="eastAsia" w:ascii="仿宋_GB2312" w:hAnsi="仿宋_GB2312" w:eastAsia="仿宋_GB2312" w:cs="仿宋_GB2312"/>
          <w:sz w:val="32"/>
          <w:szCs w:val="32"/>
          <w:lang w:eastAsia="zh-CN"/>
        </w:rPr>
        <w:t>并汇总各处室提出的预算建议及绩效目标，形成预算草案按程序报厅党组审定</w:t>
      </w:r>
      <w:r>
        <w:rPr>
          <w:rFonts w:hint="eastAsia" w:ascii="仿宋_GB2312" w:hAnsi="仿宋_GB2312" w:eastAsia="仿宋_GB2312" w:cs="仿宋_GB2312"/>
          <w:sz w:val="32"/>
          <w:szCs w:val="32"/>
        </w:rPr>
        <w:t>。绩效目标是预算编制的前提和基础，按照“费随事定”的原则，</w:t>
      </w:r>
      <w:r>
        <w:rPr>
          <w:rFonts w:hint="eastAsia" w:ascii="仿宋_GB2312" w:hAnsi="仿宋_GB2312" w:eastAsia="仿宋_GB2312" w:cs="仿宋_GB2312"/>
          <w:sz w:val="32"/>
          <w:szCs w:val="32"/>
          <w:lang w:eastAsia="zh-CN"/>
        </w:rPr>
        <w:t>我厅编制了部门预算整体支出绩效目标，</w:t>
      </w:r>
      <w:r>
        <w:rPr>
          <w:rFonts w:hint="eastAsia" w:ascii="仿宋_GB2312" w:hAnsi="仿宋_GB2312" w:eastAsia="仿宋_GB2312" w:cs="仿宋_GB2312"/>
          <w:sz w:val="32"/>
          <w:szCs w:val="32"/>
        </w:rPr>
        <w:t>100万元以上专用项目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40"/>
        <w:keepNext w:val="0"/>
        <w:keepLines w:val="0"/>
        <w:pageBreakBefore w:val="0"/>
        <w:numPr>
          <w:ilvl w:val="0"/>
          <w:numId w:val="0"/>
        </w:numPr>
        <w:kinsoku/>
        <w:wordWrap/>
        <w:overflowPunct/>
        <w:topLinePunct w:val="0"/>
        <w:autoSpaceDE/>
        <w:autoSpaceDN/>
        <w:bidi w:val="0"/>
        <w:spacing w:before="0" w:beforeLines="0" w:after="0" w:afterLines="0" w:line="58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shd w:val="clear" w:color="auto" w:fill="FFFFFF"/>
          <w:lang w:val="zh-CN"/>
        </w:rPr>
        <w:t>（二）结果应用情况。根据</w:t>
      </w:r>
      <w:r>
        <w:rPr>
          <w:rFonts w:hint="eastAsia" w:ascii="仿宋_GB2312" w:hAnsi="仿宋_GB2312" w:eastAsia="仿宋_GB2312" w:cs="仿宋_GB2312"/>
          <w:sz w:val="32"/>
          <w:szCs w:val="32"/>
          <w:lang w:val="en-US" w:eastAsia="zh-CN"/>
        </w:rPr>
        <w:t>《2018年度省本级预算执行和总决算草案编制情况审计报告》中关于预算绩效管理工作部分和问题明细情况表，对涉及我厅的问题认真整改落实。</w:t>
      </w:r>
      <w:r>
        <w:rPr>
          <w:rFonts w:hint="eastAsia" w:ascii="仿宋_GB2312" w:hAnsi="仿宋_GB2312" w:eastAsia="仿宋_GB2312" w:cs="仿宋_GB2312"/>
          <w:sz w:val="32"/>
          <w:szCs w:val="32"/>
          <w:lang w:eastAsia="zh-CN"/>
        </w:rPr>
        <w:t>根据绩效目标审核结果，对绩效目标、项目内容等进行整改、优化、调整；通过绩效监控而进行政策优化、改进管理、预算调整、结余处理、项目调整；将评价结果作为次年政策优化、改进管理、预算调整、项目调整等的重要依据并组织实施；对重点绩效评价发现的问题及时全面整改；按要求将绩效目标随同部门年初预算同步公开，按要求将绩效目标完成情况、部门整体支出绩效评价自评报告等绩效信息随同部门年终决算公开。</w:t>
      </w:r>
    </w:p>
    <w:p>
      <w:pPr>
        <w:keepNext w:val="0"/>
        <w:keepLines w:val="0"/>
        <w:pageBreakBefore w:val="0"/>
        <w:widowControl/>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contextualSpacing/>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四、评价结论及建议</w:t>
      </w:r>
    </w:p>
    <w:p>
      <w:pPr>
        <w:pStyle w:val="41"/>
        <w:keepNext w:val="0"/>
        <w:keepLines w:val="0"/>
        <w:pageBreakBefore w:val="0"/>
        <w:kinsoku/>
        <w:wordWrap/>
        <w:overflowPunct/>
        <w:topLinePunct w:val="0"/>
        <w:autoSpaceDE/>
        <w:autoSpaceDN/>
        <w:bidi w:val="0"/>
        <w:spacing w:before="0" w:beforeLines="0" w:after="0" w:afterLines="0" w:line="580" w:lineRule="exact"/>
        <w:ind w:left="0" w:leftChars="0" w:right="0" w:rightChars="0"/>
        <w:jc w:val="left"/>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kern w:val="0"/>
          <w:sz w:val="32"/>
          <w:szCs w:val="32"/>
          <w:shd w:val="clear" w:color="auto" w:fill="FFFFFF"/>
          <w:lang w:val="en-US" w:eastAsia="zh-CN"/>
        </w:rPr>
        <w:t xml:space="preserve">    </w:t>
      </w:r>
      <w:r>
        <w:rPr>
          <w:rFonts w:hint="eastAsia" w:ascii="仿宋_GB2312" w:hAnsi="仿宋_GB2312" w:eastAsia="仿宋_GB2312" w:cs="仿宋_GB2312"/>
          <w:color w:val="000000"/>
          <w:kern w:val="0"/>
          <w:sz w:val="32"/>
          <w:szCs w:val="32"/>
          <w:shd w:val="clear" w:color="auto" w:fill="FFFFFF"/>
          <w:lang w:val="zh-CN"/>
        </w:rPr>
        <w:t>（一）评价结论。</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eastAsia="zh-CN"/>
        </w:rPr>
        <w:t>部门预算管理、绩效结果运用、自评质量等</w:t>
      </w:r>
      <w:r>
        <w:rPr>
          <w:rFonts w:hint="eastAsia" w:ascii="仿宋_GB2312" w:hAnsi="仿宋_GB2312" w:eastAsia="仿宋_GB2312" w:cs="仿宋_GB2312"/>
          <w:sz w:val="32"/>
          <w:szCs w:val="32"/>
        </w:rPr>
        <w:t>方面来看，</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年按照省级部门预算编制通知要求，按时、按质编制完成</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预算，一次性通过绩效目标审查，当年待批复项目预控指标全部细化,及时按照财政厅要求进行</w:t>
      </w:r>
      <w:r>
        <w:rPr>
          <w:rFonts w:hint="eastAsia" w:ascii="仿宋_GB2312" w:hAnsi="仿宋_GB2312" w:eastAsia="仿宋_GB2312" w:cs="仿宋_GB2312"/>
          <w:sz w:val="32"/>
          <w:szCs w:val="32"/>
          <w:lang w:eastAsia="zh-CN"/>
        </w:rPr>
        <w:t>绩效监控</w:t>
      </w:r>
      <w:r>
        <w:rPr>
          <w:rFonts w:hint="eastAsia" w:ascii="仿宋_GB2312" w:hAnsi="仿宋_GB2312" w:eastAsia="仿宋_GB2312" w:cs="仿宋_GB2312"/>
          <w:sz w:val="32"/>
          <w:szCs w:val="32"/>
        </w:rPr>
        <w:t>。节能降耗效果较好，严格执行“三公经费”预算，严格执行政府采购预算，资产管理规范，内控制度健全。及时公开预算和决算、依法接受财政监督，部门职责履行结果很好，服务对象较为满意。因此，商务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部门整体</w:t>
      </w:r>
      <w:r>
        <w:rPr>
          <w:rFonts w:hint="eastAsia" w:ascii="仿宋_GB2312" w:hAnsi="仿宋_GB2312" w:eastAsia="仿宋_GB2312" w:cs="仿宋_GB2312"/>
          <w:sz w:val="32"/>
          <w:szCs w:val="32"/>
        </w:rPr>
        <w:t>绩效好，自评得分</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分。</w:t>
      </w:r>
    </w:p>
    <w:p>
      <w:pPr>
        <w:pStyle w:val="41"/>
        <w:keepNext w:val="0"/>
        <w:keepLines w:val="0"/>
        <w:pageBreakBefore w:val="0"/>
        <w:kinsoku/>
        <w:wordWrap/>
        <w:overflowPunct/>
        <w:topLinePunct w:val="0"/>
        <w:autoSpaceDE/>
        <w:autoSpaceDN/>
        <w:bidi w:val="0"/>
        <w:spacing w:before="0" w:beforeLines="0" w:after="0" w:afterLines="0" w:line="580" w:lineRule="exact"/>
        <w:ind w:left="0" w:leftChars="0" w:right="0" w:rightChars="0"/>
        <w:jc w:val="left"/>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kern w:val="0"/>
          <w:sz w:val="32"/>
          <w:szCs w:val="32"/>
          <w:shd w:val="clear" w:color="auto" w:fill="FFFFFF"/>
          <w:lang w:val="en-US" w:eastAsia="zh-CN"/>
        </w:rPr>
        <w:t xml:space="preserve">    </w:t>
      </w:r>
      <w:r>
        <w:rPr>
          <w:rFonts w:hint="eastAsia" w:ascii="仿宋_GB2312" w:hAnsi="仿宋_GB2312" w:eastAsia="仿宋_GB2312" w:cs="仿宋_GB2312"/>
          <w:color w:val="000000"/>
          <w:kern w:val="0"/>
          <w:sz w:val="32"/>
          <w:szCs w:val="32"/>
          <w:shd w:val="clear" w:color="auto" w:fill="FFFFFF"/>
          <w:lang w:val="zh-CN"/>
        </w:rPr>
        <w:t>（二）存在问题。我</w:t>
      </w:r>
      <w:r>
        <w:rPr>
          <w:rFonts w:hint="eastAsia" w:ascii="仿宋_GB2312" w:hAnsi="仿宋_GB2312" w:eastAsia="仿宋_GB2312" w:cs="仿宋_GB2312"/>
          <w:sz w:val="32"/>
          <w:szCs w:val="32"/>
          <w:lang w:val="en-US" w:eastAsia="zh-CN"/>
        </w:rPr>
        <w:t>厅高度重视绩效管理，把重大资金使用绩效评估纳入厅党组议事决策规则范围，把绩效目标事前评估、事中监控、事后评估纳入资金使用管理的全过程，预算绩效管理总体较好，但仍还存在不足，主要表现在：一</w:t>
      </w:r>
      <w:r>
        <w:rPr>
          <w:rFonts w:hint="eastAsia" w:ascii="仿宋_GB2312" w:hAnsi="仿宋_GB2312" w:eastAsia="仿宋_GB2312" w:cs="仿宋_GB2312"/>
          <w:sz w:val="32"/>
          <w:szCs w:val="32"/>
          <w:lang w:eastAsia="zh-CN"/>
        </w:rPr>
        <w:t>是部分</w:t>
      </w:r>
      <w:r>
        <w:rPr>
          <w:rFonts w:hint="eastAsia" w:ascii="仿宋_GB2312" w:hAnsi="仿宋_GB2312" w:eastAsia="仿宋_GB2312" w:cs="仿宋_GB2312"/>
          <w:sz w:val="32"/>
          <w:szCs w:val="32"/>
        </w:rPr>
        <w:t>项目绩效目标</w:t>
      </w:r>
      <w:r>
        <w:rPr>
          <w:rFonts w:hint="eastAsia" w:ascii="仿宋_GB2312" w:hAnsi="仿宋_GB2312" w:eastAsia="仿宋_GB2312" w:cs="仿宋_GB2312"/>
          <w:sz w:val="32"/>
          <w:szCs w:val="32"/>
          <w:lang w:eastAsia="zh-CN"/>
        </w:rPr>
        <w:t>不便于</w:t>
      </w:r>
      <w:r>
        <w:rPr>
          <w:rFonts w:hint="eastAsia" w:ascii="仿宋_GB2312" w:hAnsi="仿宋_GB2312" w:eastAsia="仿宋_GB2312" w:cs="仿宋_GB2312"/>
          <w:sz w:val="32"/>
          <w:szCs w:val="32"/>
        </w:rPr>
        <w:t>细化</w:t>
      </w:r>
      <w:r>
        <w:rPr>
          <w:rFonts w:hint="eastAsia" w:ascii="仿宋_GB2312" w:hAnsi="仿宋_GB2312" w:eastAsia="仿宋_GB2312" w:cs="仿宋_GB2312"/>
          <w:sz w:val="32"/>
          <w:szCs w:val="32"/>
          <w:lang w:eastAsia="zh-CN"/>
        </w:rPr>
        <w:t>和量化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导致</w:t>
      </w:r>
      <w:r>
        <w:rPr>
          <w:rFonts w:hint="eastAsia" w:ascii="仿宋_GB2312" w:hAnsi="仿宋_GB2312" w:eastAsia="仿宋_GB2312" w:cs="仿宋_GB2312"/>
          <w:sz w:val="32"/>
          <w:szCs w:val="32"/>
        </w:rPr>
        <w:t>绩效目标对支出缺乏</w:t>
      </w:r>
      <w:r>
        <w:rPr>
          <w:rFonts w:hint="eastAsia" w:ascii="仿宋_GB2312" w:hAnsi="仿宋_GB2312" w:eastAsia="仿宋_GB2312" w:cs="仿宋_GB2312"/>
          <w:sz w:val="32"/>
          <w:szCs w:val="32"/>
          <w:lang w:eastAsia="zh-CN"/>
        </w:rPr>
        <w:t>刚性</w:t>
      </w:r>
      <w:r>
        <w:rPr>
          <w:rFonts w:hint="eastAsia" w:ascii="仿宋_GB2312" w:hAnsi="仿宋_GB2312" w:eastAsia="仿宋_GB2312" w:cs="仿宋_GB2312"/>
          <w:sz w:val="32"/>
          <w:szCs w:val="32"/>
        </w:rPr>
        <w:t>约束</w:t>
      </w:r>
      <w:r>
        <w:rPr>
          <w:rFonts w:hint="eastAsia" w:ascii="仿宋_GB2312" w:hAnsi="仿宋_GB2312" w:eastAsia="仿宋_GB2312" w:cs="仿宋_GB2312"/>
          <w:sz w:val="32"/>
          <w:szCs w:val="32"/>
          <w:lang w:eastAsia="zh-CN"/>
        </w:rPr>
        <w:t>；二是部分项目临时安排，预算编制准备不充分，对项目需求，预期绩效不明确。三是绩效管理信息化手段落后，难以形成绩效管理大数据、实现精准和有效管控。四是绩效管理人员工作能力不足，对</w:t>
      </w:r>
      <w:r>
        <w:rPr>
          <w:rFonts w:hint="eastAsia" w:ascii="仿宋_GB2312" w:hAnsi="仿宋_GB2312" w:eastAsia="仿宋_GB2312" w:cs="仿宋_GB2312"/>
          <w:sz w:val="32"/>
          <w:szCs w:val="32"/>
        </w:rPr>
        <w:t>全面实施预算绩效管理</w:t>
      </w:r>
      <w:r>
        <w:rPr>
          <w:rFonts w:hint="eastAsia" w:ascii="仿宋_GB2312" w:hAnsi="仿宋_GB2312" w:eastAsia="仿宋_GB2312" w:cs="仿宋_GB2312"/>
          <w:sz w:val="32"/>
          <w:szCs w:val="32"/>
          <w:lang w:eastAsia="zh-CN"/>
        </w:rPr>
        <w:t>认识不充分。</w:t>
      </w:r>
    </w:p>
    <w:p>
      <w:pPr>
        <w:pStyle w:val="41"/>
        <w:keepNext w:val="0"/>
        <w:keepLines w:val="0"/>
        <w:pageBreakBefore w:val="0"/>
        <w:kinsoku/>
        <w:wordWrap/>
        <w:overflowPunct/>
        <w:topLinePunct w:val="0"/>
        <w:autoSpaceDE/>
        <w:autoSpaceDN/>
        <w:bidi w:val="0"/>
        <w:spacing w:before="0" w:beforeLines="0" w:after="0" w:afterLines="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（三）改进建议。</w:t>
      </w:r>
      <w:r>
        <w:rPr>
          <w:rFonts w:hint="eastAsia" w:ascii="仿宋_GB2312" w:hAnsi="仿宋_GB2312" w:eastAsia="仿宋_GB2312" w:cs="仿宋_GB2312"/>
          <w:sz w:val="32"/>
          <w:szCs w:val="32"/>
          <w:lang w:val="en-US" w:eastAsia="zh-CN"/>
        </w:rPr>
        <w:t>强化绩效管理理念，促进绩效管理与预算编制、执行、监督有机融合，健全全过程预算绩效管理机制。一是进一步明确预算绩效管理职能及职责，在内部规章制度、工作规程中加强对绩效管理的要求，并制定本部门预算绩效管理工作具体办法和实施细则。</w:t>
      </w:r>
      <w:r>
        <w:rPr>
          <w:rFonts w:hint="eastAsia" w:ascii="仿宋_GB2312" w:hAnsi="仿宋_GB2312" w:eastAsia="仿宋_GB2312" w:cs="仿宋_GB2312"/>
          <w:sz w:val="32"/>
          <w:szCs w:val="32"/>
          <w:lang w:val="zh-CN" w:eastAsia="zh-CN"/>
        </w:rPr>
        <w:t>二是强化绩效目标管理。把绩效目标作为项目实施的前置条件，提高资金使用的合理性和科学性。进一步推进绩效目标的明细化，强化目标编制的完整性和实用性，提高预算绩效目标的编制质量。</w:t>
      </w:r>
      <w:r>
        <w:rPr>
          <w:rFonts w:hint="eastAsia" w:ascii="仿宋_GB2312" w:hAnsi="仿宋_GB2312" w:eastAsia="仿宋_GB2312" w:cs="仿宋_GB2312"/>
          <w:sz w:val="32"/>
          <w:szCs w:val="32"/>
          <w:lang w:val="en-US" w:eastAsia="zh-CN"/>
        </w:rPr>
        <w:t>三是按财政要求开展预算执行的动态监控，对预算执行过程中发现的问题及时查找原因和落实整改，并在次年预算编制和执行时作为经验教训，引以为戒，逐步优化完善。</w:t>
      </w: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600" w:lineRule="exact"/>
        <w:jc w:val="center"/>
        <w:outlineLvl w:val="0"/>
        <w:rPr>
          <w:rStyle w:val="25"/>
          <w:rFonts w:ascii="黑体" w:hAnsi="黑体" w:eastAsia="黑体"/>
          <w:b w:val="0"/>
        </w:rPr>
      </w:pPr>
      <w:bookmarkStart w:id="74" w:name="_Toc15396618"/>
      <w:bookmarkStart w:id="75" w:name="_Toc12107"/>
      <w:r>
        <w:rPr>
          <w:rFonts w:hint="eastAsia" w:ascii="黑体" w:hAnsi="黑体" w:eastAsia="黑体"/>
          <w:color w:val="000000"/>
          <w:sz w:val="44"/>
          <w:szCs w:val="44"/>
        </w:rPr>
        <w:t>第</w:t>
      </w:r>
      <w:r>
        <w:rPr>
          <w:rStyle w:val="25"/>
          <w:rFonts w:hint="eastAsia" w:ascii="黑体" w:hAnsi="黑体" w:eastAsia="黑体"/>
          <w:b w:val="0"/>
        </w:rPr>
        <w:t>五部分 附表</w:t>
      </w:r>
      <w:bookmarkEnd w:id="70"/>
      <w:bookmarkEnd w:id="74"/>
      <w:bookmarkEnd w:id="75"/>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76" w:name="_Toc15396619"/>
      <w:bookmarkStart w:id="77" w:name="_Toc1637"/>
      <w:r>
        <w:rPr>
          <w:rFonts w:hint="eastAsia" w:ascii="仿宋" w:hAnsi="仿宋" w:eastAsia="仿宋"/>
          <w:b w:val="0"/>
          <w:color w:val="000000"/>
        </w:rPr>
        <w:t>一、收</w:t>
      </w:r>
      <w:r>
        <w:rPr>
          <w:rStyle w:val="26"/>
          <w:rFonts w:hint="eastAsia" w:ascii="仿宋" w:hAnsi="仿宋" w:eastAsia="仿宋"/>
          <w:b w:val="0"/>
          <w:bCs w:val="0"/>
        </w:rPr>
        <w:t>入支出决算总表</w:t>
      </w:r>
      <w:bookmarkEnd w:id="76"/>
      <w:bookmarkEnd w:id="77"/>
    </w:p>
    <w:p>
      <w:pPr>
        <w:pStyle w:val="3"/>
        <w:rPr>
          <w:rFonts w:ascii="仿宋" w:hAnsi="仿宋" w:eastAsia="仿宋"/>
          <w:color w:val="000000"/>
        </w:rPr>
      </w:pPr>
      <w:bookmarkStart w:id="78" w:name="_Toc15396620"/>
      <w:bookmarkStart w:id="79" w:name="_Toc24262"/>
      <w:r>
        <w:rPr>
          <w:rFonts w:hint="eastAsia" w:ascii="仿宋" w:hAnsi="仿宋" w:eastAsia="仿宋"/>
          <w:b w:val="0"/>
          <w:color w:val="000000"/>
        </w:rPr>
        <w:t>二、收</w:t>
      </w:r>
      <w:r>
        <w:rPr>
          <w:rStyle w:val="26"/>
          <w:rFonts w:hint="eastAsia" w:ascii="仿宋" w:hAnsi="仿宋" w:eastAsia="仿宋"/>
          <w:b w:val="0"/>
          <w:bCs w:val="0"/>
        </w:rPr>
        <w:t>入决算表</w:t>
      </w:r>
      <w:bookmarkEnd w:id="78"/>
      <w:bookmarkEnd w:id="79"/>
    </w:p>
    <w:p>
      <w:pPr>
        <w:pStyle w:val="3"/>
        <w:rPr>
          <w:rFonts w:ascii="仿宋" w:hAnsi="仿宋" w:eastAsia="仿宋"/>
          <w:color w:val="000000"/>
        </w:rPr>
      </w:pPr>
      <w:bookmarkStart w:id="80" w:name="_Toc26561"/>
      <w:bookmarkStart w:id="81"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80"/>
      <w:bookmarkEnd w:id="81"/>
    </w:p>
    <w:p>
      <w:pPr>
        <w:pStyle w:val="3"/>
        <w:rPr>
          <w:rFonts w:ascii="仿宋" w:hAnsi="仿宋" w:eastAsia="仿宋"/>
          <w:b w:val="0"/>
          <w:color w:val="000000"/>
        </w:rPr>
      </w:pPr>
      <w:bookmarkStart w:id="82" w:name="_Toc21739"/>
      <w:bookmarkStart w:id="8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82"/>
      <w:bookmarkEnd w:id="83"/>
    </w:p>
    <w:p>
      <w:pPr>
        <w:pStyle w:val="3"/>
        <w:rPr>
          <w:rStyle w:val="26"/>
          <w:rFonts w:ascii="仿宋" w:hAnsi="仿宋" w:eastAsia="仿宋"/>
          <w:b w:val="0"/>
          <w:bCs w:val="0"/>
        </w:rPr>
      </w:pPr>
      <w:bookmarkStart w:id="84" w:name="_Toc15396623"/>
      <w:bookmarkStart w:id="85" w:name="_Toc31185"/>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84"/>
      <w:bookmarkEnd w:id="85"/>
      <w:bookmarkStart w:id="86" w:name="_Toc15396624"/>
    </w:p>
    <w:p>
      <w:pPr>
        <w:pStyle w:val="3"/>
        <w:rPr>
          <w:rFonts w:ascii="仿宋" w:hAnsi="仿宋" w:eastAsia="仿宋"/>
          <w:color w:val="000000"/>
        </w:rPr>
      </w:pPr>
      <w:bookmarkStart w:id="87" w:name="_Toc30692"/>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86"/>
      <w:bookmarkEnd w:id="87"/>
    </w:p>
    <w:p>
      <w:pPr>
        <w:pStyle w:val="3"/>
        <w:rPr>
          <w:rFonts w:ascii="仿宋" w:hAnsi="仿宋" w:eastAsia="仿宋"/>
          <w:color w:val="000000"/>
        </w:rPr>
      </w:pPr>
      <w:bookmarkStart w:id="88" w:name="_Toc15396625"/>
      <w:bookmarkStart w:id="89" w:name="_Toc24972"/>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88"/>
      <w:bookmarkEnd w:id="89"/>
    </w:p>
    <w:p>
      <w:pPr>
        <w:pStyle w:val="3"/>
        <w:rPr>
          <w:rFonts w:ascii="仿宋" w:hAnsi="仿宋" w:eastAsia="仿宋"/>
          <w:color w:val="000000"/>
        </w:rPr>
      </w:pPr>
      <w:bookmarkStart w:id="90" w:name="_Toc15396626"/>
      <w:bookmarkStart w:id="91" w:name="_Toc14941"/>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90"/>
      <w:bookmarkEnd w:id="91"/>
    </w:p>
    <w:p>
      <w:pPr>
        <w:pStyle w:val="3"/>
        <w:rPr>
          <w:rFonts w:ascii="仿宋" w:hAnsi="仿宋" w:eastAsia="仿宋"/>
          <w:color w:val="000000"/>
        </w:rPr>
      </w:pPr>
      <w:bookmarkStart w:id="92" w:name="_Toc27193"/>
      <w:bookmarkStart w:id="93"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92"/>
      <w:bookmarkEnd w:id="93"/>
    </w:p>
    <w:p>
      <w:pPr>
        <w:pStyle w:val="3"/>
        <w:rPr>
          <w:rFonts w:ascii="仿宋" w:hAnsi="仿宋" w:eastAsia="仿宋"/>
          <w:color w:val="000000"/>
        </w:rPr>
      </w:pPr>
      <w:bookmarkStart w:id="94" w:name="_Toc30890"/>
      <w:bookmarkStart w:id="95"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94"/>
      <w:bookmarkEnd w:id="95"/>
    </w:p>
    <w:p>
      <w:pPr>
        <w:pStyle w:val="3"/>
        <w:rPr>
          <w:rFonts w:ascii="仿宋" w:hAnsi="仿宋" w:eastAsia="仿宋"/>
          <w:color w:val="000000"/>
        </w:rPr>
      </w:pPr>
      <w:bookmarkStart w:id="96" w:name="_Toc15396629"/>
      <w:bookmarkStart w:id="97" w:name="_Toc19577"/>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96"/>
      <w:bookmarkEnd w:id="97"/>
    </w:p>
    <w:p>
      <w:pPr>
        <w:pStyle w:val="3"/>
        <w:rPr>
          <w:rFonts w:ascii="仿宋" w:hAnsi="仿宋" w:eastAsia="仿宋"/>
          <w:color w:val="000000"/>
        </w:rPr>
      </w:pPr>
      <w:bookmarkStart w:id="98" w:name="_Toc15396630"/>
      <w:bookmarkStart w:id="99" w:name="_Toc207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98"/>
      <w:bookmarkEnd w:id="99"/>
    </w:p>
    <w:p>
      <w:pPr>
        <w:pStyle w:val="3"/>
        <w:rPr>
          <w:rFonts w:ascii="仿宋" w:hAnsi="仿宋" w:eastAsia="仿宋"/>
          <w:color w:val="000000" w:themeColor="text1"/>
          <w14:textFill>
            <w14:solidFill>
              <w14:schemeClr w14:val="tx1"/>
            </w14:solidFill>
          </w14:textFill>
        </w:rPr>
      </w:pPr>
      <w:bookmarkStart w:id="100" w:name="_Toc15396631"/>
      <w:bookmarkStart w:id="101" w:name="_Toc21203"/>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00"/>
      <w:bookmarkEnd w:id="10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552D6A"/>
    <w:rsid w:val="0B765316"/>
    <w:rsid w:val="0E761B8F"/>
    <w:rsid w:val="10C055FF"/>
    <w:rsid w:val="16BB723D"/>
    <w:rsid w:val="1CB91D11"/>
    <w:rsid w:val="1D415B36"/>
    <w:rsid w:val="1D4D4B87"/>
    <w:rsid w:val="1FD66C2A"/>
    <w:rsid w:val="21265AC6"/>
    <w:rsid w:val="240371BF"/>
    <w:rsid w:val="256D3261"/>
    <w:rsid w:val="27BE13AB"/>
    <w:rsid w:val="29FD04D3"/>
    <w:rsid w:val="2DB961C9"/>
    <w:rsid w:val="319F7F4E"/>
    <w:rsid w:val="361D469C"/>
    <w:rsid w:val="417E31B7"/>
    <w:rsid w:val="45624A63"/>
    <w:rsid w:val="470A6475"/>
    <w:rsid w:val="4ECE2238"/>
    <w:rsid w:val="52554F37"/>
    <w:rsid w:val="52DF4A8E"/>
    <w:rsid w:val="53DC2EF0"/>
    <w:rsid w:val="5A2B4B8A"/>
    <w:rsid w:val="5B8449FA"/>
    <w:rsid w:val="5BB26F54"/>
    <w:rsid w:val="5C880ABF"/>
    <w:rsid w:val="5D906446"/>
    <w:rsid w:val="5E424804"/>
    <w:rsid w:val="5F3D5000"/>
    <w:rsid w:val="6E7A1CF7"/>
    <w:rsid w:val="70A24BE3"/>
    <w:rsid w:val="71CD3374"/>
    <w:rsid w:val="72734D90"/>
    <w:rsid w:val="759B287B"/>
    <w:rsid w:val="7B7979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正文 New New New New"/>
    <w:qFormat/>
    <w:uiPriority w:val="0"/>
    <w:pPr>
      <w:widowControl w:val="0"/>
      <w:jc w:val="both"/>
    </w:pPr>
    <w:rPr>
      <w:rFonts w:ascii="Times New Roman" w:hAnsi="Times New Roman" w:eastAsia="宋体" w:cstheme="minorBidi"/>
      <w:kern w:val="2"/>
      <w:sz w:val="21"/>
      <w:lang w:val="en-US" w:eastAsia="zh-CN"/>
    </w:rPr>
  </w:style>
  <w:style w:type="character" w:customStyle="1" w:styleId="32">
    <w:name w:val="要点 New"/>
    <w:qFormat/>
    <w:uiPriority w:val="0"/>
    <w:rPr>
      <w:b/>
      <w:bCs/>
    </w:rPr>
  </w:style>
  <w:style w:type="character" w:customStyle="1" w:styleId="33">
    <w:name w:val="要点 New New"/>
    <w:qFormat/>
    <w:uiPriority w:val="0"/>
    <w:rPr>
      <w:b/>
      <w:bCs/>
    </w:rPr>
  </w:style>
  <w:style w:type="character" w:customStyle="1" w:styleId="34">
    <w:name w:val="要点 New New New"/>
    <w:qFormat/>
    <w:uiPriority w:val="0"/>
    <w:rPr>
      <w:b/>
      <w:bCs/>
    </w:rPr>
  </w:style>
  <w:style w:type="character" w:customStyle="1" w:styleId="35">
    <w:name w:val="要点 New New New New"/>
    <w:qFormat/>
    <w:uiPriority w:val="0"/>
    <w:rPr>
      <w:b/>
      <w:bCs/>
    </w:rPr>
  </w:style>
  <w:style w:type="character" w:customStyle="1" w:styleId="36">
    <w:name w:val="要点 New New New New New"/>
    <w:qFormat/>
    <w:uiPriority w:val="0"/>
    <w:rPr>
      <w:b/>
      <w:bCs/>
    </w:rPr>
  </w:style>
  <w:style w:type="character" w:customStyle="1" w:styleId="37">
    <w:name w:val="要点 New New New New New New"/>
    <w:qFormat/>
    <w:uiPriority w:val="0"/>
    <w:rPr>
      <w:b/>
      <w:bCs/>
    </w:rPr>
  </w:style>
  <w:style w:type="character" w:customStyle="1" w:styleId="38">
    <w:name w:val="要点 New New New New New New New"/>
    <w:qFormat/>
    <w:uiPriority w:val="0"/>
    <w:rPr>
      <w:b/>
      <w:bCs/>
    </w:rPr>
  </w:style>
  <w:style w:type="paragraph" w:customStyle="1" w:styleId="39">
    <w:name w:val="Default New"/>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40">
    <w:name w:val="正文 New New New New New New New New New New New New New New New New New New New New New New New New"/>
    <w:qFormat/>
    <w:uiPriority w:val="0"/>
    <w:pPr>
      <w:widowControl w:val="0"/>
      <w:jc w:val="both"/>
    </w:pPr>
    <w:rPr>
      <w:rFonts w:ascii="Times New Roman" w:hAnsi="Times New Roman" w:eastAsia="仿宋_GB2312" w:cstheme="minorBidi"/>
      <w:kern w:val="2"/>
      <w:sz w:val="32"/>
      <w:szCs w:val="32"/>
      <w:lang w:val="en-US" w:eastAsia="zh-CN" w:bidi="ar-SA"/>
    </w:rPr>
  </w:style>
  <w:style w:type="paragraph" w:customStyle="1" w:styleId="41">
    <w:name w:val="正文 New"/>
    <w:qFormat/>
    <w:uiPriority w:val="0"/>
    <w:pPr>
      <w:widowControl w:val="0"/>
      <w:jc w:val="both"/>
    </w:pPr>
    <w:rPr>
      <w:rFonts w:ascii="Times New Roman" w:hAnsi="Times New Roman" w:eastAsia="仿宋_GB2312" w:cstheme="minorBidi"/>
      <w:kern w:val="2"/>
      <w:sz w:val="32"/>
      <w:szCs w:val="32"/>
      <w:lang w:val="en-US" w:eastAsia="zh-CN" w:bidi="ar-SA"/>
    </w:rPr>
  </w:style>
  <w:style w:type="character" w:customStyle="1" w:styleId="42">
    <w:name w:val="font21"/>
    <w:basedOn w:val="13"/>
    <w:qFormat/>
    <w:uiPriority w:val="0"/>
    <w:rPr>
      <w:rFonts w:hint="eastAsia" w:ascii="宋体" w:hAnsi="宋体" w:eastAsia="宋体" w:cs="宋体"/>
      <w:color w:val="000000"/>
      <w:sz w:val="24"/>
      <w:szCs w:val="24"/>
      <w:u w:val="none"/>
    </w:rPr>
  </w:style>
  <w:style w:type="paragraph" w:customStyle="1" w:styleId="43">
    <w:name w:val="WPSOffice手动目录 1"/>
    <w:qFormat/>
    <w:uiPriority w:val="0"/>
    <w:pPr>
      <w:ind w:leftChars="0"/>
    </w:pPr>
    <w:rPr>
      <w:rFonts w:ascii="Times New Roman" w:hAnsi="Times New Roman" w:eastAsia="宋体" w:cs="Times New Roman"/>
      <w:sz w:val="20"/>
      <w:szCs w:val="20"/>
    </w:rPr>
  </w:style>
  <w:style w:type="paragraph" w:customStyle="1" w:styleId="4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DF1D2-61EF-4619-A9B5-A2315068514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7727</Words>
  <Characters>1968</Characters>
  <Lines>16</Lines>
  <Paragraphs>19</Paragraphs>
  <TotalTime>0</TotalTime>
  <ScaleCrop>false</ScaleCrop>
  <LinksUpToDate>false</LinksUpToDate>
  <CharactersWithSpaces>9676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维拉女侠</cp:lastModifiedBy>
  <cp:lastPrinted>2020-08-20T08:15:00Z</cp:lastPrinted>
  <dcterms:modified xsi:type="dcterms:W3CDTF">2020-09-02T04:47:59Z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