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hint="default" w:ascii="方正小标宋简体" w:hAnsi="宋体" w:eastAsia="方正小标宋简体"/>
          <w:color w:val="auto"/>
          <w:sz w:val="30"/>
          <w:szCs w:val="30"/>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9"/>
        <w:rPr>
          <w:rFonts w:ascii="方正小标宋简体" w:hAnsi="宋体" w:eastAsia="方正小标宋简体"/>
          <w:color w:val="auto"/>
          <w:sz w:val="72"/>
          <w:szCs w:val="72"/>
          <w:highlight w:val="none"/>
        </w:rPr>
      </w:pPr>
      <w:bookmarkStart w:id="1" w:name="_Toc15377425"/>
      <w:bookmarkStart w:id="2" w:name="_Toc15378441"/>
      <w:bookmarkStart w:id="3" w:name="_Toc15377193"/>
      <w:bookmarkStart w:id="4" w:name="_Toc9164"/>
      <w:bookmarkStart w:id="5" w:name="_Toc15396597"/>
      <w:bookmarkStart w:id="6" w:name="_Toc15396475"/>
      <w:r>
        <w:rPr>
          <w:rFonts w:ascii="黑体" w:hAnsi="黑体" w:eastAsia="黑体"/>
          <w:color w:val="auto"/>
          <w:sz w:val="72"/>
          <w:szCs w:val="72"/>
          <w:highlight w:val="none"/>
        </w:rPr>
        <w:t>20</w:t>
      </w:r>
      <w:r>
        <w:rPr>
          <w:rFonts w:hint="eastAsia" w:ascii="黑体" w:hAnsi="黑体" w:eastAsia="黑体"/>
          <w:color w:val="auto"/>
          <w:sz w:val="72"/>
          <w:szCs w:val="72"/>
          <w:highlight w:val="none"/>
          <w:lang w:val="en-US" w:eastAsia="zh-CN"/>
        </w:rPr>
        <w:t>20</w:t>
      </w:r>
      <w:r>
        <w:rPr>
          <w:rFonts w:hint="eastAsia" w:ascii="方正小标宋简体" w:hAnsi="宋体" w:eastAsia="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9"/>
        <w:rPr>
          <w:rFonts w:ascii="方正小标宋简体" w:hAnsi="宋体" w:eastAsia="方正小标宋简体"/>
          <w:color w:val="auto"/>
          <w:sz w:val="72"/>
          <w:szCs w:val="72"/>
          <w:highlight w:val="none"/>
        </w:rPr>
      </w:pPr>
      <w:bookmarkStart w:id="7" w:name="_Toc15396598"/>
      <w:bookmarkStart w:id="8" w:name="_Toc28307"/>
      <w:bookmarkStart w:id="9" w:name="_Toc15377426"/>
      <w:bookmarkStart w:id="10" w:name="_Toc15396476"/>
      <w:bookmarkStart w:id="11" w:name="_Toc15378442"/>
      <w:bookmarkStart w:id="12" w:name="_Toc15377194"/>
      <w:r>
        <w:rPr>
          <w:rFonts w:hint="eastAsia" w:ascii="方正小标宋简体" w:hAnsi="宋体" w:eastAsia="方正小标宋简体"/>
          <w:color w:val="auto"/>
          <w:sz w:val="72"/>
          <w:szCs w:val="72"/>
          <w:highlight w:val="none"/>
        </w:rPr>
        <w:t>四川省</w:t>
      </w:r>
      <w:bookmarkEnd w:id="0"/>
      <w:bookmarkStart w:id="13" w:name="_Toc15306268"/>
      <w:r>
        <w:rPr>
          <w:rFonts w:hint="eastAsia" w:ascii="方正小标宋简体" w:hAnsi="宋体" w:eastAsia="方正小标宋简体"/>
          <w:color w:val="auto"/>
          <w:sz w:val="72"/>
          <w:szCs w:val="72"/>
          <w:highlight w:val="none"/>
          <w:lang w:eastAsia="zh-CN"/>
        </w:rPr>
        <w:t>商务厅</w:t>
      </w:r>
      <w:r>
        <w:rPr>
          <w:rFonts w:hint="eastAsia" w:ascii="方正小标宋简体" w:hAnsi="宋体" w:eastAsia="方正小标宋简体"/>
          <w:color w:val="auto"/>
          <w:sz w:val="72"/>
          <w:szCs w:val="72"/>
          <w:highlight w:val="none"/>
        </w:rPr>
        <w:t>部门决算</w:t>
      </w:r>
      <w:bookmarkEnd w:id="7"/>
      <w:bookmarkEnd w:id="8"/>
      <w:bookmarkEnd w:id="9"/>
      <w:bookmarkEnd w:id="10"/>
      <w:bookmarkEnd w:id="11"/>
      <w:bookmarkEnd w:id="12"/>
      <w:bookmarkEnd w:id="13"/>
    </w:p>
    <w:p>
      <w:pPr>
        <w:widowControl/>
        <w:jc w:val="center"/>
        <w:rPr>
          <w:rFonts w:ascii="方正小标宋简体" w:hAnsi="宋体" w:eastAsia="方正小标宋简体"/>
          <w:color w:val="auto"/>
          <w:sz w:val="36"/>
          <w:szCs w:val="36"/>
          <w:highlight w:val="none"/>
        </w:rPr>
      </w:pPr>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21</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30</w:t>
      </w:r>
      <w:r>
        <w:rPr>
          <w:rFonts w:hint="eastAsia"/>
          <w:color w:val="auto"/>
          <w:highlight w:val="none"/>
        </w:rPr>
        <w:t>日</w:t>
      </w:r>
    </w:p>
    <w:sdt>
      <w:sdtPr>
        <w:rPr>
          <w:rFonts w:ascii="宋体" w:hAnsi="宋体" w:eastAsia="宋体" w:cs="Times New Roman"/>
          <w:kern w:val="2"/>
          <w:sz w:val="21"/>
          <w:szCs w:val="24"/>
          <w:lang w:val="en-US" w:eastAsia="zh-CN" w:bidi="ar-SA"/>
        </w:rPr>
        <w:id w:val="147467073"/>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10"/>
            <w:tabs>
              <w:tab w:val="right" w:leader="dot" w:pos="8306"/>
              <w:tab w:val="clear" w:pos="8296"/>
            </w:tabs>
          </w:pPr>
          <w:r>
            <w:fldChar w:fldCharType="begin"/>
          </w:r>
          <w:r>
            <w:instrText xml:space="preserve">TOC \o "1-2" \h \u </w:instrText>
          </w:r>
          <w:r>
            <w:fldChar w:fldCharType="separate"/>
          </w:r>
          <w:r>
            <w:fldChar w:fldCharType="begin"/>
          </w:r>
          <w:r>
            <w:instrText xml:space="preserve"> HYPERLINK \l _Toc1389 </w:instrText>
          </w:r>
          <w:r>
            <w:fldChar w:fldCharType="separate"/>
          </w:r>
          <w:r>
            <w:rPr>
              <w:rFonts w:hint="eastAsia" w:ascii="黑体" w:hAnsi="黑体" w:eastAsia="黑体"/>
              <w:highlight w:val="none"/>
            </w:rPr>
            <w:t xml:space="preserve">第一部分 </w:t>
          </w:r>
          <w:r>
            <w:rPr>
              <w:rFonts w:hint="eastAsia" w:ascii="黑体" w:hAnsi="黑体" w:eastAsia="黑体"/>
              <w:bCs w:val="0"/>
              <w:highlight w:val="none"/>
            </w:rPr>
            <w:t>部门概况</w:t>
          </w:r>
          <w:r>
            <w:tab/>
          </w:r>
          <w:r>
            <w:fldChar w:fldCharType="begin"/>
          </w:r>
          <w:r>
            <w:instrText xml:space="preserve"> PAGEREF _Toc1389 </w:instrText>
          </w:r>
          <w:r>
            <w:fldChar w:fldCharType="separate"/>
          </w:r>
          <w:r>
            <w:t>1</w:t>
          </w:r>
          <w:r>
            <w:fldChar w:fldCharType="end"/>
          </w:r>
          <w:r>
            <w:fldChar w:fldCharType="end"/>
          </w:r>
        </w:p>
        <w:p>
          <w:pPr>
            <w:pStyle w:val="11"/>
            <w:tabs>
              <w:tab w:val="right" w:leader="dot" w:pos="8306"/>
              <w:tab w:val="clear" w:pos="8296"/>
            </w:tabs>
          </w:pPr>
          <w:r>
            <w:fldChar w:fldCharType="begin"/>
          </w:r>
          <w:r>
            <w:instrText xml:space="preserve"> HYPERLINK \l _Toc23543 </w:instrText>
          </w:r>
          <w:r>
            <w:fldChar w:fldCharType="separate"/>
          </w:r>
          <w:r>
            <w:rPr>
              <w:rFonts w:hint="eastAsia" w:ascii="黑体" w:hAnsi="黑体" w:eastAsia="黑体"/>
              <w:highlight w:val="none"/>
            </w:rPr>
            <w:t>一、基</w:t>
          </w:r>
          <w:r>
            <w:rPr>
              <w:rFonts w:hint="eastAsia" w:ascii="黑体" w:hAnsi="黑体" w:eastAsia="黑体"/>
              <w:bCs w:val="0"/>
              <w:highlight w:val="none"/>
            </w:rPr>
            <w:t>本职能及主要工作</w:t>
          </w:r>
          <w:r>
            <w:tab/>
          </w:r>
          <w:r>
            <w:fldChar w:fldCharType="begin"/>
          </w:r>
          <w:r>
            <w:instrText xml:space="preserve"> PAGEREF _Toc23543 </w:instrText>
          </w:r>
          <w:r>
            <w:fldChar w:fldCharType="separate"/>
          </w:r>
          <w:r>
            <w:t>1</w:t>
          </w:r>
          <w:r>
            <w:fldChar w:fldCharType="end"/>
          </w:r>
          <w:r>
            <w:fldChar w:fldCharType="end"/>
          </w:r>
        </w:p>
        <w:p>
          <w:pPr>
            <w:pStyle w:val="11"/>
            <w:tabs>
              <w:tab w:val="right" w:leader="dot" w:pos="8306"/>
              <w:tab w:val="clear" w:pos="8296"/>
            </w:tabs>
          </w:pPr>
          <w:r>
            <w:fldChar w:fldCharType="begin"/>
          </w:r>
          <w:r>
            <w:instrText xml:space="preserve"> HYPERLINK \l _Toc32613 </w:instrText>
          </w:r>
          <w:r>
            <w:fldChar w:fldCharType="separate"/>
          </w:r>
          <w:r>
            <w:rPr>
              <w:rFonts w:hint="eastAsia" w:ascii="黑体" w:eastAsia="黑体"/>
              <w:highlight w:val="none"/>
            </w:rPr>
            <w:t>二、</w:t>
          </w:r>
          <w:r>
            <w:rPr>
              <w:rFonts w:hint="eastAsia" w:ascii="黑体" w:hAnsi="黑体" w:eastAsia="黑体"/>
              <w:highlight w:val="none"/>
            </w:rPr>
            <w:t>机</w:t>
          </w:r>
          <w:r>
            <w:rPr>
              <w:rFonts w:hint="eastAsia" w:ascii="黑体" w:hAnsi="黑体" w:eastAsia="黑体"/>
              <w:bCs w:val="0"/>
              <w:highlight w:val="none"/>
            </w:rPr>
            <w:t>构设置</w:t>
          </w:r>
          <w:r>
            <w:tab/>
          </w:r>
          <w:r>
            <w:fldChar w:fldCharType="begin"/>
          </w:r>
          <w:r>
            <w:instrText xml:space="preserve"> PAGEREF _Toc32613 </w:instrText>
          </w:r>
          <w:r>
            <w:fldChar w:fldCharType="separate"/>
          </w:r>
          <w:r>
            <w:t>7</w:t>
          </w:r>
          <w:r>
            <w:fldChar w:fldCharType="end"/>
          </w:r>
          <w:r>
            <w:fldChar w:fldCharType="end"/>
          </w:r>
        </w:p>
        <w:p>
          <w:pPr>
            <w:pStyle w:val="10"/>
            <w:tabs>
              <w:tab w:val="right" w:leader="dot" w:pos="8306"/>
              <w:tab w:val="clear" w:pos="8296"/>
            </w:tabs>
          </w:pPr>
          <w:r>
            <w:fldChar w:fldCharType="begin"/>
          </w:r>
          <w:r>
            <w:instrText xml:space="preserve"> HYPERLINK \l _Toc9767 </w:instrText>
          </w:r>
          <w:r>
            <w:fldChar w:fldCharType="separate"/>
          </w:r>
          <w:r>
            <w:rPr>
              <w:rFonts w:hint="eastAsia" w:ascii="黑体" w:hAnsi="黑体" w:eastAsia="黑体"/>
              <w:bCs/>
              <w:highlight w:val="none"/>
            </w:rPr>
            <w:t xml:space="preserve">第二部分 </w:t>
          </w:r>
          <w:r>
            <w:rPr>
              <w:rFonts w:hint="eastAsia" w:ascii="黑体" w:hAnsi="黑体" w:eastAsia="黑体"/>
              <w:bCs/>
              <w:highlight w:val="none"/>
              <w:lang w:val="en-US" w:eastAsia="zh-CN"/>
            </w:rPr>
            <w:t>2020年度</w:t>
          </w:r>
          <w:r>
            <w:rPr>
              <w:rFonts w:hint="eastAsia" w:ascii="黑体" w:hAnsi="黑体" w:eastAsia="黑体"/>
              <w:bCs/>
              <w:highlight w:val="none"/>
            </w:rPr>
            <w:t>部门决算情况说明</w:t>
          </w:r>
          <w:r>
            <w:tab/>
          </w:r>
          <w:r>
            <w:fldChar w:fldCharType="begin"/>
          </w:r>
          <w:r>
            <w:instrText xml:space="preserve"> PAGEREF _Toc9767 </w:instrText>
          </w:r>
          <w:r>
            <w:fldChar w:fldCharType="separate"/>
          </w:r>
          <w:r>
            <w:t>9</w:t>
          </w:r>
          <w:r>
            <w:fldChar w:fldCharType="end"/>
          </w:r>
          <w:r>
            <w:fldChar w:fldCharType="end"/>
          </w:r>
        </w:p>
        <w:p>
          <w:pPr>
            <w:pStyle w:val="11"/>
            <w:tabs>
              <w:tab w:val="right" w:leader="dot" w:pos="8306"/>
              <w:tab w:val="clear" w:pos="8296"/>
            </w:tabs>
          </w:pPr>
          <w:r>
            <w:fldChar w:fldCharType="begin"/>
          </w:r>
          <w:r>
            <w:instrText xml:space="preserve"> HYPERLINK \l _Toc11308 </w:instrText>
          </w:r>
          <w:r>
            <w:fldChar w:fldCharType="separate"/>
          </w:r>
          <w:r>
            <w:rPr>
              <w:rFonts w:hint="default" w:ascii="黑体" w:hAnsi="黑体" w:eastAsia="黑体"/>
            </w:rPr>
            <w:t>一、</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_Toc11308 </w:instrText>
          </w:r>
          <w:r>
            <w:fldChar w:fldCharType="separate"/>
          </w:r>
          <w:r>
            <w:t>9</w:t>
          </w:r>
          <w:r>
            <w:fldChar w:fldCharType="end"/>
          </w:r>
          <w:r>
            <w:fldChar w:fldCharType="end"/>
          </w:r>
        </w:p>
        <w:p>
          <w:pPr>
            <w:pStyle w:val="11"/>
            <w:tabs>
              <w:tab w:val="right" w:leader="dot" w:pos="8306"/>
              <w:tab w:val="clear" w:pos="8296"/>
            </w:tabs>
          </w:pPr>
          <w:r>
            <w:fldChar w:fldCharType="begin"/>
          </w:r>
          <w:r>
            <w:instrText xml:space="preserve"> HYPERLINK \l _Toc25327 </w:instrText>
          </w:r>
          <w:r>
            <w:fldChar w:fldCharType="separate"/>
          </w:r>
          <w:r>
            <w:rPr>
              <w:rFonts w:hint="default" w:ascii="黑体" w:hAnsi="黑体" w:eastAsia="黑体"/>
            </w:rPr>
            <w:t>二、</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_Toc25327 </w:instrText>
          </w:r>
          <w:r>
            <w:fldChar w:fldCharType="separate"/>
          </w:r>
          <w:r>
            <w:t>9</w:t>
          </w:r>
          <w:r>
            <w:fldChar w:fldCharType="end"/>
          </w:r>
          <w:r>
            <w:fldChar w:fldCharType="end"/>
          </w:r>
        </w:p>
        <w:p>
          <w:pPr>
            <w:pStyle w:val="11"/>
            <w:tabs>
              <w:tab w:val="right" w:leader="dot" w:pos="8306"/>
              <w:tab w:val="clear" w:pos="8296"/>
            </w:tabs>
          </w:pPr>
          <w:r>
            <w:fldChar w:fldCharType="begin"/>
          </w:r>
          <w:r>
            <w:instrText xml:space="preserve"> HYPERLINK \l _Toc32033 </w:instrText>
          </w:r>
          <w:r>
            <w:fldChar w:fldCharType="separate"/>
          </w:r>
          <w:r>
            <w:rPr>
              <w:rFonts w:hint="default" w:ascii="黑体" w:hAnsi="黑体" w:eastAsia="黑体"/>
            </w:rPr>
            <w:t>三、</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_Toc32033 </w:instrText>
          </w:r>
          <w:r>
            <w:fldChar w:fldCharType="separate"/>
          </w:r>
          <w:r>
            <w:t>10</w:t>
          </w:r>
          <w:r>
            <w:fldChar w:fldCharType="end"/>
          </w:r>
          <w:r>
            <w:fldChar w:fldCharType="end"/>
          </w:r>
        </w:p>
        <w:p>
          <w:pPr>
            <w:pStyle w:val="11"/>
            <w:tabs>
              <w:tab w:val="right" w:leader="dot" w:pos="8306"/>
              <w:tab w:val="clear" w:pos="8296"/>
            </w:tabs>
          </w:pPr>
          <w:r>
            <w:fldChar w:fldCharType="begin"/>
          </w:r>
          <w:r>
            <w:instrText xml:space="preserve"> HYPERLINK \l _Toc26698 </w:instrText>
          </w:r>
          <w: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_Toc26698 </w:instrText>
          </w:r>
          <w:r>
            <w:fldChar w:fldCharType="separate"/>
          </w:r>
          <w:r>
            <w:t>10</w:t>
          </w:r>
          <w:r>
            <w:fldChar w:fldCharType="end"/>
          </w:r>
          <w:r>
            <w:fldChar w:fldCharType="end"/>
          </w:r>
        </w:p>
        <w:p>
          <w:pPr>
            <w:pStyle w:val="11"/>
            <w:tabs>
              <w:tab w:val="right" w:leader="dot" w:pos="8306"/>
              <w:tab w:val="clear" w:pos="8296"/>
            </w:tabs>
          </w:pPr>
          <w:r>
            <w:fldChar w:fldCharType="begin"/>
          </w:r>
          <w:r>
            <w:instrText xml:space="preserve"> HYPERLINK \l _Toc23045 </w:instrText>
          </w:r>
          <w: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_Toc23045 </w:instrText>
          </w:r>
          <w:r>
            <w:fldChar w:fldCharType="separate"/>
          </w:r>
          <w:r>
            <w:t>11</w:t>
          </w:r>
          <w:r>
            <w:fldChar w:fldCharType="end"/>
          </w:r>
          <w:r>
            <w:fldChar w:fldCharType="end"/>
          </w:r>
        </w:p>
        <w:p>
          <w:pPr>
            <w:pStyle w:val="11"/>
            <w:tabs>
              <w:tab w:val="right" w:leader="dot" w:pos="8306"/>
              <w:tab w:val="clear" w:pos="8296"/>
            </w:tabs>
          </w:pPr>
          <w:r>
            <w:fldChar w:fldCharType="begin"/>
          </w:r>
          <w:r>
            <w:instrText xml:space="preserve"> HYPERLINK \l _Toc2525 </w:instrText>
          </w:r>
          <w: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_Toc2525 </w:instrText>
          </w:r>
          <w:r>
            <w:fldChar w:fldCharType="separate"/>
          </w:r>
          <w:r>
            <w:t>17</w:t>
          </w:r>
          <w:r>
            <w:fldChar w:fldCharType="end"/>
          </w:r>
          <w:r>
            <w:fldChar w:fldCharType="end"/>
          </w:r>
        </w:p>
        <w:p>
          <w:pPr>
            <w:pStyle w:val="11"/>
            <w:tabs>
              <w:tab w:val="right" w:leader="dot" w:pos="8306"/>
              <w:tab w:val="clear" w:pos="8296"/>
            </w:tabs>
          </w:pPr>
          <w:r>
            <w:fldChar w:fldCharType="begin"/>
          </w:r>
          <w:r>
            <w:instrText xml:space="preserve"> HYPERLINK \l _Toc20269 </w:instrText>
          </w:r>
          <w:r>
            <w:fldChar w:fldCharType="separate"/>
          </w:r>
          <w:r>
            <w:rPr>
              <w:rFonts w:hint="eastAsia" w:ascii="黑体" w:eastAsia="黑体"/>
              <w:szCs w:val="32"/>
              <w:highlight w:val="none"/>
            </w:rPr>
            <w:t>七、</w:t>
          </w:r>
          <w:r>
            <w:rPr>
              <w:rFonts w:hint="eastAsia" w:ascii="黑体" w:hAnsi="黑体" w:eastAsia="黑体"/>
              <w:highlight w:val="none"/>
            </w:rPr>
            <w:t>“三公”经费财政拨款支出决算情况说明</w:t>
          </w:r>
          <w:r>
            <w:tab/>
          </w:r>
          <w:r>
            <w:fldChar w:fldCharType="begin"/>
          </w:r>
          <w:r>
            <w:instrText xml:space="preserve"> PAGEREF _Toc20269 </w:instrText>
          </w:r>
          <w:r>
            <w:fldChar w:fldCharType="separate"/>
          </w:r>
          <w:r>
            <w:t>17</w:t>
          </w:r>
          <w:r>
            <w:fldChar w:fldCharType="end"/>
          </w:r>
          <w:r>
            <w:fldChar w:fldCharType="end"/>
          </w:r>
        </w:p>
        <w:p>
          <w:pPr>
            <w:pStyle w:val="11"/>
            <w:tabs>
              <w:tab w:val="right" w:leader="dot" w:pos="8306"/>
              <w:tab w:val="clear" w:pos="8296"/>
            </w:tabs>
          </w:pPr>
          <w:r>
            <w:fldChar w:fldCharType="begin"/>
          </w:r>
          <w:r>
            <w:instrText xml:space="preserve"> HYPERLINK \l _Toc5351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_Toc5351 </w:instrText>
          </w:r>
          <w:r>
            <w:fldChar w:fldCharType="separate"/>
          </w:r>
          <w:r>
            <w:t>19</w:t>
          </w:r>
          <w:r>
            <w:fldChar w:fldCharType="end"/>
          </w:r>
          <w:r>
            <w:fldChar w:fldCharType="end"/>
          </w:r>
        </w:p>
        <w:p>
          <w:pPr>
            <w:pStyle w:val="11"/>
            <w:tabs>
              <w:tab w:val="right" w:leader="dot" w:pos="8306"/>
              <w:tab w:val="clear" w:pos="8296"/>
            </w:tabs>
          </w:pPr>
          <w:r>
            <w:fldChar w:fldCharType="begin"/>
          </w:r>
          <w:r>
            <w:instrText xml:space="preserve"> HYPERLINK \l _Toc1577 </w:instrText>
          </w:r>
          <w:r>
            <w:fldChar w:fldCharType="separate"/>
          </w:r>
          <w:r>
            <w:rPr>
              <w:rFonts w:hint="eastAsia" w:ascii="黑体" w:hAnsi="黑体" w:eastAsia="黑体"/>
            </w:rPr>
            <w:t>九、</w:t>
          </w:r>
          <w:r>
            <w:rPr>
              <w:rFonts w:hint="eastAsia" w:ascii="黑体" w:hAnsi="黑体" w:eastAsia="黑体"/>
              <w:highlight w:val="none"/>
            </w:rPr>
            <w:t>国有资本经营预算支出决算情况说明</w:t>
          </w:r>
          <w:r>
            <w:tab/>
          </w:r>
          <w:r>
            <w:fldChar w:fldCharType="begin"/>
          </w:r>
          <w:r>
            <w:instrText xml:space="preserve"> PAGEREF _Toc1577 </w:instrText>
          </w:r>
          <w:r>
            <w:fldChar w:fldCharType="separate"/>
          </w:r>
          <w:r>
            <w:t>20</w:t>
          </w:r>
          <w:r>
            <w:fldChar w:fldCharType="end"/>
          </w:r>
          <w:r>
            <w:fldChar w:fldCharType="end"/>
          </w:r>
        </w:p>
        <w:p>
          <w:pPr>
            <w:pStyle w:val="11"/>
            <w:tabs>
              <w:tab w:val="right" w:leader="dot" w:pos="8306"/>
              <w:tab w:val="clear" w:pos="8296"/>
            </w:tabs>
          </w:pPr>
          <w:r>
            <w:fldChar w:fldCharType="begin"/>
          </w:r>
          <w:r>
            <w:instrText xml:space="preserve"> HYPERLINK \l _Toc8383 </w:instrText>
          </w:r>
          <w:r>
            <w:fldChar w:fldCharType="separate"/>
          </w:r>
          <w:r>
            <w:rPr>
              <w:rFonts w:hint="eastAsia" w:ascii="黑体" w:hAnsi="黑体" w:eastAsia="黑体"/>
            </w:rPr>
            <w:t>十、</w:t>
          </w:r>
          <w:r>
            <w:rPr>
              <w:rFonts w:hint="eastAsia" w:ascii="黑体" w:hAnsi="黑体" w:eastAsia="黑体"/>
              <w:highlight w:val="none"/>
            </w:rPr>
            <w:t>其他重要事项的情况说明</w:t>
          </w:r>
          <w:r>
            <w:tab/>
          </w:r>
          <w:r>
            <w:fldChar w:fldCharType="begin"/>
          </w:r>
          <w:r>
            <w:instrText xml:space="preserve"> PAGEREF _Toc8383 </w:instrText>
          </w:r>
          <w:r>
            <w:fldChar w:fldCharType="separate"/>
          </w:r>
          <w:r>
            <w:t>20</w:t>
          </w:r>
          <w:r>
            <w:fldChar w:fldCharType="end"/>
          </w:r>
          <w:r>
            <w:fldChar w:fldCharType="end"/>
          </w:r>
        </w:p>
        <w:p>
          <w:pPr>
            <w:pStyle w:val="10"/>
            <w:tabs>
              <w:tab w:val="right" w:leader="dot" w:pos="8306"/>
              <w:tab w:val="clear" w:pos="8296"/>
            </w:tabs>
          </w:pPr>
          <w:r>
            <w:fldChar w:fldCharType="begin"/>
          </w:r>
          <w:r>
            <w:instrText xml:space="preserve"> HYPERLINK \l _Toc9435 </w:instrText>
          </w:r>
          <w:r>
            <w:fldChar w:fldCharType="separate"/>
          </w:r>
          <w:r>
            <w:rPr>
              <w:rFonts w:hint="eastAsia" w:ascii="黑体" w:hAnsi="黑体" w:eastAsia="黑体"/>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_Toc9435 </w:instrText>
          </w:r>
          <w:r>
            <w:fldChar w:fldCharType="separate"/>
          </w:r>
          <w:r>
            <w:t>35</w:t>
          </w:r>
          <w:r>
            <w:fldChar w:fldCharType="end"/>
          </w:r>
          <w:r>
            <w:fldChar w:fldCharType="end"/>
          </w:r>
        </w:p>
        <w:p>
          <w:pPr>
            <w:pStyle w:val="10"/>
            <w:tabs>
              <w:tab w:val="right" w:leader="dot" w:pos="8306"/>
              <w:tab w:val="clear" w:pos="8296"/>
            </w:tabs>
          </w:pPr>
          <w:r>
            <w:fldChar w:fldCharType="begin"/>
          </w:r>
          <w:r>
            <w:instrText xml:space="preserve"> HYPERLINK \l _Toc27 </w:instrText>
          </w:r>
          <w:r>
            <w:fldChar w:fldCharType="separate"/>
          </w:r>
          <w:r>
            <w:rPr>
              <w:rFonts w:hint="eastAsia" w:ascii="黑体" w:hAnsi="黑体" w:eastAsia="黑体"/>
              <w:szCs w:val="44"/>
              <w:highlight w:val="none"/>
            </w:rPr>
            <w:t>第</w:t>
          </w:r>
          <w:r>
            <w:rPr>
              <w:rFonts w:hint="eastAsia" w:ascii="黑体" w:hAnsi="黑体" w:eastAsia="黑体"/>
              <w:highlight w:val="none"/>
            </w:rPr>
            <w:t>四部分 附件</w:t>
          </w:r>
          <w:r>
            <w:tab/>
          </w:r>
          <w:r>
            <w:fldChar w:fldCharType="begin"/>
          </w:r>
          <w:r>
            <w:instrText xml:space="preserve"> PAGEREF _Toc27 </w:instrText>
          </w:r>
          <w:r>
            <w:fldChar w:fldCharType="separate"/>
          </w:r>
          <w:r>
            <w:t>40</w:t>
          </w:r>
          <w:r>
            <w:fldChar w:fldCharType="end"/>
          </w:r>
          <w:r>
            <w:fldChar w:fldCharType="end"/>
          </w:r>
        </w:p>
        <w:p>
          <w:pPr>
            <w:pStyle w:val="11"/>
            <w:tabs>
              <w:tab w:val="right" w:leader="dot" w:pos="8306"/>
              <w:tab w:val="clear" w:pos="8296"/>
            </w:tabs>
          </w:pPr>
          <w:r>
            <w:fldChar w:fldCharType="begin"/>
          </w:r>
          <w:r>
            <w:instrText xml:space="preserve"> HYPERLINK \l _Toc19987 </w:instrText>
          </w:r>
          <w:r>
            <w:fldChar w:fldCharType="separate"/>
          </w:r>
          <w:r>
            <w:rPr>
              <w:rFonts w:hint="eastAsia" w:ascii="黑体" w:hAnsi="黑体" w:eastAsia="黑体" w:cs="黑体"/>
              <w:szCs w:val="32"/>
              <w:highlight w:val="none"/>
            </w:rPr>
            <w:t>附件1</w:t>
          </w:r>
          <w:r>
            <w:tab/>
          </w:r>
          <w:r>
            <w:fldChar w:fldCharType="begin"/>
          </w:r>
          <w:r>
            <w:instrText xml:space="preserve"> PAGEREF _Toc19987 </w:instrText>
          </w:r>
          <w:r>
            <w:fldChar w:fldCharType="separate"/>
          </w:r>
          <w:r>
            <w:t>40</w:t>
          </w:r>
          <w:r>
            <w:fldChar w:fldCharType="end"/>
          </w:r>
          <w:r>
            <w:fldChar w:fldCharType="end"/>
          </w:r>
        </w:p>
        <w:p>
          <w:pPr>
            <w:pStyle w:val="11"/>
            <w:tabs>
              <w:tab w:val="right" w:leader="dot" w:pos="8306"/>
              <w:tab w:val="clear" w:pos="8296"/>
            </w:tabs>
          </w:pPr>
          <w:r>
            <w:fldChar w:fldCharType="begin"/>
          </w:r>
          <w:r>
            <w:instrText xml:space="preserve"> HYPERLINK \l _Toc16821 </w:instrText>
          </w:r>
          <w:r>
            <w:fldChar w:fldCharType="separate"/>
          </w:r>
          <w:r>
            <w:rPr>
              <w:rFonts w:hint="eastAsia" w:ascii="黑体" w:hAnsi="黑体" w:eastAsia="黑体" w:cs="黑体"/>
              <w:szCs w:val="32"/>
              <w:highlight w:val="none"/>
            </w:rPr>
            <w:t>附件2</w:t>
          </w:r>
          <w:r>
            <w:tab/>
          </w:r>
          <w:r>
            <w:fldChar w:fldCharType="begin"/>
          </w:r>
          <w:r>
            <w:instrText xml:space="preserve"> PAGEREF _Toc16821 </w:instrText>
          </w:r>
          <w:r>
            <w:fldChar w:fldCharType="separate"/>
          </w:r>
          <w:r>
            <w:t>45</w:t>
          </w:r>
          <w:r>
            <w:fldChar w:fldCharType="end"/>
          </w:r>
          <w:r>
            <w:fldChar w:fldCharType="end"/>
          </w:r>
        </w:p>
        <w:p>
          <w:pPr>
            <w:pStyle w:val="11"/>
            <w:tabs>
              <w:tab w:val="right" w:leader="dot" w:pos="8306"/>
              <w:tab w:val="clear" w:pos="8296"/>
            </w:tabs>
          </w:pPr>
          <w:r>
            <w:fldChar w:fldCharType="begin"/>
          </w:r>
          <w:r>
            <w:instrText xml:space="preserve"> HYPERLINK \l _Toc6178 </w:instrText>
          </w:r>
          <w:r>
            <w:fldChar w:fldCharType="separate"/>
          </w:r>
          <w:r>
            <w:rPr>
              <w:rFonts w:hint="eastAsia" w:ascii="黑体" w:hAnsi="黑体" w:eastAsia="黑体" w:cs="黑体"/>
              <w:szCs w:val="32"/>
              <w:highlight w:val="none"/>
            </w:rPr>
            <w:t>附件</w:t>
          </w:r>
          <w:r>
            <w:rPr>
              <w:rFonts w:hint="eastAsia" w:ascii="黑体" w:hAnsi="黑体" w:eastAsia="黑体" w:cs="黑体"/>
              <w:szCs w:val="32"/>
              <w:highlight w:val="none"/>
              <w:lang w:val="en-US" w:eastAsia="zh-CN"/>
            </w:rPr>
            <w:t>3</w:t>
          </w:r>
          <w:r>
            <w:tab/>
          </w:r>
          <w:r>
            <w:fldChar w:fldCharType="begin"/>
          </w:r>
          <w:r>
            <w:instrText xml:space="preserve"> PAGEREF _Toc6178 </w:instrText>
          </w:r>
          <w:r>
            <w:fldChar w:fldCharType="separate"/>
          </w:r>
          <w:r>
            <w:t>59</w:t>
          </w:r>
          <w:r>
            <w:fldChar w:fldCharType="end"/>
          </w:r>
          <w:r>
            <w:fldChar w:fldCharType="end"/>
          </w:r>
        </w:p>
        <w:p>
          <w:pPr>
            <w:pStyle w:val="10"/>
            <w:tabs>
              <w:tab w:val="right" w:leader="dot" w:pos="8306"/>
              <w:tab w:val="clear" w:pos="8296"/>
            </w:tabs>
          </w:pPr>
          <w:r>
            <w:fldChar w:fldCharType="begin"/>
          </w:r>
          <w:r>
            <w:instrText xml:space="preserve"> HYPERLINK \l _Toc25361 </w:instrText>
          </w:r>
          <w:r>
            <w:fldChar w:fldCharType="separate"/>
          </w:r>
          <w:r>
            <w:rPr>
              <w:rFonts w:hint="eastAsia" w:ascii="黑体" w:hAnsi="黑体" w:eastAsia="黑体"/>
              <w:szCs w:val="44"/>
              <w:highlight w:val="none"/>
            </w:rPr>
            <w:t>第</w:t>
          </w:r>
          <w:r>
            <w:rPr>
              <w:rFonts w:hint="eastAsia" w:ascii="黑体" w:hAnsi="黑体" w:eastAsia="黑体"/>
              <w:highlight w:val="none"/>
            </w:rPr>
            <w:t>五部分 附表</w:t>
          </w:r>
          <w:r>
            <w:tab/>
          </w:r>
          <w:r>
            <w:fldChar w:fldCharType="begin"/>
          </w:r>
          <w:r>
            <w:instrText xml:space="preserve"> PAGEREF _Toc25361 </w:instrText>
          </w:r>
          <w:r>
            <w:fldChar w:fldCharType="separate"/>
          </w:r>
          <w:r>
            <w:t>79</w:t>
          </w:r>
          <w:r>
            <w:fldChar w:fldCharType="end"/>
          </w:r>
          <w:r>
            <w:fldChar w:fldCharType="end"/>
          </w:r>
        </w:p>
        <w:p>
          <w:pPr>
            <w:pStyle w:val="11"/>
            <w:tabs>
              <w:tab w:val="right" w:leader="dot" w:pos="8306"/>
              <w:tab w:val="clear" w:pos="8296"/>
            </w:tabs>
            <w:rPr>
              <w:rFonts w:hint="eastAsia" w:ascii="黑体" w:hAnsi="黑体" w:eastAsia="黑体"/>
              <w:highlight w:val="none"/>
            </w:rPr>
          </w:pPr>
          <w:r>
            <w:rPr>
              <w:rFonts w:hint="eastAsia" w:ascii="黑体" w:hAnsi="黑体" w:eastAsia="黑体"/>
              <w:highlight w:val="none"/>
            </w:rPr>
            <w:fldChar w:fldCharType="begin"/>
          </w:r>
          <w:r>
            <w:rPr>
              <w:rFonts w:hint="eastAsia" w:ascii="黑体" w:hAnsi="黑体" w:eastAsia="黑体"/>
              <w:highlight w:val="none"/>
            </w:rPr>
            <w:instrText xml:space="preserve"> HYPERLINK \l _Toc12558 </w:instrText>
          </w:r>
          <w:r>
            <w:rPr>
              <w:rFonts w:hint="eastAsia" w:ascii="黑体" w:hAnsi="黑体" w:eastAsia="黑体"/>
              <w:highlight w:val="none"/>
            </w:rPr>
            <w:fldChar w:fldCharType="separate"/>
          </w:r>
          <w:r>
            <w:rPr>
              <w:rFonts w:hint="eastAsia" w:ascii="黑体" w:hAnsi="黑体" w:eastAsia="黑体"/>
              <w:highlight w:val="none"/>
            </w:rPr>
            <w:t>一、收入支出决算总表</w:t>
          </w:r>
          <w:r>
            <w:rPr>
              <w:rFonts w:hint="eastAsia" w:ascii="黑体" w:hAnsi="黑体" w:eastAsia="黑体"/>
              <w:highlight w:val="none"/>
            </w:rPr>
            <w:tab/>
          </w:r>
          <w:r>
            <w:rPr>
              <w:rFonts w:hint="eastAsia" w:ascii="黑体" w:hAnsi="黑体" w:eastAsia="黑体"/>
              <w:highlight w:val="none"/>
            </w:rPr>
            <w:fldChar w:fldCharType="begin"/>
          </w:r>
          <w:r>
            <w:rPr>
              <w:rFonts w:hint="eastAsia" w:ascii="黑体" w:hAnsi="黑体" w:eastAsia="黑体"/>
              <w:highlight w:val="none"/>
            </w:rPr>
            <w:instrText xml:space="preserve"> PAGEREF _Toc12558 </w:instrText>
          </w:r>
          <w:r>
            <w:rPr>
              <w:rFonts w:hint="eastAsia" w:ascii="黑体" w:hAnsi="黑体" w:eastAsia="黑体"/>
              <w:highlight w:val="none"/>
            </w:rPr>
            <w:fldChar w:fldCharType="separate"/>
          </w:r>
          <w:r>
            <w:rPr>
              <w:rFonts w:hint="eastAsia" w:ascii="黑体" w:hAnsi="黑体" w:eastAsia="黑体"/>
              <w:highlight w:val="none"/>
            </w:rPr>
            <w:t>79</w:t>
          </w:r>
          <w:r>
            <w:rPr>
              <w:rFonts w:hint="eastAsia" w:ascii="黑体" w:hAnsi="黑体" w:eastAsia="黑体"/>
              <w:highlight w:val="none"/>
            </w:rPr>
            <w:fldChar w:fldCharType="end"/>
          </w:r>
          <w:r>
            <w:rPr>
              <w:rFonts w:hint="eastAsia" w:ascii="黑体" w:hAnsi="黑体" w:eastAsia="黑体"/>
              <w:highlight w:val="none"/>
            </w:rPr>
            <w:fldChar w:fldCharType="end"/>
          </w:r>
        </w:p>
        <w:p>
          <w:pPr>
            <w:pStyle w:val="11"/>
            <w:tabs>
              <w:tab w:val="right" w:leader="dot" w:pos="8306"/>
              <w:tab w:val="clear" w:pos="8296"/>
            </w:tabs>
            <w:rPr>
              <w:rFonts w:hint="eastAsia" w:ascii="黑体" w:hAnsi="黑体" w:eastAsia="黑体"/>
              <w:highlight w:val="none"/>
            </w:rPr>
          </w:pPr>
          <w:r>
            <w:rPr>
              <w:rFonts w:hint="eastAsia" w:ascii="黑体" w:hAnsi="黑体" w:eastAsia="黑体"/>
              <w:highlight w:val="none"/>
            </w:rPr>
            <w:fldChar w:fldCharType="begin"/>
          </w:r>
          <w:r>
            <w:rPr>
              <w:rFonts w:hint="eastAsia" w:ascii="黑体" w:hAnsi="黑体" w:eastAsia="黑体"/>
              <w:highlight w:val="none"/>
            </w:rPr>
            <w:instrText xml:space="preserve"> HYPERLINK \l _Toc11885 </w:instrText>
          </w:r>
          <w:r>
            <w:rPr>
              <w:rFonts w:hint="eastAsia" w:ascii="黑体" w:hAnsi="黑体" w:eastAsia="黑体"/>
              <w:highlight w:val="none"/>
            </w:rPr>
            <w:fldChar w:fldCharType="separate"/>
          </w:r>
          <w:r>
            <w:rPr>
              <w:rFonts w:hint="eastAsia" w:ascii="黑体" w:hAnsi="黑体" w:eastAsia="黑体"/>
              <w:highlight w:val="none"/>
            </w:rPr>
            <w:t>二、收入决算表</w:t>
          </w:r>
          <w:r>
            <w:rPr>
              <w:rFonts w:hint="eastAsia" w:ascii="黑体" w:hAnsi="黑体" w:eastAsia="黑体"/>
              <w:highlight w:val="none"/>
            </w:rPr>
            <w:tab/>
          </w:r>
          <w:r>
            <w:rPr>
              <w:rFonts w:hint="eastAsia" w:ascii="黑体" w:hAnsi="黑体" w:eastAsia="黑体"/>
              <w:highlight w:val="none"/>
            </w:rPr>
            <w:fldChar w:fldCharType="begin"/>
          </w:r>
          <w:r>
            <w:rPr>
              <w:rFonts w:hint="eastAsia" w:ascii="黑体" w:hAnsi="黑体" w:eastAsia="黑体"/>
              <w:highlight w:val="none"/>
            </w:rPr>
            <w:instrText xml:space="preserve"> PAGEREF _Toc11885 </w:instrText>
          </w:r>
          <w:r>
            <w:rPr>
              <w:rFonts w:hint="eastAsia" w:ascii="黑体" w:hAnsi="黑体" w:eastAsia="黑体"/>
              <w:highlight w:val="none"/>
            </w:rPr>
            <w:fldChar w:fldCharType="separate"/>
          </w:r>
          <w:r>
            <w:rPr>
              <w:rFonts w:hint="eastAsia" w:ascii="黑体" w:hAnsi="黑体" w:eastAsia="黑体"/>
              <w:highlight w:val="none"/>
            </w:rPr>
            <w:t>79</w:t>
          </w:r>
          <w:r>
            <w:rPr>
              <w:rFonts w:hint="eastAsia" w:ascii="黑体" w:hAnsi="黑体" w:eastAsia="黑体"/>
              <w:highlight w:val="none"/>
            </w:rPr>
            <w:fldChar w:fldCharType="end"/>
          </w:r>
          <w:r>
            <w:rPr>
              <w:rFonts w:hint="eastAsia" w:ascii="黑体" w:hAnsi="黑体" w:eastAsia="黑体"/>
              <w:highlight w:val="none"/>
            </w:rPr>
            <w:fldChar w:fldCharType="end"/>
          </w:r>
        </w:p>
        <w:p>
          <w:pPr>
            <w:pStyle w:val="11"/>
            <w:tabs>
              <w:tab w:val="right" w:leader="dot" w:pos="8306"/>
              <w:tab w:val="clear" w:pos="8296"/>
            </w:tabs>
            <w:rPr>
              <w:rFonts w:hint="eastAsia" w:ascii="黑体" w:hAnsi="黑体" w:eastAsia="黑体"/>
              <w:highlight w:val="none"/>
            </w:rPr>
          </w:pPr>
          <w:r>
            <w:rPr>
              <w:rFonts w:hint="eastAsia" w:ascii="黑体" w:hAnsi="黑体" w:eastAsia="黑体"/>
              <w:highlight w:val="none"/>
            </w:rPr>
            <w:fldChar w:fldCharType="begin"/>
          </w:r>
          <w:r>
            <w:rPr>
              <w:rFonts w:hint="eastAsia" w:ascii="黑体" w:hAnsi="黑体" w:eastAsia="黑体"/>
              <w:highlight w:val="none"/>
            </w:rPr>
            <w:instrText xml:space="preserve"> HYPERLINK \l _Toc25922 </w:instrText>
          </w:r>
          <w:r>
            <w:rPr>
              <w:rFonts w:hint="eastAsia" w:ascii="黑体" w:hAnsi="黑体" w:eastAsia="黑体"/>
              <w:highlight w:val="none"/>
            </w:rPr>
            <w:fldChar w:fldCharType="separate"/>
          </w:r>
          <w:r>
            <w:rPr>
              <w:rFonts w:hint="eastAsia" w:ascii="黑体" w:hAnsi="黑体" w:eastAsia="黑体"/>
              <w:highlight w:val="none"/>
            </w:rPr>
            <w:t>三、支出决算表</w:t>
          </w:r>
          <w:r>
            <w:rPr>
              <w:rFonts w:hint="eastAsia" w:ascii="黑体" w:hAnsi="黑体" w:eastAsia="黑体"/>
              <w:highlight w:val="none"/>
            </w:rPr>
            <w:tab/>
          </w:r>
          <w:r>
            <w:rPr>
              <w:rFonts w:hint="eastAsia" w:ascii="黑体" w:hAnsi="黑体" w:eastAsia="黑体"/>
              <w:highlight w:val="none"/>
            </w:rPr>
            <w:fldChar w:fldCharType="begin"/>
          </w:r>
          <w:r>
            <w:rPr>
              <w:rFonts w:hint="eastAsia" w:ascii="黑体" w:hAnsi="黑体" w:eastAsia="黑体"/>
              <w:highlight w:val="none"/>
            </w:rPr>
            <w:instrText xml:space="preserve"> PAGEREF _Toc25922 </w:instrText>
          </w:r>
          <w:r>
            <w:rPr>
              <w:rFonts w:hint="eastAsia" w:ascii="黑体" w:hAnsi="黑体" w:eastAsia="黑体"/>
              <w:highlight w:val="none"/>
            </w:rPr>
            <w:fldChar w:fldCharType="separate"/>
          </w:r>
          <w:r>
            <w:rPr>
              <w:rFonts w:hint="eastAsia" w:ascii="黑体" w:hAnsi="黑体" w:eastAsia="黑体"/>
              <w:highlight w:val="none"/>
            </w:rPr>
            <w:t>79</w:t>
          </w:r>
          <w:r>
            <w:rPr>
              <w:rFonts w:hint="eastAsia" w:ascii="黑体" w:hAnsi="黑体" w:eastAsia="黑体"/>
              <w:highlight w:val="none"/>
            </w:rPr>
            <w:fldChar w:fldCharType="end"/>
          </w:r>
          <w:r>
            <w:rPr>
              <w:rFonts w:hint="eastAsia" w:ascii="黑体" w:hAnsi="黑体" w:eastAsia="黑体"/>
              <w:highlight w:val="none"/>
            </w:rPr>
            <w:fldChar w:fldCharType="end"/>
          </w:r>
        </w:p>
        <w:p>
          <w:pPr>
            <w:pStyle w:val="11"/>
            <w:tabs>
              <w:tab w:val="right" w:leader="dot" w:pos="8306"/>
              <w:tab w:val="clear" w:pos="8296"/>
            </w:tabs>
            <w:rPr>
              <w:rFonts w:hint="eastAsia" w:ascii="黑体" w:hAnsi="黑体" w:eastAsia="黑体"/>
              <w:highlight w:val="none"/>
            </w:rPr>
          </w:pPr>
          <w:r>
            <w:rPr>
              <w:rFonts w:hint="eastAsia" w:ascii="黑体" w:hAnsi="黑体" w:eastAsia="黑体"/>
              <w:highlight w:val="none"/>
            </w:rPr>
            <w:fldChar w:fldCharType="begin"/>
          </w:r>
          <w:r>
            <w:rPr>
              <w:rFonts w:hint="eastAsia" w:ascii="黑体" w:hAnsi="黑体" w:eastAsia="黑体"/>
              <w:highlight w:val="none"/>
            </w:rPr>
            <w:instrText xml:space="preserve"> HYPERLINK \l _Toc17691 </w:instrText>
          </w:r>
          <w:r>
            <w:rPr>
              <w:rFonts w:hint="eastAsia" w:ascii="黑体" w:hAnsi="黑体" w:eastAsia="黑体"/>
              <w:highlight w:val="none"/>
            </w:rPr>
            <w:fldChar w:fldCharType="separate"/>
          </w:r>
          <w:r>
            <w:rPr>
              <w:rFonts w:hint="eastAsia" w:ascii="黑体" w:hAnsi="黑体" w:eastAsia="黑体"/>
              <w:highlight w:val="none"/>
            </w:rPr>
            <w:t>四、财政拨款收入支出决算总表</w:t>
          </w:r>
          <w:r>
            <w:rPr>
              <w:rFonts w:hint="eastAsia" w:ascii="黑体" w:hAnsi="黑体" w:eastAsia="黑体"/>
              <w:highlight w:val="none"/>
            </w:rPr>
            <w:tab/>
          </w:r>
          <w:r>
            <w:rPr>
              <w:rFonts w:hint="eastAsia" w:ascii="黑体" w:hAnsi="黑体" w:eastAsia="黑体"/>
              <w:highlight w:val="none"/>
            </w:rPr>
            <w:fldChar w:fldCharType="begin"/>
          </w:r>
          <w:r>
            <w:rPr>
              <w:rFonts w:hint="eastAsia" w:ascii="黑体" w:hAnsi="黑体" w:eastAsia="黑体"/>
              <w:highlight w:val="none"/>
            </w:rPr>
            <w:instrText xml:space="preserve"> PAGEREF _Toc17691 </w:instrText>
          </w:r>
          <w:r>
            <w:rPr>
              <w:rFonts w:hint="eastAsia" w:ascii="黑体" w:hAnsi="黑体" w:eastAsia="黑体"/>
              <w:highlight w:val="none"/>
            </w:rPr>
            <w:fldChar w:fldCharType="separate"/>
          </w:r>
          <w:r>
            <w:rPr>
              <w:rFonts w:hint="eastAsia" w:ascii="黑体" w:hAnsi="黑体" w:eastAsia="黑体"/>
              <w:highlight w:val="none"/>
            </w:rPr>
            <w:t>79</w:t>
          </w:r>
          <w:r>
            <w:rPr>
              <w:rFonts w:hint="eastAsia" w:ascii="黑体" w:hAnsi="黑体" w:eastAsia="黑体"/>
              <w:highlight w:val="none"/>
            </w:rPr>
            <w:fldChar w:fldCharType="end"/>
          </w:r>
          <w:r>
            <w:rPr>
              <w:rFonts w:hint="eastAsia" w:ascii="黑体" w:hAnsi="黑体" w:eastAsia="黑体"/>
              <w:highlight w:val="none"/>
            </w:rPr>
            <w:fldChar w:fldCharType="end"/>
          </w:r>
        </w:p>
        <w:p>
          <w:pPr>
            <w:pStyle w:val="11"/>
            <w:tabs>
              <w:tab w:val="right" w:leader="dot" w:pos="8306"/>
              <w:tab w:val="clear" w:pos="8296"/>
            </w:tabs>
            <w:rPr>
              <w:rFonts w:hint="eastAsia" w:ascii="黑体" w:hAnsi="黑体" w:eastAsia="黑体"/>
              <w:highlight w:val="none"/>
            </w:rPr>
          </w:pPr>
          <w:r>
            <w:rPr>
              <w:rFonts w:hint="eastAsia" w:ascii="黑体" w:hAnsi="黑体" w:eastAsia="黑体"/>
              <w:highlight w:val="none"/>
            </w:rPr>
            <w:fldChar w:fldCharType="begin"/>
          </w:r>
          <w:r>
            <w:rPr>
              <w:rFonts w:hint="eastAsia" w:ascii="黑体" w:hAnsi="黑体" w:eastAsia="黑体"/>
              <w:highlight w:val="none"/>
            </w:rPr>
            <w:instrText xml:space="preserve"> HYPERLINK \l _Toc9463 </w:instrText>
          </w:r>
          <w:r>
            <w:rPr>
              <w:rFonts w:hint="eastAsia" w:ascii="黑体" w:hAnsi="黑体" w:eastAsia="黑体"/>
              <w:highlight w:val="none"/>
            </w:rPr>
            <w:fldChar w:fldCharType="separate"/>
          </w:r>
          <w:r>
            <w:rPr>
              <w:rFonts w:hint="eastAsia" w:ascii="黑体" w:hAnsi="黑体" w:eastAsia="黑体"/>
              <w:highlight w:val="none"/>
            </w:rPr>
            <w:t>五、财政拨款支出决算明细表</w:t>
          </w:r>
          <w:r>
            <w:rPr>
              <w:rFonts w:hint="eastAsia" w:ascii="黑体" w:hAnsi="黑体" w:eastAsia="黑体"/>
              <w:highlight w:val="none"/>
            </w:rPr>
            <w:tab/>
          </w:r>
          <w:r>
            <w:rPr>
              <w:rFonts w:hint="eastAsia" w:ascii="黑体" w:hAnsi="黑体" w:eastAsia="黑体"/>
              <w:highlight w:val="none"/>
            </w:rPr>
            <w:fldChar w:fldCharType="begin"/>
          </w:r>
          <w:r>
            <w:rPr>
              <w:rFonts w:hint="eastAsia" w:ascii="黑体" w:hAnsi="黑体" w:eastAsia="黑体"/>
              <w:highlight w:val="none"/>
            </w:rPr>
            <w:instrText xml:space="preserve"> PAGEREF _Toc9463 </w:instrText>
          </w:r>
          <w:r>
            <w:rPr>
              <w:rFonts w:hint="eastAsia" w:ascii="黑体" w:hAnsi="黑体" w:eastAsia="黑体"/>
              <w:highlight w:val="none"/>
            </w:rPr>
            <w:fldChar w:fldCharType="separate"/>
          </w:r>
          <w:r>
            <w:rPr>
              <w:rFonts w:hint="eastAsia" w:ascii="黑体" w:hAnsi="黑体" w:eastAsia="黑体"/>
              <w:highlight w:val="none"/>
            </w:rPr>
            <w:t>79</w:t>
          </w:r>
          <w:r>
            <w:rPr>
              <w:rFonts w:hint="eastAsia" w:ascii="黑体" w:hAnsi="黑体" w:eastAsia="黑体"/>
              <w:highlight w:val="none"/>
            </w:rPr>
            <w:fldChar w:fldCharType="end"/>
          </w:r>
          <w:r>
            <w:rPr>
              <w:rFonts w:hint="eastAsia" w:ascii="黑体" w:hAnsi="黑体" w:eastAsia="黑体"/>
              <w:highlight w:val="none"/>
            </w:rPr>
            <w:fldChar w:fldCharType="end"/>
          </w:r>
        </w:p>
        <w:p>
          <w:pPr>
            <w:pStyle w:val="11"/>
            <w:tabs>
              <w:tab w:val="right" w:leader="dot" w:pos="8306"/>
              <w:tab w:val="clear" w:pos="8296"/>
            </w:tabs>
            <w:rPr>
              <w:rFonts w:hint="eastAsia" w:ascii="黑体" w:hAnsi="黑体" w:eastAsia="黑体"/>
              <w:highlight w:val="none"/>
            </w:rPr>
          </w:pPr>
          <w:r>
            <w:rPr>
              <w:rFonts w:hint="eastAsia" w:ascii="黑体" w:hAnsi="黑体" w:eastAsia="黑体"/>
              <w:highlight w:val="none"/>
            </w:rPr>
            <w:fldChar w:fldCharType="begin"/>
          </w:r>
          <w:r>
            <w:rPr>
              <w:rFonts w:hint="eastAsia" w:ascii="黑体" w:hAnsi="黑体" w:eastAsia="黑体"/>
              <w:highlight w:val="none"/>
            </w:rPr>
            <w:instrText xml:space="preserve"> HYPERLINK \l _Toc8670 </w:instrText>
          </w:r>
          <w:r>
            <w:rPr>
              <w:rFonts w:hint="eastAsia" w:ascii="黑体" w:hAnsi="黑体" w:eastAsia="黑体"/>
              <w:highlight w:val="none"/>
            </w:rPr>
            <w:fldChar w:fldCharType="separate"/>
          </w:r>
          <w:r>
            <w:rPr>
              <w:rFonts w:hint="eastAsia" w:ascii="黑体" w:hAnsi="黑体" w:eastAsia="黑体"/>
              <w:highlight w:val="none"/>
            </w:rPr>
            <w:t>六、一般公共预算财政拨款支出决算表</w:t>
          </w:r>
          <w:r>
            <w:rPr>
              <w:rFonts w:hint="eastAsia" w:ascii="黑体" w:hAnsi="黑体" w:eastAsia="黑体"/>
              <w:highlight w:val="none"/>
            </w:rPr>
            <w:tab/>
          </w:r>
          <w:r>
            <w:rPr>
              <w:rFonts w:hint="eastAsia" w:ascii="黑体" w:hAnsi="黑体" w:eastAsia="黑体"/>
              <w:highlight w:val="none"/>
            </w:rPr>
            <w:fldChar w:fldCharType="begin"/>
          </w:r>
          <w:r>
            <w:rPr>
              <w:rFonts w:hint="eastAsia" w:ascii="黑体" w:hAnsi="黑体" w:eastAsia="黑体"/>
              <w:highlight w:val="none"/>
            </w:rPr>
            <w:instrText xml:space="preserve"> PAGEREF _Toc8670 </w:instrText>
          </w:r>
          <w:r>
            <w:rPr>
              <w:rFonts w:hint="eastAsia" w:ascii="黑体" w:hAnsi="黑体" w:eastAsia="黑体"/>
              <w:highlight w:val="none"/>
            </w:rPr>
            <w:fldChar w:fldCharType="separate"/>
          </w:r>
          <w:r>
            <w:rPr>
              <w:rFonts w:hint="eastAsia" w:ascii="黑体" w:hAnsi="黑体" w:eastAsia="黑体"/>
              <w:highlight w:val="none"/>
            </w:rPr>
            <w:t>79</w:t>
          </w:r>
          <w:r>
            <w:rPr>
              <w:rFonts w:hint="eastAsia" w:ascii="黑体" w:hAnsi="黑体" w:eastAsia="黑体"/>
              <w:highlight w:val="none"/>
            </w:rPr>
            <w:fldChar w:fldCharType="end"/>
          </w:r>
          <w:r>
            <w:rPr>
              <w:rFonts w:hint="eastAsia" w:ascii="黑体" w:hAnsi="黑体" w:eastAsia="黑体"/>
              <w:highlight w:val="none"/>
            </w:rPr>
            <w:fldChar w:fldCharType="end"/>
          </w:r>
        </w:p>
        <w:p>
          <w:pPr>
            <w:pStyle w:val="11"/>
            <w:tabs>
              <w:tab w:val="right" w:leader="dot" w:pos="8306"/>
              <w:tab w:val="clear" w:pos="8296"/>
            </w:tabs>
            <w:rPr>
              <w:rFonts w:hint="eastAsia" w:ascii="黑体" w:hAnsi="黑体" w:eastAsia="黑体"/>
              <w:highlight w:val="none"/>
            </w:rPr>
          </w:pPr>
          <w:r>
            <w:rPr>
              <w:rFonts w:hint="eastAsia" w:ascii="黑体" w:hAnsi="黑体" w:eastAsia="黑体"/>
              <w:highlight w:val="none"/>
            </w:rPr>
            <w:fldChar w:fldCharType="begin"/>
          </w:r>
          <w:r>
            <w:rPr>
              <w:rFonts w:hint="eastAsia" w:ascii="黑体" w:hAnsi="黑体" w:eastAsia="黑体"/>
              <w:highlight w:val="none"/>
            </w:rPr>
            <w:instrText xml:space="preserve"> HYPERLINK \l _Toc17831 </w:instrText>
          </w:r>
          <w:r>
            <w:rPr>
              <w:rFonts w:hint="eastAsia" w:ascii="黑体" w:hAnsi="黑体" w:eastAsia="黑体"/>
              <w:highlight w:val="none"/>
            </w:rPr>
            <w:fldChar w:fldCharType="separate"/>
          </w:r>
          <w:r>
            <w:rPr>
              <w:rFonts w:hint="eastAsia" w:ascii="黑体" w:hAnsi="黑体" w:eastAsia="黑体"/>
              <w:highlight w:val="none"/>
            </w:rPr>
            <w:t>七、一般公共预算财政拨款支出决算明细表</w:t>
          </w:r>
          <w:r>
            <w:rPr>
              <w:rFonts w:hint="eastAsia" w:ascii="黑体" w:hAnsi="黑体" w:eastAsia="黑体"/>
              <w:highlight w:val="none"/>
            </w:rPr>
            <w:tab/>
          </w:r>
          <w:r>
            <w:rPr>
              <w:rFonts w:hint="eastAsia" w:ascii="黑体" w:hAnsi="黑体" w:eastAsia="黑体"/>
              <w:highlight w:val="none"/>
            </w:rPr>
            <w:fldChar w:fldCharType="begin"/>
          </w:r>
          <w:r>
            <w:rPr>
              <w:rFonts w:hint="eastAsia" w:ascii="黑体" w:hAnsi="黑体" w:eastAsia="黑体"/>
              <w:highlight w:val="none"/>
            </w:rPr>
            <w:instrText xml:space="preserve"> PAGEREF _Toc17831 </w:instrText>
          </w:r>
          <w:r>
            <w:rPr>
              <w:rFonts w:hint="eastAsia" w:ascii="黑体" w:hAnsi="黑体" w:eastAsia="黑体"/>
              <w:highlight w:val="none"/>
            </w:rPr>
            <w:fldChar w:fldCharType="separate"/>
          </w:r>
          <w:r>
            <w:rPr>
              <w:rFonts w:hint="eastAsia" w:ascii="黑体" w:hAnsi="黑体" w:eastAsia="黑体"/>
              <w:highlight w:val="none"/>
            </w:rPr>
            <w:t>79</w:t>
          </w:r>
          <w:r>
            <w:rPr>
              <w:rFonts w:hint="eastAsia" w:ascii="黑体" w:hAnsi="黑体" w:eastAsia="黑体"/>
              <w:highlight w:val="none"/>
            </w:rPr>
            <w:fldChar w:fldCharType="end"/>
          </w:r>
          <w:r>
            <w:rPr>
              <w:rFonts w:hint="eastAsia" w:ascii="黑体" w:hAnsi="黑体" w:eastAsia="黑体"/>
              <w:highlight w:val="none"/>
            </w:rPr>
            <w:fldChar w:fldCharType="end"/>
          </w:r>
        </w:p>
        <w:p>
          <w:pPr>
            <w:pStyle w:val="11"/>
            <w:tabs>
              <w:tab w:val="right" w:leader="dot" w:pos="8306"/>
              <w:tab w:val="clear" w:pos="8296"/>
            </w:tabs>
            <w:rPr>
              <w:rFonts w:hint="eastAsia" w:ascii="黑体" w:hAnsi="黑体" w:eastAsia="黑体"/>
              <w:highlight w:val="none"/>
            </w:rPr>
          </w:pPr>
          <w:r>
            <w:rPr>
              <w:rFonts w:hint="eastAsia" w:ascii="黑体" w:hAnsi="黑体" w:eastAsia="黑体"/>
              <w:highlight w:val="none"/>
            </w:rPr>
            <w:fldChar w:fldCharType="begin"/>
          </w:r>
          <w:r>
            <w:rPr>
              <w:rFonts w:hint="eastAsia" w:ascii="黑体" w:hAnsi="黑体" w:eastAsia="黑体"/>
              <w:highlight w:val="none"/>
            </w:rPr>
            <w:instrText xml:space="preserve"> HYPERLINK \l _Toc31489 </w:instrText>
          </w:r>
          <w:r>
            <w:rPr>
              <w:rFonts w:hint="eastAsia" w:ascii="黑体" w:hAnsi="黑体" w:eastAsia="黑体"/>
              <w:highlight w:val="none"/>
            </w:rPr>
            <w:fldChar w:fldCharType="separate"/>
          </w:r>
          <w:r>
            <w:rPr>
              <w:rFonts w:hint="eastAsia" w:ascii="黑体" w:hAnsi="黑体" w:eastAsia="黑体"/>
              <w:highlight w:val="none"/>
            </w:rPr>
            <w:t>八、一般公共预算财政拨款基本支出决算表</w:t>
          </w:r>
          <w:r>
            <w:rPr>
              <w:rFonts w:hint="eastAsia" w:ascii="黑体" w:hAnsi="黑体" w:eastAsia="黑体"/>
              <w:highlight w:val="none"/>
            </w:rPr>
            <w:tab/>
          </w:r>
          <w:r>
            <w:rPr>
              <w:rFonts w:hint="eastAsia" w:ascii="黑体" w:hAnsi="黑体" w:eastAsia="黑体"/>
              <w:highlight w:val="none"/>
            </w:rPr>
            <w:fldChar w:fldCharType="begin"/>
          </w:r>
          <w:r>
            <w:rPr>
              <w:rFonts w:hint="eastAsia" w:ascii="黑体" w:hAnsi="黑体" w:eastAsia="黑体"/>
              <w:highlight w:val="none"/>
            </w:rPr>
            <w:instrText xml:space="preserve"> PAGEREF _Toc31489 </w:instrText>
          </w:r>
          <w:r>
            <w:rPr>
              <w:rFonts w:hint="eastAsia" w:ascii="黑体" w:hAnsi="黑体" w:eastAsia="黑体"/>
              <w:highlight w:val="none"/>
            </w:rPr>
            <w:fldChar w:fldCharType="separate"/>
          </w:r>
          <w:r>
            <w:rPr>
              <w:rFonts w:hint="eastAsia" w:ascii="黑体" w:hAnsi="黑体" w:eastAsia="黑体"/>
              <w:highlight w:val="none"/>
            </w:rPr>
            <w:t>79</w:t>
          </w:r>
          <w:r>
            <w:rPr>
              <w:rFonts w:hint="eastAsia" w:ascii="黑体" w:hAnsi="黑体" w:eastAsia="黑体"/>
              <w:highlight w:val="none"/>
            </w:rPr>
            <w:fldChar w:fldCharType="end"/>
          </w:r>
          <w:r>
            <w:rPr>
              <w:rFonts w:hint="eastAsia" w:ascii="黑体" w:hAnsi="黑体" w:eastAsia="黑体"/>
              <w:highlight w:val="none"/>
            </w:rPr>
            <w:fldChar w:fldCharType="end"/>
          </w:r>
        </w:p>
        <w:p>
          <w:pPr>
            <w:pStyle w:val="11"/>
            <w:tabs>
              <w:tab w:val="right" w:leader="dot" w:pos="8306"/>
              <w:tab w:val="clear" w:pos="8296"/>
            </w:tabs>
            <w:rPr>
              <w:rFonts w:hint="eastAsia" w:ascii="黑体" w:hAnsi="黑体" w:eastAsia="黑体"/>
              <w:highlight w:val="none"/>
            </w:rPr>
          </w:pPr>
          <w:r>
            <w:rPr>
              <w:rFonts w:hint="eastAsia" w:ascii="黑体" w:hAnsi="黑体" w:eastAsia="黑体"/>
              <w:highlight w:val="none"/>
            </w:rPr>
            <w:fldChar w:fldCharType="begin"/>
          </w:r>
          <w:r>
            <w:rPr>
              <w:rFonts w:hint="eastAsia" w:ascii="黑体" w:hAnsi="黑体" w:eastAsia="黑体"/>
              <w:highlight w:val="none"/>
            </w:rPr>
            <w:instrText xml:space="preserve"> HYPERLINK \l _Toc26692 </w:instrText>
          </w:r>
          <w:r>
            <w:rPr>
              <w:rFonts w:hint="eastAsia" w:ascii="黑体" w:hAnsi="黑体" w:eastAsia="黑体"/>
              <w:highlight w:val="none"/>
            </w:rPr>
            <w:fldChar w:fldCharType="separate"/>
          </w:r>
          <w:r>
            <w:rPr>
              <w:rFonts w:hint="eastAsia" w:ascii="黑体" w:hAnsi="黑体" w:eastAsia="黑体"/>
              <w:highlight w:val="none"/>
            </w:rPr>
            <w:t>九、一般公共预算财政拨款项目支出决算表</w:t>
          </w:r>
          <w:r>
            <w:rPr>
              <w:rFonts w:hint="eastAsia" w:ascii="黑体" w:hAnsi="黑体" w:eastAsia="黑体"/>
              <w:highlight w:val="none"/>
            </w:rPr>
            <w:tab/>
          </w:r>
          <w:r>
            <w:rPr>
              <w:rFonts w:hint="eastAsia" w:ascii="黑体" w:hAnsi="黑体" w:eastAsia="黑体"/>
              <w:highlight w:val="none"/>
            </w:rPr>
            <w:fldChar w:fldCharType="begin"/>
          </w:r>
          <w:r>
            <w:rPr>
              <w:rFonts w:hint="eastAsia" w:ascii="黑体" w:hAnsi="黑体" w:eastAsia="黑体"/>
              <w:highlight w:val="none"/>
            </w:rPr>
            <w:instrText xml:space="preserve"> PAGEREF _Toc26692 </w:instrText>
          </w:r>
          <w:r>
            <w:rPr>
              <w:rFonts w:hint="eastAsia" w:ascii="黑体" w:hAnsi="黑体" w:eastAsia="黑体"/>
              <w:highlight w:val="none"/>
            </w:rPr>
            <w:fldChar w:fldCharType="separate"/>
          </w:r>
          <w:r>
            <w:rPr>
              <w:rFonts w:hint="eastAsia" w:ascii="黑体" w:hAnsi="黑体" w:eastAsia="黑体"/>
              <w:highlight w:val="none"/>
            </w:rPr>
            <w:t>79</w:t>
          </w:r>
          <w:r>
            <w:rPr>
              <w:rFonts w:hint="eastAsia" w:ascii="黑体" w:hAnsi="黑体" w:eastAsia="黑体"/>
              <w:highlight w:val="none"/>
            </w:rPr>
            <w:fldChar w:fldCharType="end"/>
          </w:r>
          <w:r>
            <w:rPr>
              <w:rFonts w:hint="eastAsia" w:ascii="黑体" w:hAnsi="黑体" w:eastAsia="黑体"/>
              <w:highlight w:val="none"/>
            </w:rPr>
            <w:fldChar w:fldCharType="end"/>
          </w:r>
        </w:p>
        <w:p>
          <w:pPr>
            <w:pStyle w:val="11"/>
            <w:tabs>
              <w:tab w:val="right" w:leader="dot" w:pos="8306"/>
              <w:tab w:val="clear" w:pos="8296"/>
            </w:tabs>
            <w:rPr>
              <w:rFonts w:hint="eastAsia" w:ascii="黑体" w:hAnsi="黑体" w:eastAsia="黑体"/>
              <w:highlight w:val="none"/>
            </w:rPr>
            <w:sectPr>
              <w:footerReference r:id="rId6" w:type="first"/>
              <w:footerReference r:id="rId5" w:type="default"/>
              <w:pgSz w:w="11906" w:h="16838"/>
              <w:pgMar w:top="1440" w:right="1800" w:bottom="1440" w:left="1800" w:header="851" w:footer="992" w:gutter="0"/>
              <w:pgNumType w:start="1"/>
              <w:cols w:space="425" w:num="1"/>
              <w:titlePg/>
              <w:docGrid w:type="lines" w:linePitch="312" w:charSpace="0"/>
            </w:sectPr>
          </w:pPr>
        </w:p>
        <w:p>
          <w:pPr>
            <w:pStyle w:val="11"/>
            <w:tabs>
              <w:tab w:val="right" w:leader="dot" w:pos="8306"/>
              <w:tab w:val="clear" w:pos="8296"/>
            </w:tabs>
            <w:rPr>
              <w:rFonts w:hint="eastAsia" w:ascii="黑体" w:hAnsi="黑体" w:eastAsia="黑体"/>
              <w:highlight w:val="none"/>
            </w:rPr>
          </w:pPr>
          <w:r>
            <w:rPr>
              <w:rFonts w:hint="eastAsia" w:ascii="黑体" w:hAnsi="黑体" w:eastAsia="黑体"/>
              <w:highlight w:val="none"/>
            </w:rPr>
            <w:fldChar w:fldCharType="begin"/>
          </w:r>
          <w:r>
            <w:rPr>
              <w:rFonts w:hint="eastAsia" w:ascii="黑体" w:hAnsi="黑体" w:eastAsia="黑体"/>
              <w:highlight w:val="none"/>
            </w:rPr>
            <w:instrText xml:space="preserve"> HYPERLINK \l _Toc27193 </w:instrText>
          </w:r>
          <w:r>
            <w:rPr>
              <w:rFonts w:hint="eastAsia" w:ascii="黑体" w:hAnsi="黑体" w:eastAsia="黑体"/>
              <w:highlight w:val="none"/>
            </w:rPr>
            <w:fldChar w:fldCharType="separate"/>
          </w:r>
          <w:r>
            <w:rPr>
              <w:rFonts w:hint="eastAsia" w:ascii="黑体" w:hAnsi="黑体" w:eastAsia="黑体"/>
              <w:highlight w:val="none"/>
            </w:rPr>
            <w:t>十、一般公共预算财政拨款“三公”经费支出决算表</w:t>
          </w:r>
          <w:r>
            <w:rPr>
              <w:rFonts w:hint="eastAsia" w:ascii="黑体" w:hAnsi="黑体" w:eastAsia="黑体"/>
              <w:highlight w:val="none"/>
            </w:rPr>
            <w:tab/>
          </w:r>
          <w:r>
            <w:rPr>
              <w:rFonts w:hint="eastAsia" w:ascii="黑体" w:hAnsi="黑体" w:eastAsia="黑体"/>
              <w:highlight w:val="none"/>
            </w:rPr>
            <w:fldChar w:fldCharType="begin"/>
          </w:r>
          <w:r>
            <w:rPr>
              <w:rFonts w:hint="eastAsia" w:ascii="黑体" w:hAnsi="黑体" w:eastAsia="黑体"/>
              <w:highlight w:val="none"/>
            </w:rPr>
            <w:instrText xml:space="preserve"> PAGEREF _Toc27193 </w:instrText>
          </w:r>
          <w:r>
            <w:rPr>
              <w:rFonts w:hint="eastAsia" w:ascii="黑体" w:hAnsi="黑体" w:eastAsia="黑体"/>
              <w:highlight w:val="none"/>
            </w:rPr>
            <w:fldChar w:fldCharType="separate"/>
          </w:r>
          <w:r>
            <w:rPr>
              <w:rFonts w:hint="eastAsia" w:ascii="黑体" w:hAnsi="黑体" w:eastAsia="黑体"/>
              <w:highlight w:val="none"/>
            </w:rPr>
            <w:t>79</w:t>
          </w:r>
          <w:r>
            <w:rPr>
              <w:rFonts w:hint="eastAsia" w:ascii="黑体" w:hAnsi="黑体" w:eastAsia="黑体"/>
              <w:highlight w:val="none"/>
            </w:rPr>
            <w:fldChar w:fldCharType="end"/>
          </w:r>
          <w:r>
            <w:rPr>
              <w:rFonts w:hint="eastAsia" w:ascii="黑体" w:hAnsi="黑体" w:eastAsia="黑体"/>
              <w:highlight w:val="none"/>
            </w:rPr>
            <w:fldChar w:fldCharType="end"/>
          </w:r>
        </w:p>
        <w:p>
          <w:pPr>
            <w:pStyle w:val="11"/>
            <w:tabs>
              <w:tab w:val="right" w:leader="dot" w:pos="8306"/>
              <w:tab w:val="clear" w:pos="8296"/>
            </w:tabs>
            <w:rPr>
              <w:rFonts w:hint="eastAsia" w:ascii="黑体" w:hAnsi="黑体" w:eastAsia="黑体"/>
              <w:highlight w:val="none"/>
            </w:rPr>
          </w:pPr>
          <w:r>
            <w:rPr>
              <w:rFonts w:hint="eastAsia" w:ascii="黑体" w:hAnsi="黑体" w:eastAsia="黑体"/>
              <w:highlight w:val="none"/>
            </w:rPr>
            <w:fldChar w:fldCharType="begin"/>
          </w:r>
          <w:r>
            <w:rPr>
              <w:rFonts w:hint="eastAsia" w:ascii="黑体" w:hAnsi="黑体" w:eastAsia="黑体"/>
              <w:highlight w:val="none"/>
            </w:rPr>
            <w:instrText xml:space="preserve"> HYPERLINK \l _Toc29200 </w:instrText>
          </w:r>
          <w:r>
            <w:rPr>
              <w:rFonts w:hint="eastAsia" w:ascii="黑体" w:hAnsi="黑体" w:eastAsia="黑体"/>
              <w:highlight w:val="none"/>
            </w:rPr>
            <w:fldChar w:fldCharType="separate"/>
          </w:r>
          <w:r>
            <w:rPr>
              <w:rFonts w:hint="eastAsia" w:ascii="黑体" w:hAnsi="黑体" w:eastAsia="黑体"/>
              <w:highlight w:val="none"/>
            </w:rPr>
            <w:t>十一、政府性基金预算财政拨款收入支出决算表</w:t>
          </w:r>
          <w:r>
            <w:rPr>
              <w:rFonts w:hint="eastAsia" w:ascii="黑体" w:hAnsi="黑体" w:eastAsia="黑体"/>
              <w:highlight w:val="none"/>
            </w:rPr>
            <w:tab/>
          </w:r>
          <w:r>
            <w:rPr>
              <w:rFonts w:hint="eastAsia" w:ascii="黑体" w:hAnsi="黑体" w:eastAsia="黑体"/>
              <w:highlight w:val="none"/>
            </w:rPr>
            <w:fldChar w:fldCharType="begin"/>
          </w:r>
          <w:r>
            <w:rPr>
              <w:rFonts w:hint="eastAsia" w:ascii="黑体" w:hAnsi="黑体" w:eastAsia="黑体"/>
              <w:highlight w:val="none"/>
            </w:rPr>
            <w:instrText xml:space="preserve"> PAGEREF _Toc29200 </w:instrText>
          </w:r>
          <w:r>
            <w:rPr>
              <w:rFonts w:hint="eastAsia" w:ascii="黑体" w:hAnsi="黑体" w:eastAsia="黑体"/>
              <w:highlight w:val="none"/>
            </w:rPr>
            <w:fldChar w:fldCharType="separate"/>
          </w:r>
          <w:r>
            <w:rPr>
              <w:rFonts w:hint="eastAsia" w:ascii="黑体" w:hAnsi="黑体" w:eastAsia="黑体"/>
              <w:highlight w:val="none"/>
            </w:rPr>
            <w:t>79</w:t>
          </w:r>
          <w:r>
            <w:rPr>
              <w:rFonts w:hint="eastAsia" w:ascii="黑体" w:hAnsi="黑体" w:eastAsia="黑体"/>
              <w:highlight w:val="none"/>
            </w:rPr>
            <w:fldChar w:fldCharType="end"/>
          </w:r>
          <w:r>
            <w:rPr>
              <w:rFonts w:hint="eastAsia" w:ascii="黑体" w:hAnsi="黑体" w:eastAsia="黑体"/>
              <w:highlight w:val="none"/>
            </w:rPr>
            <w:fldChar w:fldCharType="end"/>
          </w:r>
        </w:p>
        <w:p>
          <w:pPr>
            <w:pStyle w:val="11"/>
            <w:tabs>
              <w:tab w:val="right" w:leader="dot" w:pos="8306"/>
              <w:tab w:val="clear" w:pos="8296"/>
            </w:tabs>
            <w:rPr>
              <w:rFonts w:hint="eastAsia" w:ascii="黑体" w:hAnsi="黑体" w:eastAsia="黑体"/>
              <w:highlight w:val="none"/>
            </w:rPr>
          </w:pPr>
          <w:r>
            <w:rPr>
              <w:rFonts w:hint="eastAsia" w:ascii="黑体" w:hAnsi="黑体" w:eastAsia="黑体"/>
              <w:highlight w:val="none"/>
            </w:rPr>
            <w:fldChar w:fldCharType="begin"/>
          </w:r>
          <w:r>
            <w:rPr>
              <w:rFonts w:hint="eastAsia" w:ascii="黑体" w:hAnsi="黑体" w:eastAsia="黑体"/>
              <w:highlight w:val="none"/>
            </w:rPr>
            <w:instrText xml:space="preserve"> HYPERLINK \l _Toc12441 </w:instrText>
          </w:r>
          <w:r>
            <w:rPr>
              <w:rFonts w:hint="eastAsia" w:ascii="黑体" w:hAnsi="黑体" w:eastAsia="黑体"/>
              <w:highlight w:val="none"/>
            </w:rPr>
            <w:fldChar w:fldCharType="separate"/>
          </w:r>
          <w:r>
            <w:rPr>
              <w:rFonts w:hint="eastAsia" w:ascii="黑体" w:hAnsi="黑体" w:eastAsia="黑体"/>
              <w:highlight w:val="none"/>
            </w:rPr>
            <w:t>十二、政府性基金预算财政拨款“三公”经费支出决算表</w:t>
          </w:r>
          <w:r>
            <w:rPr>
              <w:rFonts w:hint="eastAsia" w:ascii="黑体" w:hAnsi="黑体" w:eastAsia="黑体"/>
              <w:highlight w:val="none"/>
            </w:rPr>
            <w:tab/>
          </w:r>
          <w:r>
            <w:rPr>
              <w:rFonts w:hint="eastAsia" w:ascii="黑体" w:hAnsi="黑体" w:eastAsia="黑体"/>
              <w:highlight w:val="none"/>
            </w:rPr>
            <w:fldChar w:fldCharType="begin"/>
          </w:r>
          <w:r>
            <w:rPr>
              <w:rFonts w:hint="eastAsia" w:ascii="黑体" w:hAnsi="黑体" w:eastAsia="黑体"/>
              <w:highlight w:val="none"/>
            </w:rPr>
            <w:instrText xml:space="preserve"> PAGEREF _Toc12441 </w:instrText>
          </w:r>
          <w:r>
            <w:rPr>
              <w:rFonts w:hint="eastAsia" w:ascii="黑体" w:hAnsi="黑体" w:eastAsia="黑体"/>
              <w:highlight w:val="none"/>
            </w:rPr>
            <w:fldChar w:fldCharType="separate"/>
          </w:r>
          <w:r>
            <w:rPr>
              <w:rFonts w:hint="eastAsia" w:ascii="黑体" w:hAnsi="黑体" w:eastAsia="黑体"/>
              <w:highlight w:val="none"/>
            </w:rPr>
            <w:t>79</w:t>
          </w:r>
          <w:r>
            <w:rPr>
              <w:rFonts w:hint="eastAsia" w:ascii="黑体" w:hAnsi="黑体" w:eastAsia="黑体"/>
              <w:highlight w:val="none"/>
            </w:rPr>
            <w:fldChar w:fldCharType="end"/>
          </w:r>
          <w:r>
            <w:rPr>
              <w:rFonts w:hint="eastAsia" w:ascii="黑体" w:hAnsi="黑体" w:eastAsia="黑体"/>
              <w:highlight w:val="none"/>
            </w:rPr>
            <w:fldChar w:fldCharType="end"/>
          </w:r>
        </w:p>
        <w:p>
          <w:pPr>
            <w:pStyle w:val="11"/>
            <w:tabs>
              <w:tab w:val="right" w:leader="dot" w:pos="8306"/>
              <w:tab w:val="clear" w:pos="8296"/>
            </w:tabs>
            <w:rPr>
              <w:rFonts w:hint="eastAsia" w:ascii="黑体" w:hAnsi="黑体" w:eastAsia="黑体"/>
              <w:highlight w:val="none"/>
            </w:rPr>
          </w:pPr>
          <w:r>
            <w:rPr>
              <w:rFonts w:hint="eastAsia" w:ascii="黑体" w:hAnsi="黑体" w:eastAsia="黑体"/>
              <w:highlight w:val="none"/>
            </w:rPr>
            <w:fldChar w:fldCharType="begin"/>
          </w:r>
          <w:r>
            <w:rPr>
              <w:rFonts w:hint="eastAsia" w:ascii="黑体" w:hAnsi="黑体" w:eastAsia="黑体"/>
              <w:highlight w:val="none"/>
            </w:rPr>
            <w:instrText xml:space="preserve"> HYPERLINK \l _Toc13637 </w:instrText>
          </w:r>
          <w:r>
            <w:rPr>
              <w:rFonts w:hint="eastAsia" w:ascii="黑体" w:hAnsi="黑体" w:eastAsia="黑体"/>
              <w:highlight w:val="none"/>
            </w:rPr>
            <w:fldChar w:fldCharType="separate"/>
          </w:r>
          <w:r>
            <w:rPr>
              <w:rFonts w:hint="eastAsia" w:ascii="黑体" w:hAnsi="黑体" w:eastAsia="黑体"/>
              <w:highlight w:val="none"/>
            </w:rPr>
            <w:t>十三、国有资本经营预算</w:t>
          </w:r>
          <w:r>
            <w:rPr>
              <w:rFonts w:hint="eastAsia" w:ascii="黑体" w:hAnsi="黑体" w:eastAsia="黑体"/>
              <w:highlight w:val="none"/>
              <w:lang w:eastAsia="zh-CN"/>
            </w:rPr>
            <w:t>财政拨款收入</w:t>
          </w:r>
          <w:r>
            <w:rPr>
              <w:rFonts w:hint="eastAsia" w:ascii="黑体" w:hAnsi="黑体" w:eastAsia="黑体"/>
              <w:highlight w:val="none"/>
            </w:rPr>
            <w:t>支出决算表</w:t>
          </w:r>
          <w:r>
            <w:rPr>
              <w:rFonts w:hint="eastAsia" w:ascii="黑体" w:hAnsi="黑体" w:eastAsia="黑体"/>
              <w:highlight w:val="none"/>
            </w:rPr>
            <w:tab/>
          </w:r>
          <w:r>
            <w:rPr>
              <w:rFonts w:hint="eastAsia" w:ascii="黑体" w:hAnsi="黑体" w:eastAsia="黑体"/>
              <w:highlight w:val="none"/>
            </w:rPr>
            <w:fldChar w:fldCharType="begin"/>
          </w:r>
          <w:r>
            <w:rPr>
              <w:rFonts w:hint="eastAsia" w:ascii="黑体" w:hAnsi="黑体" w:eastAsia="黑体"/>
              <w:highlight w:val="none"/>
            </w:rPr>
            <w:instrText xml:space="preserve"> PAGEREF _Toc13637 </w:instrText>
          </w:r>
          <w:r>
            <w:rPr>
              <w:rFonts w:hint="eastAsia" w:ascii="黑体" w:hAnsi="黑体" w:eastAsia="黑体"/>
              <w:highlight w:val="none"/>
            </w:rPr>
            <w:fldChar w:fldCharType="separate"/>
          </w:r>
          <w:r>
            <w:rPr>
              <w:rFonts w:hint="eastAsia" w:ascii="黑体" w:hAnsi="黑体" w:eastAsia="黑体"/>
              <w:highlight w:val="none"/>
            </w:rPr>
            <w:t>79</w:t>
          </w:r>
          <w:r>
            <w:rPr>
              <w:rFonts w:hint="eastAsia" w:ascii="黑体" w:hAnsi="黑体" w:eastAsia="黑体"/>
              <w:highlight w:val="none"/>
            </w:rPr>
            <w:fldChar w:fldCharType="end"/>
          </w:r>
          <w:r>
            <w:rPr>
              <w:rFonts w:hint="eastAsia" w:ascii="黑体" w:hAnsi="黑体" w:eastAsia="黑体"/>
              <w:highlight w:val="none"/>
            </w:rPr>
            <w:fldChar w:fldCharType="end"/>
          </w:r>
        </w:p>
        <w:p>
          <w:pPr>
            <w:pStyle w:val="11"/>
            <w:tabs>
              <w:tab w:val="right" w:leader="dot" w:pos="8306"/>
              <w:tab w:val="clear" w:pos="8296"/>
            </w:tabs>
          </w:pPr>
          <w:r>
            <w:rPr>
              <w:rFonts w:hint="eastAsia" w:ascii="黑体" w:hAnsi="黑体" w:eastAsia="黑体"/>
              <w:highlight w:val="none"/>
            </w:rPr>
            <w:fldChar w:fldCharType="begin"/>
          </w:r>
          <w:r>
            <w:rPr>
              <w:rFonts w:hint="eastAsia" w:ascii="黑体" w:hAnsi="黑体" w:eastAsia="黑体"/>
              <w:highlight w:val="none"/>
            </w:rPr>
            <w:instrText xml:space="preserve"> HYPERLINK \l _Toc24348 </w:instrText>
          </w:r>
          <w:r>
            <w:rPr>
              <w:rFonts w:hint="eastAsia" w:ascii="黑体" w:hAnsi="黑体" w:eastAsia="黑体"/>
              <w:highlight w:val="none"/>
            </w:rPr>
            <w:fldChar w:fldCharType="separate"/>
          </w:r>
          <w:r>
            <w:rPr>
              <w:rFonts w:hint="eastAsia" w:ascii="黑体" w:hAnsi="黑体" w:eastAsia="黑体"/>
              <w:highlight w:val="none"/>
              <w:lang w:eastAsia="zh-CN"/>
            </w:rPr>
            <w:t>十四、国有资本经营预算财政拨款支出决算表</w:t>
          </w:r>
          <w:r>
            <w:rPr>
              <w:rFonts w:hint="eastAsia" w:ascii="黑体" w:hAnsi="黑体" w:eastAsia="黑体"/>
              <w:highlight w:val="none"/>
            </w:rPr>
            <w:tab/>
          </w:r>
          <w:r>
            <w:rPr>
              <w:rFonts w:hint="eastAsia" w:ascii="黑体" w:hAnsi="黑体" w:eastAsia="黑体"/>
              <w:highlight w:val="none"/>
            </w:rPr>
            <w:fldChar w:fldCharType="begin"/>
          </w:r>
          <w:r>
            <w:rPr>
              <w:rFonts w:hint="eastAsia" w:ascii="黑体" w:hAnsi="黑体" w:eastAsia="黑体"/>
              <w:highlight w:val="none"/>
            </w:rPr>
            <w:instrText xml:space="preserve"> PAGEREF _Toc24348 </w:instrText>
          </w:r>
          <w:r>
            <w:rPr>
              <w:rFonts w:hint="eastAsia" w:ascii="黑体" w:hAnsi="黑体" w:eastAsia="黑体"/>
              <w:highlight w:val="none"/>
            </w:rPr>
            <w:fldChar w:fldCharType="separate"/>
          </w:r>
          <w:r>
            <w:rPr>
              <w:rFonts w:hint="eastAsia" w:ascii="黑体" w:hAnsi="黑体" w:eastAsia="黑体"/>
              <w:highlight w:val="none"/>
            </w:rPr>
            <w:t>79</w:t>
          </w:r>
          <w:r>
            <w:rPr>
              <w:rFonts w:hint="eastAsia" w:ascii="黑体" w:hAnsi="黑体" w:eastAsia="黑体"/>
              <w:highlight w:val="none"/>
            </w:rPr>
            <w:fldChar w:fldCharType="end"/>
          </w:r>
          <w:r>
            <w:rPr>
              <w:rFonts w:hint="eastAsia" w:ascii="黑体" w:hAnsi="黑体" w:eastAsia="黑体"/>
              <w:highlight w:val="none"/>
            </w:rPr>
            <w:fldChar w:fldCharType="end"/>
          </w:r>
        </w:p>
        <w:p>
          <w:r>
            <w:fldChar w:fldCharType="end"/>
          </w:r>
        </w:p>
      </w:sdtContent>
    </w:sdt>
    <w:p>
      <w:pPr>
        <w:pStyle w:val="3"/>
        <w:jc w:val="center"/>
        <w:rPr>
          <w:rFonts w:hint="eastAsia" w:ascii="黑体" w:hAnsi="黑体" w:eastAsia="黑体"/>
          <w:b w:val="0"/>
          <w:color w:val="auto"/>
          <w:highlight w:val="none"/>
        </w:rPr>
        <w:sectPr>
          <w:footerReference r:id="rId8" w:type="first"/>
          <w:footerReference r:id="rId7" w:type="default"/>
          <w:pgSz w:w="11906" w:h="16838"/>
          <w:pgMar w:top="1440" w:right="1800" w:bottom="1440" w:left="1800" w:header="851" w:footer="992" w:gutter="0"/>
          <w:pgNumType w:start="1"/>
          <w:cols w:space="425" w:num="1"/>
          <w:docGrid w:type="lines" w:linePitch="312" w:charSpace="0"/>
        </w:sectPr>
      </w:pPr>
      <w:bookmarkStart w:id="14" w:name="_Toc921961525_WPSOffice_Level1"/>
      <w:bookmarkStart w:id="15" w:name="_Toc1389"/>
      <w:bookmarkStart w:id="16" w:name="_Toc1358924166_WPSOffice_Level1"/>
    </w:p>
    <w:p>
      <w:pPr>
        <w:pStyle w:val="3"/>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Style w:val="25"/>
          <w:rFonts w:hint="eastAsia" w:ascii="黑体" w:hAnsi="黑体" w:eastAsia="黑体"/>
          <w:b w:val="0"/>
          <w:bCs w:val="0"/>
          <w:color w:val="auto"/>
          <w:highlight w:val="none"/>
        </w:rPr>
        <w:t>部门概况</w:t>
      </w:r>
      <w:bookmarkEnd w:id="14"/>
      <w:bookmarkEnd w:id="15"/>
      <w:bookmarkEnd w:id="16"/>
    </w:p>
    <w:p>
      <w:pPr>
        <w:pStyle w:val="4"/>
        <w:rPr>
          <w:rStyle w:val="26"/>
          <w:rFonts w:ascii="仿宋" w:hAnsi="仿宋" w:eastAsia="仿宋"/>
          <w:b w:val="0"/>
          <w:bCs w:val="0"/>
          <w:color w:val="auto"/>
          <w:highlight w:val="none"/>
        </w:rPr>
      </w:pPr>
      <w:bookmarkStart w:id="17" w:name="_Toc23543"/>
      <w:bookmarkStart w:id="18" w:name="_Toc1604916451_WPSOffice_Level2"/>
      <w:bookmarkStart w:id="19" w:name="_Toc242871338_WPSOffice_Level2"/>
      <w:bookmarkStart w:id="20" w:name="_Toc15377197"/>
      <w:bookmarkStart w:id="21" w:name="_Toc15396600"/>
      <w:r>
        <w:rPr>
          <w:rFonts w:hint="eastAsia" w:ascii="黑体" w:hAnsi="黑体" w:eastAsia="黑体"/>
          <w:b w:val="0"/>
          <w:color w:val="auto"/>
          <w:highlight w:val="none"/>
        </w:rPr>
        <w:t>一、基</w:t>
      </w:r>
      <w:r>
        <w:rPr>
          <w:rStyle w:val="26"/>
          <w:rFonts w:hint="eastAsia" w:ascii="黑体" w:hAnsi="黑体" w:eastAsia="黑体"/>
          <w:b w:val="0"/>
          <w:bCs w:val="0"/>
          <w:color w:val="auto"/>
          <w:highlight w:val="none"/>
        </w:rPr>
        <w:t>本职能及主要工作</w:t>
      </w:r>
      <w:bookmarkEnd w:id="17"/>
      <w:bookmarkEnd w:id="18"/>
      <w:bookmarkEnd w:id="19"/>
      <w:bookmarkEnd w:id="20"/>
      <w:bookmarkEnd w:id="21"/>
    </w:p>
    <w:p>
      <w:pPr>
        <w:pStyle w:val="2"/>
        <w:adjustRightInd w:val="0"/>
        <w:snapToGrid w:val="0"/>
        <w:spacing w:before="93" w:line="600" w:lineRule="exact"/>
        <w:ind w:firstLine="672" w:firstLineChars="210"/>
        <w:jc w:val="both"/>
        <w:outlineLvl w:val="2"/>
        <w:rPr>
          <w:rFonts w:hint="eastAsia" w:ascii="楷体_GB2312" w:hAnsi="楷体_GB2312" w:eastAsia="楷体_GB2312" w:cs="楷体_GB2312"/>
          <w:bCs/>
          <w:color w:val="auto"/>
          <w:sz w:val="32"/>
          <w:szCs w:val="32"/>
          <w:highlight w:val="none"/>
        </w:rPr>
      </w:pPr>
      <w:bookmarkStart w:id="22" w:name="_Toc15377198"/>
      <w:bookmarkStart w:id="23" w:name="_Toc15378445"/>
      <w:r>
        <w:rPr>
          <w:rFonts w:hint="eastAsia" w:ascii="楷体_GB2312" w:hAnsi="楷体_GB2312" w:eastAsia="楷体_GB2312" w:cs="楷体_GB2312"/>
          <w:bCs/>
          <w:color w:val="auto"/>
          <w:sz w:val="32"/>
          <w:szCs w:val="32"/>
          <w:highlight w:val="none"/>
        </w:rPr>
        <w:t>（一）主要职能</w:t>
      </w:r>
      <w:bookmarkEnd w:id="22"/>
      <w:bookmarkEnd w:id="23"/>
    </w:p>
    <w:p>
      <w:pPr>
        <w:ind w:firstLine="800" w:firstLineChars="25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1.贯彻落实国家有关国内外贸易、外商投资和国际经济合作的法律、法规和方针、政策，拟订全省国内外贸易、外商投资和对外经济合作的法规、规章和实施细则，制订全省商务发展规划、计划并组织实施。</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2.按要求承担全省服务业发展工作中组织实施的协调职责，推进流通产业结构调整，加快第三方物流发展，指导流通企业改革、商贸服务业和社区商业发展，提出促进商贸企业发展的政策建议，推动流通标准化和连锁经营、商业特许经营、物流配送、电子商务等现代流通方式的发展。</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3.研究提出引导国内外资金投向市场体系建设的政策，编制大宗产品批发市场规划，指导城市商业网点规划和商业体系建设工作，推进农村市场体系建设，组织实施农村现代流通网络工程，促进城乡市场一体化发展。</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4.承担牵头协调全省整顿和规范市场经济秩序工作的责任，拟订规范市场运行和流通秩序的政策，推动商务领域信用建设，指导商业信用销售，建立市场诚信公共服务平台，按有关规定对特殊流通行业进行监督管理。 </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5.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6.拟订促进转变外贸增长方式的政策措施，指导对外贸易行业执行国家进出口商品、加工贸易管理办法和进出口管理商品、技术目录，组织实施重要工业品、原材料和重要农产品进出口总量计划，会同有关部门协调大宗进出口商品和出口加工区的业务工作，指导贸易促进活动和外贸促进体系建设。</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7.依法监督技术引进、设备进口、国家限制出口技术的工作，推进进出口贸易标准化工作，牵头负责发展服务贸易的相关工作，推动服务外包平台建设。</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8.拟订应对经济全球化、区域经济合作的对策措施，加强与自由贸易区、港澳台地区的商贸合作，推进贸易和投资便利化，负责外国和香港、澳门特别行政区及台湾地区常设驻川商务代表机构的管理。</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9.承担组织协调反倾销、反补贴、保障措施和技术性贸易壁垒等与进出口公平贸易相关工作的责任，建立进出口公平贸易预警机制，牵头开展对外贸易调查、产业损害调查，指导协调产业安全应对和国外对我省出口商品的反倾销、反补贴、保障措施的应诉工作。</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10.参与拟订外商投资地方性法规草案、政策措施、中长期规划和改革方案；指导协调省内国家级经开区和国（境）别产业园区工作；负责全省国际合作园区建设推进工作，指导国际合作园区的对外开放交流工作职责。</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11.负责全省对外经济合作工作，拟订并执行对外经济合作政策，依法管理和监督对外承包工程、对外劳务合作和出境就业等，承担境外投资管理的责任，牵头负责外派劳务和赴境外就业人员的权益保护工作，组织管理我省承担的国家对外援助任务，管理多双边对我省的无偿援助和赠款（不含财政合作项目下外国政府及国际金融组织对我省赠款）等发展合作业务。</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12.管理我省赴境外举办的各种商品交易和经贸推介活动，指导监督管理以四川省名义在境内举办的各种商贸交易会、展览会、展销会等活动。</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13.规划全省商务系统电子政务、公共商务信息服务体系建设并组织实施，推动电子商务发展。</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14.贯彻执行国家有关中国(四川)自由贸易试验区建设的方针、政策、法律法规和制度;统筹研究中国(四川)自由贸易试验区(以下简称四川自贸试验区)法规和发展规划;研究制定四川自贸试验区综合改革、投资、贸易、金融、人才等政策措施并推动实施;统筹协调国家、省级相关部门及自由贸易试验区各片区事务;指导督查自由贸易试验区各片区改革任务、工作的落实;统计发布四川自贸试验区相关公共信息;承担四川自贸试验区推进工作领导小组日常工作。</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15.承担省政府公布的有关行政审批事项。</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16.承办省政府交办的其他事项。</w:t>
      </w:r>
    </w:p>
    <w:p>
      <w:pPr>
        <w:pStyle w:val="2"/>
        <w:adjustRightInd w:val="0"/>
        <w:snapToGrid w:val="0"/>
        <w:spacing w:before="93" w:line="600" w:lineRule="exact"/>
        <w:ind w:firstLine="672" w:firstLineChars="210"/>
        <w:jc w:val="both"/>
        <w:outlineLvl w:val="2"/>
        <w:rPr>
          <w:rFonts w:hint="eastAsia" w:ascii="楷体_GB2312" w:hAnsi="楷体_GB2312" w:eastAsia="楷体_GB2312" w:cs="楷体_GB2312"/>
          <w:bCs/>
          <w:color w:val="auto"/>
          <w:sz w:val="32"/>
          <w:szCs w:val="32"/>
          <w:highlight w:val="none"/>
        </w:rPr>
      </w:pPr>
      <w:bookmarkStart w:id="24" w:name="_Toc15378446"/>
      <w:bookmarkStart w:id="25" w:name="_Toc15377199"/>
      <w:r>
        <w:rPr>
          <w:rFonts w:hint="eastAsia" w:ascii="楷体_GB2312" w:hAnsi="楷体_GB2312" w:eastAsia="楷体_GB2312" w:cs="楷体_GB2312"/>
          <w:bCs/>
          <w:color w:val="auto"/>
          <w:sz w:val="32"/>
          <w:szCs w:val="32"/>
          <w:highlight w:val="none"/>
        </w:rPr>
        <w:t>（二）20</w:t>
      </w:r>
      <w:r>
        <w:rPr>
          <w:rFonts w:hint="eastAsia" w:ascii="楷体_GB2312" w:hAnsi="楷体_GB2312" w:eastAsia="楷体_GB2312" w:cs="楷体_GB2312"/>
          <w:bCs/>
          <w:color w:val="auto"/>
          <w:sz w:val="32"/>
          <w:szCs w:val="32"/>
          <w:highlight w:val="none"/>
          <w:lang w:val="en-US" w:eastAsia="zh-CN"/>
        </w:rPr>
        <w:t>20</w:t>
      </w:r>
      <w:r>
        <w:rPr>
          <w:rFonts w:hint="eastAsia" w:ascii="楷体_GB2312" w:hAnsi="楷体_GB2312" w:eastAsia="楷体_GB2312" w:cs="楷体_GB2312"/>
          <w:bCs/>
          <w:color w:val="auto"/>
          <w:sz w:val="32"/>
          <w:szCs w:val="32"/>
          <w:highlight w:val="none"/>
        </w:rPr>
        <w:t>年重点工作完成情况</w:t>
      </w:r>
      <w:bookmarkEnd w:id="24"/>
      <w:bookmarkEnd w:id="25"/>
    </w:p>
    <w:p>
      <w:pPr>
        <w:ind w:firstLine="800" w:firstLineChars="25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2020年，面对</w:t>
      </w:r>
      <w:r>
        <w:rPr>
          <w:rFonts w:hint="eastAsia" w:ascii="仿宋_GB2312" w:hAnsi="仿宋_GB2312" w:eastAsia="仿宋_GB2312" w:cs="仿宋_GB2312"/>
          <w:color w:val="auto"/>
          <w:sz w:val="32"/>
          <w:szCs w:val="32"/>
          <w:highlight w:val="none"/>
        </w:rPr>
        <w:t>突如其来的新冠疫情、历史罕见的洪涝灾害、严峻复杂的内外环境，</w:t>
      </w:r>
      <w:r>
        <w:rPr>
          <w:rFonts w:hint="eastAsia" w:ascii="仿宋_GB2312" w:hAnsi="仿宋_GB2312" w:eastAsia="仿宋_GB2312" w:cs="仿宋_GB2312"/>
          <w:color w:val="auto"/>
          <w:sz w:val="32"/>
          <w:szCs w:val="32"/>
          <w:highlight w:val="none"/>
          <w:lang w:eastAsia="zh-CN"/>
        </w:rPr>
        <w:t>商务部门</w:t>
      </w:r>
      <w:r>
        <w:rPr>
          <w:rFonts w:hint="eastAsia" w:ascii="仿宋_GB2312" w:hAnsi="仿宋_GB2312" w:eastAsia="仿宋_GB2312" w:cs="仿宋_GB2312"/>
          <w:color w:val="auto"/>
          <w:sz w:val="32"/>
          <w:szCs w:val="32"/>
          <w:highlight w:val="none"/>
        </w:rPr>
        <w:t>坚定落实中央和省委、省政府决策部署，在云泽副省长直接指挥下，顽强拼搏、克难奋进，科学统筹疫情防控和商务发展，主要指标符合预期、稳步向好。全年货物进出口增长19%、增速居全国第2位，社会消费品零售总额降幅收窄至2.4%、好于全国1.5个百分点，服务业增加值增长3.4%、高于全国1.3个百分点。商务经济稳定增长，为全省做好“六稳”工作、落实“六保”任务作出积极贡献。清华书记对商务工作寄予“四个新作为”殷切期望，商务部主要领导给予“四个示范”充分肯定。过去一年，我们主要开展了以下工作。</w:t>
      </w:r>
    </w:p>
    <w:p>
      <w:pPr>
        <w:ind w:firstLine="800" w:firstLineChars="25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是精准实施商务领域疫情防控。第一时间建立商务系统应对疫情协调联动工作机制。及时暂停线下展会、聚集性经贸及餐饮活动。迅速启动生活必需品应急保供机制，重点农贸市场、商超、连锁店、药店超常规组织货源、坚持营业，骨干商贸流通保供队伍超过2000家，确保生活必需品供应平稳有序。强化跨省联保联供，积极组织驰援湖北等地生活物资50批次、3000余吨。广泛动员进口和采购各类紧缺防护物资，向海外川籍务工人员发放爱心防护包。积极参与国际疫情防控合作，在全国率先组建医药企业进出口联盟，推动40家企业进入全国医药产品出口绿色通道“白名单”。先后出台20余个支持政策助企纾困，有序推动复工复产、复商复市。四川在全国商务系统应对疫情工作会上作经验交流发言。</w:t>
      </w:r>
    </w:p>
    <w:p>
      <w:pPr>
        <w:ind w:firstLine="800" w:firstLineChars="25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是积极推动成渝地区双城经济圈建设。召开川渝商务合作联席会议，签署《共建内陆改革开放高地战略合作协议》《共建川渝自贸试验区协同开放示范区工作方案》，成立“1+6”工作专班。策划“一带一路”进出口商品集散中心建设方案，联动开展“川渝好物进双城”等特色活动，联合发布电子商务合作宣言、会展业合作倡议书，推动成立电商、会展、消费服务等多元化合作联盟，实现从事拍卖业务许可等事项互通互认。</w:t>
      </w:r>
    </w:p>
    <w:p>
      <w:pPr>
        <w:ind w:firstLine="800" w:firstLineChars="25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是着力稳住外贸基本盘。深入开展疫情冲击与经贸摩擦“双重压力”下稳定外贸外资基本盘调研，形成我省主要出口产品供应链价值链研究报告，得到清华书记肯定性批示。突出外保渠道、内保产能，制定贸易高质量发展任务清单、外贸企业应对疫情9条、稳外贸稳外资20条等措施。完善订单跟踪机制，实施法律救济、要素保障、国际物流支持等措施助力企业出口。深化与工行、国开行等金融机构银贸合作，支持外经贸企业信贷1600亿元。推进西部陆海新通道建设，中欧班列开行数量同比增长57%。新增8个国家级外贸转型升级基地、培育12个省级外贸基地，创建进口贸易促进创新示范区。获批国家数字出口服务基地和新一轮全面深化服务贸易创新发展试点。稳妥有序推进对外投资合作，对外直接投资同比增长85%。</w:t>
      </w:r>
    </w:p>
    <w:p>
      <w:pPr>
        <w:ind w:firstLine="800" w:firstLineChars="25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是加快推进开放平台建设。重大开放平台联动效应、政策叠加效应初步显现。自贸试验区建设取得新进展，在全国率先出台应对疫情推动改革开放9条措施，利用外资增长2.6倍，进出口增长22.8%；制度创新成果实现“三连跳”，第三批省级管理权限同步下放。成都高新综保区发展绩效评估总分居全国第1位，5个新批综保区全部顺利通过验收。成都、宜宾、广安等国家级经开区在全国排位稳步提升，国际（地区）合作园区差异化发展更趋明显，跨境电商和市场采购贸易进出口总额超过500亿元。</w:t>
      </w:r>
    </w:p>
    <w:p>
      <w:pPr>
        <w:ind w:firstLine="800" w:firstLineChars="25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是全力促进消费释潜回补。出台激发消费潜力24条措施，实施促进消费和服务业发展七大行动计划。组织举办天府里·悦生活、味美四川、川货电商节等系列活动。培育建设10个消费中心城市。推进步行街改造提升三年行动计划，宽窄巷子评为首批全国示范步行街，启动15条省级步行街改造提升试点。制定全国首个省级直播行业发展计划，发布10条“百亿级”电商（跨境）产业带，新获批4个电商示范基地，引进30余家电商头部企业在川设立区域总部。</w:t>
      </w:r>
    </w:p>
    <w:p>
      <w:pPr>
        <w:ind w:firstLine="800" w:firstLineChars="25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是统筹推进服务业发展。成功召开全省服务业发展大会，出台服务业高质量发展意见，建立省领导联系指导“4+6”重点产业推进机制。组织实施现代服务业集聚区、服务业强县、服务业“三百工程”培育方案，培育10个服务业集聚区和10个服务业强县，服务业重大项目实现投资1200亿元，10家企业入围全国服务业企业500强。强化服务业和消费“1+6”重点指标运行调度，出台“服保贷”风险补偿金制度，推动批发、零售、住宿、餐饮等行业加快复苏回暖。</w:t>
      </w:r>
    </w:p>
    <w:p>
      <w:pPr>
        <w:pStyle w:val="4"/>
        <w:rPr>
          <w:rStyle w:val="26"/>
          <w:b w:val="0"/>
          <w:bCs w:val="0"/>
          <w:color w:val="auto"/>
          <w:highlight w:val="none"/>
        </w:rPr>
      </w:pPr>
      <w:bookmarkStart w:id="26" w:name="_Toc1672773470_WPSOffice_Level2"/>
      <w:bookmarkStart w:id="27" w:name="_Toc32613"/>
      <w:bookmarkStart w:id="28" w:name="_Toc113776490_WPSOffice_Level2"/>
      <w:bookmarkStart w:id="29" w:name="_Toc15377200"/>
      <w:bookmarkStart w:id="30" w:name="_Toc15396601"/>
      <w:r>
        <w:rPr>
          <w:rFonts w:hint="eastAsia" w:ascii="黑体" w:eastAsia="黑体"/>
          <w:b w:val="0"/>
          <w:color w:val="auto"/>
          <w:highlight w:val="none"/>
        </w:rPr>
        <w:t>二、</w:t>
      </w:r>
      <w:r>
        <w:rPr>
          <w:rFonts w:hint="eastAsia" w:ascii="黑体" w:hAnsi="黑体" w:eastAsia="黑体"/>
          <w:b w:val="0"/>
          <w:color w:val="auto"/>
          <w:highlight w:val="none"/>
        </w:rPr>
        <w:t>机</w:t>
      </w:r>
      <w:r>
        <w:rPr>
          <w:rStyle w:val="26"/>
          <w:rFonts w:hint="eastAsia" w:ascii="黑体" w:hAnsi="黑体" w:eastAsia="黑体"/>
          <w:b w:val="0"/>
          <w:bCs w:val="0"/>
          <w:color w:val="auto"/>
          <w:highlight w:val="none"/>
        </w:rPr>
        <w:t>构设置</w:t>
      </w:r>
      <w:bookmarkEnd w:id="26"/>
      <w:bookmarkEnd w:id="27"/>
      <w:bookmarkEnd w:id="28"/>
      <w:bookmarkEnd w:id="29"/>
      <w:bookmarkEnd w:id="30"/>
    </w:p>
    <w:p>
      <w:pPr>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四川省商务厅</w:t>
      </w:r>
      <w:r>
        <w:rPr>
          <w:rFonts w:hint="eastAsia" w:ascii="仿宋_GB2312" w:hAnsi="仿宋_GB2312" w:eastAsia="仿宋_GB2312" w:cs="仿宋_GB2312"/>
          <w:sz w:val="32"/>
          <w:szCs w:val="32"/>
        </w:rPr>
        <w:t>下属二级单位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个，其中行政单位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个，参照公务员法管理的事业单位</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sz w:val="32"/>
          <w:szCs w:val="32"/>
        </w:rPr>
        <w:t>个，其他事业单位</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w:t>
      </w:r>
    </w:p>
    <w:p>
      <w:pPr>
        <w:pStyle w:val="2"/>
        <w:adjustRightInd w:val="0"/>
        <w:snapToGrid w:val="0"/>
        <w:spacing w:before="93" w:line="600" w:lineRule="exact"/>
        <w:ind w:firstLine="672" w:firstLineChars="21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纳入</w:t>
      </w:r>
      <w:r>
        <w:rPr>
          <w:rFonts w:hint="eastAsia" w:ascii="仿宋_GB2312" w:hAnsi="仿宋_GB2312" w:eastAsia="仿宋_GB2312" w:cs="仿宋_GB2312"/>
          <w:color w:val="000000"/>
          <w:sz w:val="32"/>
          <w:szCs w:val="32"/>
          <w:lang w:eastAsia="zh-CN"/>
        </w:rPr>
        <w:t>四川省商务厅</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年度部门决算编制范围的二级预算单位包括：</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四川省商务厅机关</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四川省商务厅机关服务中心</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四川省商务厅信息中心</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四川商务职业学院</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四川省商务学校</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四川省商务发展事务中心</w:t>
      </w:r>
    </w:p>
    <w:p>
      <w:pPr>
        <w:pStyle w:val="2"/>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7.四川省国际经济贸易研究所</w:t>
      </w:r>
    </w:p>
    <w:p>
      <w:pPr>
        <w:widowControl/>
        <w:jc w:val="both"/>
        <w:rPr>
          <w:rFonts w:ascii="仿宋" w:hAnsi="仿宋" w:eastAsia="仿宋"/>
          <w:color w:val="auto"/>
          <w:kern w:val="0"/>
          <w:sz w:val="32"/>
          <w:szCs w:val="32"/>
          <w:highlight w:val="none"/>
        </w:rPr>
      </w:pPr>
      <w:r>
        <w:rPr>
          <w:rFonts w:hint="eastAsia" w:ascii="仿宋" w:hAnsi="仿宋" w:eastAsia="仿宋"/>
          <w:color w:val="auto"/>
          <w:sz w:val="32"/>
          <w:szCs w:val="32"/>
          <w:highlight w:val="none"/>
          <w:lang w:val="en-US" w:eastAsia="zh-CN"/>
        </w:rPr>
        <w:t xml:space="preserve">     </w:t>
      </w:r>
      <w:r>
        <w:rPr>
          <w:rFonts w:ascii="仿宋" w:hAnsi="仿宋" w:eastAsia="仿宋"/>
          <w:color w:val="auto"/>
          <w:sz w:val="32"/>
          <w:szCs w:val="32"/>
          <w:highlight w:val="none"/>
        </w:rPr>
        <w:br w:type="page"/>
      </w:r>
    </w:p>
    <w:p>
      <w:pPr>
        <w:pStyle w:val="3"/>
        <w:ind w:right="440"/>
        <w:jc w:val="center"/>
        <w:rPr>
          <w:rStyle w:val="25"/>
          <w:rFonts w:ascii="黑体" w:hAnsi="黑体" w:eastAsia="黑体"/>
          <w:b w:val="0"/>
          <w:bCs/>
          <w:color w:val="auto"/>
          <w:highlight w:val="none"/>
        </w:rPr>
      </w:pPr>
      <w:bookmarkStart w:id="31" w:name="_Toc9767"/>
      <w:bookmarkStart w:id="32" w:name="_Toc1604916451_WPSOffice_Level1"/>
      <w:bookmarkStart w:id="33" w:name="_Toc15377204"/>
      <w:bookmarkStart w:id="34" w:name="_Toc242871338_WPSOffice_Level1"/>
      <w:bookmarkStart w:id="35"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2020年度</w:t>
      </w:r>
      <w:r>
        <w:rPr>
          <w:rStyle w:val="25"/>
          <w:rFonts w:hint="eastAsia" w:ascii="黑体" w:hAnsi="黑体" w:eastAsia="黑体"/>
          <w:b w:val="0"/>
          <w:bCs/>
          <w:color w:val="auto"/>
          <w:highlight w:val="none"/>
        </w:rPr>
        <w:t>部门决算情况说明</w:t>
      </w:r>
      <w:bookmarkEnd w:id="31"/>
      <w:bookmarkEnd w:id="32"/>
      <w:bookmarkEnd w:id="33"/>
      <w:bookmarkEnd w:id="34"/>
      <w:bookmarkEnd w:id="35"/>
    </w:p>
    <w:p>
      <w:pPr>
        <w:rPr>
          <w:color w:val="auto"/>
          <w:highlight w:val="none"/>
        </w:rPr>
      </w:pP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36" w:name="_Toc1005723878_WPSOffice_Level2"/>
      <w:bookmarkStart w:id="37" w:name="_Toc376169246_WPSOffice_Level2"/>
      <w:bookmarkStart w:id="38" w:name="_Toc11308"/>
      <w:bookmarkStart w:id="39" w:name="_Toc15377205"/>
      <w:bookmarkStart w:id="40" w:name="_Toc15396603"/>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36"/>
      <w:bookmarkEnd w:id="37"/>
      <w:bookmarkEnd w:id="38"/>
      <w:bookmarkEnd w:id="39"/>
      <w:bookmarkEnd w:id="40"/>
    </w:p>
    <w:p>
      <w:pPr>
        <w:spacing w:line="60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年度收、支总计</w:t>
      </w:r>
      <w:r>
        <w:rPr>
          <w:rFonts w:hint="eastAsia" w:ascii="仿宋_GB2312" w:hAnsi="仿宋_GB2312" w:eastAsia="仿宋_GB2312" w:cs="仿宋_GB2312"/>
          <w:color w:val="auto"/>
          <w:sz w:val="32"/>
          <w:szCs w:val="32"/>
          <w:highlight w:val="none"/>
          <w:lang w:val="en-US" w:eastAsia="zh-CN"/>
        </w:rPr>
        <w:t>50749.34</w:t>
      </w:r>
      <w:r>
        <w:rPr>
          <w:rFonts w:hint="eastAsia" w:ascii="仿宋_GB2312" w:hAnsi="仿宋_GB2312" w:eastAsia="仿宋_GB2312" w:cs="仿宋_GB2312"/>
          <w:color w:val="auto"/>
          <w:sz w:val="32"/>
          <w:szCs w:val="32"/>
          <w:highlight w:val="none"/>
        </w:rPr>
        <w:t>万元。与201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年相比，收、支总计各减少</w:t>
      </w:r>
      <w:r>
        <w:rPr>
          <w:rFonts w:hint="eastAsia" w:ascii="仿宋_GB2312" w:hAnsi="仿宋_GB2312" w:eastAsia="仿宋_GB2312" w:cs="仿宋_GB2312"/>
          <w:color w:val="auto"/>
          <w:sz w:val="32"/>
          <w:szCs w:val="32"/>
          <w:highlight w:val="none"/>
          <w:lang w:val="en-US" w:eastAsia="zh-CN"/>
        </w:rPr>
        <w:t>2996.54</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5.58</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年初结转结余较上年减少。</w:t>
      </w:r>
    </w:p>
    <w:p>
      <w:pPr>
        <w:pStyle w:val="2"/>
        <w:rPr>
          <w:rFonts w:hint="default" w:eastAsia="仿宋_GB2312"/>
          <w:lang w:val="en-US" w:eastAsia="zh-CN"/>
        </w:rPr>
      </w:pPr>
      <w:r>
        <w:rPr>
          <w:rFonts w:hint="eastAsia"/>
          <w:lang w:val="en-US" w:eastAsia="zh-CN"/>
        </w:rPr>
        <w:t xml:space="preserve">    </w:t>
      </w:r>
      <w:r>
        <w:drawing>
          <wp:inline distT="0" distB="0" distL="114300" distR="114300">
            <wp:extent cx="4362450" cy="2371725"/>
            <wp:effectExtent l="4445" t="4445" r="14605" b="508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（图1：收、支决算总计变动情况图）（柱状图）</w:t>
      </w: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41" w:name="_Toc25327"/>
      <w:bookmarkStart w:id="42" w:name="_Toc15396604"/>
      <w:bookmarkStart w:id="43" w:name="_Toc1499442466_WPSOffice_Level2"/>
      <w:bookmarkStart w:id="44" w:name="_Toc1600364920_WPSOffice_Level2"/>
      <w:bookmarkStart w:id="45" w:name="_Toc15377206"/>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41"/>
      <w:bookmarkEnd w:id="42"/>
      <w:bookmarkEnd w:id="43"/>
      <w:bookmarkEnd w:id="44"/>
      <w:bookmarkEnd w:id="45"/>
    </w:p>
    <w:p>
      <w:pPr>
        <w:spacing w:line="600" w:lineRule="exact"/>
        <w:ind w:firstLine="640" w:firstLineChars="200"/>
        <w:outlineLvl w:val="9"/>
        <w:rPr>
          <w:rFonts w:hint="eastAsia" w:ascii="仿宋_GB2312" w:hAnsi="仿宋_GB2312" w:eastAsia="仿宋_GB2312" w:cs="仿宋_GB2312"/>
          <w:color w:val="auto"/>
          <w:sz w:val="32"/>
          <w:szCs w:val="32"/>
          <w:highlight w:val="none"/>
        </w:rPr>
      </w:pPr>
      <w:bookmarkStart w:id="46" w:name="_Toc32367"/>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eastAsia="仿宋_GB2312" w:cs="仿宋_GB2312"/>
          <w:color w:val="auto"/>
          <w:sz w:val="32"/>
          <w:szCs w:val="32"/>
          <w:highlight w:val="none"/>
          <w:lang w:val="en-US" w:eastAsia="zh-CN"/>
        </w:rPr>
        <w:t>42940.11</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eastAsia="仿宋_GB2312" w:cs="仿宋_GB2312"/>
          <w:color w:val="auto"/>
          <w:sz w:val="32"/>
          <w:szCs w:val="32"/>
          <w:highlight w:val="none"/>
          <w:lang w:val="en-US" w:eastAsia="zh-CN"/>
        </w:rPr>
        <w:t>38105.69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88.74</w:t>
      </w:r>
      <w:r>
        <w:rPr>
          <w:rFonts w:hint="eastAsia" w:ascii="仿宋_GB2312" w:hAnsi="仿宋_GB2312" w:eastAsia="仿宋_GB2312" w:cs="仿宋_GB2312"/>
          <w:color w:val="auto"/>
          <w:sz w:val="32"/>
          <w:szCs w:val="32"/>
          <w:highlight w:val="none"/>
        </w:rPr>
        <w:t>%；政府性基金预算财政拨款收入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3913.79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9.11</w:t>
      </w:r>
      <w:r>
        <w:rPr>
          <w:rFonts w:hint="eastAsia" w:ascii="仿宋_GB2312" w:hAnsi="仿宋_GB2312" w:eastAsia="仿宋_GB2312" w:cs="仿宋_GB2312"/>
          <w:color w:val="auto"/>
          <w:sz w:val="32"/>
          <w:szCs w:val="32"/>
          <w:highlight w:val="none"/>
        </w:rPr>
        <w:t>%；经营收入775.03万元，占</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%；其他收入145.6万元，占</w:t>
      </w:r>
      <w:r>
        <w:rPr>
          <w:rFonts w:hint="eastAsia" w:ascii="仿宋_GB2312" w:hAnsi="仿宋_GB2312" w:eastAsia="仿宋_GB2312" w:cs="仿宋_GB2312"/>
          <w:color w:val="auto"/>
          <w:sz w:val="32"/>
          <w:szCs w:val="32"/>
          <w:highlight w:val="none"/>
          <w:lang w:val="en-US" w:eastAsia="zh-CN"/>
        </w:rPr>
        <w:t>0.34</w:t>
      </w:r>
      <w:r>
        <w:rPr>
          <w:rFonts w:hint="eastAsia" w:ascii="仿宋_GB2312" w:hAnsi="仿宋_GB2312" w:eastAsia="仿宋_GB2312" w:cs="仿宋_GB2312"/>
          <w:color w:val="auto"/>
          <w:sz w:val="32"/>
          <w:szCs w:val="32"/>
          <w:highlight w:val="none"/>
        </w:rPr>
        <w:t>%。</w:t>
      </w:r>
      <w:bookmarkEnd w:id="46"/>
    </w:p>
    <w:p>
      <w:pPr>
        <w:spacing w:line="600" w:lineRule="exact"/>
        <w:rPr>
          <w:rFonts w:hint="eastAsia"/>
          <w:lang w:val="en-US" w:eastAsia="zh-CN"/>
        </w:rPr>
      </w:pPr>
      <w:r>
        <w:drawing>
          <wp:anchor distT="0" distB="0" distL="114300" distR="114300" simplePos="0" relativeHeight="251658240" behindDoc="1" locked="0" layoutInCell="1" allowOverlap="1">
            <wp:simplePos x="0" y="0"/>
            <wp:positionH relativeFrom="column">
              <wp:posOffset>481330</wp:posOffset>
            </wp:positionH>
            <wp:positionV relativeFrom="page">
              <wp:posOffset>1042670</wp:posOffset>
            </wp:positionV>
            <wp:extent cx="4039870" cy="2086610"/>
            <wp:effectExtent l="5080" t="4445" r="12700" b="23495"/>
            <wp:wrapTight wrapText="bothSides">
              <wp:wrapPolygon>
                <wp:start x="-27" y="-46"/>
                <wp:lineTo x="-27" y="21449"/>
                <wp:lineTo x="21566" y="21449"/>
                <wp:lineTo x="21566" y="-46"/>
                <wp:lineTo x="-27" y="-46"/>
              </wp:wrapPolygon>
            </wp:wrapTight>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lang w:val="en-US" w:eastAsia="zh-CN"/>
        </w:rPr>
        <w:t xml:space="preserve">  </w:t>
      </w:r>
    </w:p>
    <w:p>
      <w:pPr>
        <w:spacing w:line="600" w:lineRule="exact"/>
        <w:rPr>
          <w:rFonts w:hint="eastAsia"/>
          <w:lang w:val="en-US" w:eastAsia="zh-CN"/>
        </w:rPr>
      </w:pPr>
    </w:p>
    <w:p>
      <w:pPr>
        <w:spacing w:line="600" w:lineRule="exact"/>
        <w:rPr>
          <w:rFonts w:hint="eastAsia"/>
          <w:lang w:val="en-US" w:eastAsia="zh-CN"/>
        </w:rPr>
      </w:pPr>
      <w:r>
        <w:rPr>
          <w:rFonts w:hint="eastAsia"/>
          <w:lang w:val="en-US" w:eastAsia="zh-CN"/>
        </w:rPr>
        <w:t xml:space="preserve">    </w:t>
      </w:r>
    </w:p>
    <w:p>
      <w:pPr>
        <w:spacing w:line="600" w:lineRule="exact"/>
        <w:rPr>
          <w:rFonts w:hint="eastAsia"/>
          <w:lang w:val="en-US" w:eastAsia="zh-CN"/>
        </w:rPr>
      </w:pPr>
    </w:p>
    <w:p>
      <w:pPr>
        <w:spacing w:line="600" w:lineRule="exact"/>
        <w:rPr>
          <w:rFonts w:hint="eastAsia"/>
          <w:lang w:val="en-US" w:eastAsia="zh-CN"/>
        </w:rPr>
      </w:pPr>
    </w:p>
    <w:p>
      <w:pPr>
        <w:spacing w:line="600" w:lineRule="exact"/>
        <w:rPr>
          <w:rFonts w:hint="eastAsia" w:ascii="仿宋" w:hAnsi="仿宋" w:eastAsia="仿宋"/>
          <w:color w:val="auto"/>
          <w:sz w:val="32"/>
          <w:szCs w:val="32"/>
          <w:highlight w:val="none"/>
        </w:rPr>
      </w:pPr>
    </w:p>
    <w:p>
      <w:pPr>
        <w:spacing w:line="600" w:lineRule="exact"/>
        <w:ind w:firstLine="640" w:firstLineChars="200"/>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（图2：收入决算结构图）（饼状图）</w:t>
      </w: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47" w:name="_Toc32033"/>
      <w:bookmarkStart w:id="48" w:name="_Toc2023370810_WPSOffice_Level2"/>
      <w:bookmarkStart w:id="49" w:name="_Toc15377207"/>
      <w:bookmarkStart w:id="50" w:name="_Toc21691068_WPSOffice_Level2"/>
      <w:bookmarkStart w:id="51" w:name="_Toc15396605"/>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47"/>
      <w:bookmarkEnd w:id="48"/>
      <w:bookmarkEnd w:id="49"/>
      <w:bookmarkEnd w:id="50"/>
      <w:bookmarkEnd w:id="51"/>
    </w:p>
    <w:p>
      <w:pPr>
        <w:spacing w:line="600" w:lineRule="exact"/>
        <w:ind w:firstLine="640" w:firstLineChars="200"/>
        <w:outlineLvl w:val="9"/>
        <w:rPr>
          <w:rFonts w:ascii="仿宋" w:hAnsi="仿宋" w:eastAsia="仿宋"/>
          <w:color w:val="auto"/>
          <w:sz w:val="32"/>
          <w:szCs w:val="32"/>
          <w:highlight w:val="none"/>
        </w:rPr>
      </w:pPr>
      <w:bookmarkStart w:id="52" w:name="_Toc32756"/>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年本年支出合计43818.08万元，其中：基本支出20070.</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
        </w:rPr>
        <w:t>45.8</w:t>
      </w:r>
      <w:r>
        <w:rPr>
          <w:rFonts w:hint="eastAsia" w:ascii="仿宋_GB2312" w:hAnsi="仿宋_GB2312" w:eastAsia="仿宋_GB2312" w:cs="仿宋_GB2312"/>
          <w:color w:val="auto"/>
          <w:sz w:val="32"/>
          <w:szCs w:val="32"/>
          <w:highlight w:val="none"/>
        </w:rPr>
        <w:t>%；项目支出22985.0</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
        </w:rPr>
        <w:t>52.46</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
        </w:rPr>
        <w:t>0</w:t>
      </w:r>
      <w:r>
        <w:rPr>
          <w:rFonts w:hint="eastAsia" w:ascii="仿宋_GB2312" w:hAnsi="仿宋_GB2312" w:eastAsia="仿宋_GB2312" w:cs="仿宋_GB2312"/>
          <w:color w:val="auto"/>
          <w:sz w:val="32"/>
          <w:szCs w:val="32"/>
          <w:highlight w:val="none"/>
        </w:rPr>
        <w:t>%；经营支出762.92万元，占</w:t>
      </w:r>
      <w:r>
        <w:rPr>
          <w:rFonts w:hint="eastAsia" w:ascii="仿宋_GB2312" w:hAnsi="仿宋_GB2312" w:eastAsia="仿宋_GB2312" w:cs="仿宋_GB2312"/>
          <w:color w:val="auto"/>
          <w:sz w:val="32"/>
          <w:szCs w:val="32"/>
          <w:highlight w:val="none"/>
          <w:lang w:val="en"/>
        </w:rPr>
        <w:t>1.74</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
        </w:rPr>
        <w:t>0</w:t>
      </w:r>
      <w:r>
        <w:rPr>
          <w:rFonts w:hint="eastAsia" w:ascii="仿宋_GB2312" w:hAnsi="仿宋_GB2312" w:eastAsia="仿宋_GB2312" w:cs="仿宋_GB2312"/>
          <w:color w:val="auto"/>
          <w:sz w:val="32"/>
          <w:szCs w:val="32"/>
          <w:highlight w:val="none"/>
        </w:rPr>
        <w:t>%。</w:t>
      </w:r>
      <w:bookmarkEnd w:id="52"/>
    </w:p>
    <w:p>
      <w:pPr>
        <w:spacing w:line="600" w:lineRule="exact"/>
        <w:ind w:firstLine="640"/>
        <w:rPr>
          <w:rFonts w:ascii="仿宋" w:hAnsi="仿宋" w:eastAsia="仿宋"/>
          <w:color w:val="auto"/>
          <w:sz w:val="32"/>
          <w:szCs w:val="32"/>
          <w:highlight w:val="none"/>
          <w:shd w:val="pct10" w:color="auto" w:fill="FFFFFF"/>
        </w:rPr>
      </w:pPr>
      <w:r>
        <w:drawing>
          <wp:anchor distT="0" distB="0" distL="114300" distR="114300" simplePos="0" relativeHeight="251659264" behindDoc="0" locked="0" layoutInCell="1" allowOverlap="1">
            <wp:simplePos x="0" y="0"/>
            <wp:positionH relativeFrom="column">
              <wp:posOffset>518795</wp:posOffset>
            </wp:positionH>
            <wp:positionV relativeFrom="paragraph">
              <wp:posOffset>118745</wp:posOffset>
            </wp:positionV>
            <wp:extent cx="3342640" cy="2390140"/>
            <wp:effectExtent l="5080" t="4445" r="5080" b="5715"/>
            <wp:wrapSquare wrapText="bothSides"/>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rPr>
          <w:rFonts w:hint="eastAsia" w:ascii="仿宋_GB2312" w:hAnsi="仿宋_GB2312" w:eastAsia="仿宋_GB2312" w:cs="仿宋_GB2312"/>
          <w:color w:val="auto"/>
          <w:sz w:val="32"/>
          <w:szCs w:val="32"/>
          <w:highlight w:val="none"/>
        </w:rPr>
      </w:pP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（图3：支出决算结构图）（饼状图）</w:t>
      </w:r>
    </w:p>
    <w:p>
      <w:pPr>
        <w:spacing w:line="600" w:lineRule="exact"/>
        <w:ind w:firstLine="640" w:firstLineChars="200"/>
        <w:outlineLvl w:val="1"/>
        <w:rPr>
          <w:rStyle w:val="26"/>
          <w:rFonts w:ascii="黑体" w:hAnsi="黑体" w:eastAsia="黑体"/>
          <w:b w:val="0"/>
          <w:color w:val="auto"/>
          <w:highlight w:val="none"/>
        </w:rPr>
      </w:pPr>
      <w:bookmarkStart w:id="53" w:name="_Toc15396606"/>
      <w:bookmarkStart w:id="54" w:name="_Toc15377208"/>
      <w:bookmarkStart w:id="55" w:name="_Toc658954795_WPSOffice_Level2"/>
      <w:bookmarkStart w:id="56" w:name="_Toc408009860_WPSOffice_Level2"/>
      <w:bookmarkStart w:id="57" w:name="_Toc26698"/>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53"/>
      <w:bookmarkEnd w:id="54"/>
      <w:bookmarkEnd w:id="55"/>
      <w:bookmarkEnd w:id="56"/>
      <w:bookmarkEnd w:id="57"/>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eastAsia="仿宋_GB2312" w:cs="仿宋_GB2312"/>
          <w:color w:val="auto"/>
          <w:sz w:val="32"/>
          <w:szCs w:val="32"/>
          <w:highlight w:val="none"/>
          <w:lang w:val="en-US" w:eastAsia="zh-CN"/>
        </w:rPr>
        <w:t>38137.69</w:t>
      </w:r>
      <w:r>
        <w:rPr>
          <w:rFonts w:hint="eastAsia" w:ascii="仿宋_GB2312" w:hAnsi="仿宋_GB2312" w:eastAsia="仿宋_GB2312" w:cs="仿宋_GB2312"/>
          <w:color w:val="auto"/>
          <w:sz w:val="32"/>
          <w:szCs w:val="32"/>
          <w:highlight w:val="none"/>
        </w:rPr>
        <w:t>万元。与201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年相比，财政拨款收、支总计各增加</w:t>
      </w:r>
      <w:r>
        <w:rPr>
          <w:rFonts w:hint="eastAsia" w:ascii="仿宋_GB2312" w:hAnsi="仿宋_GB2312" w:eastAsia="仿宋_GB2312" w:cs="仿宋_GB2312"/>
          <w:color w:val="auto"/>
          <w:sz w:val="32"/>
          <w:szCs w:val="32"/>
          <w:highlight w:val="none"/>
          <w:lang w:val="en-US" w:eastAsia="zh-CN"/>
        </w:rPr>
        <w:t>636.06</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1.70</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一般公共预算财政拨款较上年增加</w:t>
      </w:r>
      <w:r>
        <w:rPr>
          <w:rFonts w:hint="eastAsia" w:ascii="仿宋_GB2312" w:hAnsi="仿宋_GB2312" w:eastAsia="仿宋_GB2312" w:cs="仿宋_GB2312"/>
          <w:color w:val="auto"/>
          <w:sz w:val="32"/>
          <w:szCs w:val="32"/>
          <w:highlight w:val="none"/>
          <w:lang w:val="en-US" w:eastAsia="zh-CN"/>
        </w:rPr>
        <w:t>12604.06万元，年初财政拨款结转和结余减少11968万元。</w:t>
      </w:r>
    </w:p>
    <w:p>
      <w:pPr>
        <w:spacing w:line="600" w:lineRule="exact"/>
        <w:ind w:firstLine="420" w:firstLineChars="200"/>
        <w:rPr>
          <w:rFonts w:hint="eastAsia" w:ascii="仿宋" w:hAnsi="仿宋" w:eastAsia="仿宋"/>
          <w:color w:val="auto"/>
          <w:sz w:val="32"/>
          <w:szCs w:val="32"/>
          <w:highlight w:val="none"/>
        </w:rPr>
      </w:pPr>
      <w:r>
        <w:drawing>
          <wp:anchor distT="0" distB="0" distL="114300" distR="114300" simplePos="0" relativeHeight="251660288" behindDoc="0" locked="0" layoutInCell="1" allowOverlap="1">
            <wp:simplePos x="0" y="0"/>
            <wp:positionH relativeFrom="column">
              <wp:posOffset>528320</wp:posOffset>
            </wp:positionH>
            <wp:positionV relativeFrom="paragraph">
              <wp:posOffset>118745</wp:posOffset>
            </wp:positionV>
            <wp:extent cx="3971925" cy="2085975"/>
            <wp:effectExtent l="4445" t="4445" r="5080" b="5080"/>
            <wp:wrapSquare wrapText="bothSides"/>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pPr>
      <w:r>
        <w:rPr>
          <w:rFonts w:hint="eastAsia" w:ascii="仿宋_GB2312" w:hAnsi="仿宋_GB2312" w:eastAsia="仿宋_GB2312" w:cs="仿宋_GB2312"/>
          <w:color w:val="auto"/>
          <w:sz w:val="32"/>
          <w:szCs w:val="32"/>
          <w:highlight w:val="none"/>
        </w:rPr>
        <w:t>（图4：财政拨款收、支决算总计变动情况）（柱状图）</w:t>
      </w:r>
    </w:p>
    <w:p>
      <w:pPr>
        <w:spacing w:line="600" w:lineRule="exact"/>
        <w:ind w:firstLine="640" w:firstLineChars="200"/>
        <w:outlineLvl w:val="1"/>
        <w:rPr>
          <w:rStyle w:val="26"/>
          <w:rFonts w:ascii="黑体" w:hAnsi="黑体" w:eastAsia="黑体"/>
          <w:b w:val="0"/>
          <w:color w:val="auto"/>
          <w:highlight w:val="none"/>
        </w:rPr>
      </w:pPr>
      <w:bookmarkStart w:id="58" w:name="_Toc1211431010_WPSOffice_Level2"/>
      <w:bookmarkStart w:id="59" w:name="_Toc15377209"/>
      <w:bookmarkStart w:id="60" w:name="_Toc23045"/>
      <w:bookmarkStart w:id="61" w:name="_Toc742947876_WPSOffice_Level2"/>
      <w:bookmarkStart w:id="62"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58"/>
      <w:bookmarkEnd w:id="59"/>
      <w:bookmarkEnd w:id="60"/>
      <w:bookmarkEnd w:id="61"/>
      <w:bookmarkEnd w:id="62"/>
    </w:p>
    <w:p>
      <w:pPr>
        <w:spacing w:line="600" w:lineRule="exact"/>
        <w:ind w:firstLine="642" w:firstLineChars="200"/>
        <w:outlineLvl w:val="2"/>
        <w:rPr>
          <w:rFonts w:hint="eastAsia" w:ascii="楷体_GB2312" w:hAnsi="楷体_GB2312" w:eastAsia="楷体_GB2312" w:cs="楷体_GB2312"/>
          <w:b/>
          <w:color w:val="auto"/>
          <w:sz w:val="32"/>
          <w:szCs w:val="32"/>
          <w:highlight w:val="none"/>
        </w:rPr>
      </w:pPr>
      <w:bookmarkStart w:id="63" w:name="_Toc15377210"/>
      <w:r>
        <w:rPr>
          <w:rFonts w:hint="eastAsia" w:ascii="楷体_GB2312" w:hAnsi="楷体_GB2312" w:eastAsia="楷体_GB2312" w:cs="楷体_GB2312"/>
          <w:b/>
          <w:color w:val="auto"/>
          <w:sz w:val="32"/>
          <w:szCs w:val="32"/>
          <w:highlight w:val="none"/>
        </w:rPr>
        <w:t>（一）一般公共预算财政拨款支出决算总体情况</w:t>
      </w:r>
      <w:bookmarkEnd w:id="63"/>
    </w:p>
    <w:p>
      <w:pPr>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年一般公共预算财政拨款支出38099.5</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eastAsia="仿宋_GB2312" w:cs="仿宋_GB2312"/>
          <w:color w:val="auto"/>
          <w:sz w:val="32"/>
          <w:szCs w:val="32"/>
          <w:highlight w:val="none"/>
          <w:lang w:val="en-US" w:eastAsia="zh-CN"/>
        </w:rPr>
        <w:t>86.95</w:t>
      </w:r>
      <w:r>
        <w:rPr>
          <w:rFonts w:hint="eastAsia" w:ascii="仿宋_GB2312" w:hAnsi="仿宋_GB2312" w:eastAsia="仿宋_GB2312" w:cs="仿宋_GB2312"/>
          <w:color w:val="auto"/>
          <w:sz w:val="32"/>
          <w:szCs w:val="32"/>
          <w:highlight w:val="none"/>
        </w:rPr>
        <w:t>%。与201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年相比，一般公共预算财政拨款增加</w:t>
      </w:r>
      <w:r>
        <w:rPr>
          <w:rFonts w:hint="eastAsia" w:ascii="仿宋_GB2312" w:hAnsi="仿宋_GB2312" w:eastAsia="仿宋_GB2312" w:cs="仿宋_GB2312"/>
          <w:color w:val="auto"/>
          <w:sz w:val="32"/>
          <w:szCs w:val="32"/>
          <w:highlight w:val="none"/>
          <w:lang w:val="en-US" w:eastAsia="zh-CN"/>
        </w:rPr>
        <w:t>12636.17</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49.62</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财政拨付服保贷风险资金池补助资金</w:t>
      </w:r>
      <w:r>
        <w:rPr>
          <w:rFonts w:hint="eastAsia" w:ascii="仿宋_GB2312" w:hAnsi="仿宋_GB2312" w:eastAsia="仿宋_GB2312" w:cs="仿宋_GB2312"/>
          <w:color w:val="auto"/>
          <w:sz w:val="32"/>
          <w:szCs w:val="32"/>
          <w:highlight w:val="none"/>
          <w:lang w:val="en-US" w:eastAsia="zh-CN"/>
        </w:rPr>
        <w:t>1.2亿元。</w:t>
      </w:r>
    </w:p>
    <w:p>
      <w:pPr>
        <w:pStyle w:val="2"/>
        <w:rPr>
          <w:rFonts w:ascii="仿宋" w:hAnsi="仿宋" w:eastAsia="仿宋"/>
          <w:color w:val="auto"/>
          <w:sz w:val="32"/>
          <w:szCs w:val="32"/>
          <w:highlight w:val="none"/>
        </w:rPr>
      </w:pPr>
      <w:r>
        <w:rPr>
          <w:rFonts w:hint="eastAsia"/>
          <w:lang w:val="en-US" w:eastAsia="zh-CN"/>
        </w:rPr>
        <w:t xml:space="preserve">    </w:t>
      </w:r>
      <w:r>
        <w:drawing>
          <wp:inline distT="0" distB="0" distL="114300" distR="114300">
            <wp:extent cx="4477385" cy="1780540"/>
            <wp:effectExtent l="4445" t="4445" r="13970" b="571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（图5：一般公共预算财政拨款支出决算变动情况）（柱状图）</w:t>
      </w:r>
    </w:p>
    <w:p>
      <w:pPr>
        <w:spacing w:line="600" w:lineRule="exact"/>
        <w:ind w:firstLine="642" w:firstLineChars="200"/>
        <w:outlineLvl w:val="2"/>
        <w:rPr>
          <w:rFonts w:hint="eastAsia" w:ascii="楷体_GB2312" w:hAnsi="楷体_GB2312" w:eastAsia="楷体_GB2312" w:cs="楷体_GB2312"/>
          <w:b/>
          <w:color w:val="auto"/>
          <w:sz w:val="32"/>
          <w:szCs w:val="32"/>
          <w:highlight w:val="none"/>
        </w:rPr>
      </w:pPr>
      <w:bookmarkStart w:id="64" w:name="_Toc15377211"/>
      <w:r>
        <w:rPr>
          <w:rFonts w:hint="eastAsia" w:ascii="楷体_GB2312" w:hAnsi="楷体_GB2312" w:eastAsia="楷体_GB2312" w:cs="楷体_GB2312"/>
          <w:b/>
          <w:color w:val="auto"/>
          <w:sz w:val="32"/>
          <w:szCs w:val="32"/>
          <w:highlight w:val="none"/>
        </w:rPr>
        <w:t>（二）一般公共预算财政拨款支出决算结构情况</w:t>
      </w:r>
      <w:bookmarkEnd w:id="64"/>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年一般公共预算财政拨款支出38099.5</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5604.4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14.71</w:t>
      </w:r>
      <w:r>
        <w:rPr>
          <w:rFonts w:hint="eastAsia" w:ascii="仿宋_GB2312" w:hAnsi="仿宋_GB2312" w:eastAsia="仿宋_GB2312" w:cs="仿宋_GB2312"/>
          <w:color w:val="auto"/>
          <w:sz w:val="32"/>
          <w:szCs w:val="32"/>
          <w:highlight w:val="none"/>
        </w:rPr>
        <w:t>%；教育支出（类）</w:t>
      </w:r>
      <w:r>
        <w:rPr>
          <w:rFonts w:hint="eastAsia" w:ascii="仿宋_GB2312" w:hAnsi="仿宋_GB2312" w:eastAsia="仿宋_GB2312" w:cs="仿宋_GB2312"/>
          <w:color w:val="auto"/>
          <w:sz w:val="32"/>
          <w:szCs w:val="32"/>
          <w:highlight w:val="none"/>
          <w:lang w:val="en-US" w:eastAsia="zh-CN"/>
        </w:rPr>
        <w:t>14924.18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39.17</w:t>
      </w:r>
      <w:r>
        <w:rPr>
          <w:rFonts w:hint="eastAsia" w:ascii="仿宋_GB2312" w:hAnsi="仿宋_GB2312" w:eastAsia="仿宋_GB2312" w:cs="仿宋_GB2312"/>
          <w:color w:val="auto"/>
          <w:sz w:val="32"/>
          <w:szCs w:val="32"/>
          <w:highlight w:val="none"/>
        </w:rPr>
        <w:t>%；科学技术（类）支出</w:t>
      </w:r>
      <w:r>
        <w:rPr>
          <w:rFonts w:hint="eastAsia" w:ascii="仿宋_GB2312" w:hAnsi="仿宋_GB2312" w:eastAsia="仿宋_GB2312" w:cs="仿宋_GB2312"/>
          <w:color w:val="auto"/>
          <w:sz w:val="32"/>
          <w:szCs w:val="32"/>
          <w:highlight w:val="none"/>
          <w:lang w:val="en-US" w:eastAsia="zh-CN"/>
        </w:rPr>
        <w:t>180.23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0.47</w:t>
      </w:r>
      <w:r>
        <w:rPr>
          <w:rFonts w:hint="eastAsia" w:ascii="仿宋_GB2312" w:hAnsi="仿宋_GB2312" w:eastAsia="仿宋_GB2312" w:cs="仿宋_GB2312"/>
          <w:color w:val="auto"/>
          <w:sz w:val="32"/>
          <w:szCs w:val="32"/>
          <w:highlight w:val="none"/>
        </w:rPr>
        <w:t>%；社会保障和就业（类）支出</w:t>
      </w:r>
      <w:r>
        <w:rPr>
          <w:rFonts w:hint="eastAsia" w:ascii="仿宋_GB2312" w:hAnsi="仿宋_GB2312" w:eastAsia="仿宋_GB2312" w:cs="仿宋_GB2312"/>
          <w:color w:val="auto"/>
          <w:sz w:val="32"/>
          <w:szCs w:val="32"/>
          <w:highlight w:val="none"/>
          <w:lang w:val="en-US" w:eastAsia="zh-CN"/>
        </w:rPr>
        <w:t>1975.52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5.19</w:t>
      </w:r>
      <w:r>
        <w:rPr>
          <w:rFonts w:hint="eastAsia" w:ascii="仿宋_GB2312" w:hAnsi="仿宋_GB2312" w:eastAsia="仿宋_GB2312" w:cs="仿宋_GB2312"/>
          <w:color w:val="auto"/>
          <w:sz w:val="32"/>
          <w:szCs w:val="32"/>
          <w:highlight w:val="none"/>
        </w:rPr>
        <w:t>%；卫生健康（类）支出400.97万元，占</w:t>
      </w:r>
      <w:r>
        <w:rPr>
          <w:rFonts w:hint="eastAsia" w:ascii="仿宋_GB2312" w:hAnsi="仿宋_GB2312" w:eastAsia="仿宋_GB2312" w:cs="仿宋_GB2312"/>
          <w:color w:val="auto"/>
          <w:sz w:val="32"/>
          <w:szCs w:val="32"/>
          <w:highlight w:val="none"/>
          <w:lang w:val="en-US" w:eastAsia="zh-CN"/>
        </w:rPr>
        <w:t>1.05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商业服务业等（类）支出14234.94万元，占</w:t>
      </w:r>
      <w:r>
        <w:rPr>
          <w:rFonts w:hint="eastAsia" w:ascii="仿宋_GB2312" w:hAnsi="仿宋_GB2312" w:eastAsia="仿宋_GB2312" w:cs="仿宋_GB2312"/>
          <w:color w:val="auto"/>
          <w:sz w:val="32"/>
          <w:szCs w:val="32"/>
          <w:highlight w:val="none"/>
          <w:lang w:val="en-US" w:eastAsia="zh-CN"/>
        </w:rPr>
        <w:t>37.36%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住房保障</w:t>
      </w:r>
      <w:r>
        <w:rPr>
          <w:rFonts w:hint="eastAsia" w:ascii="仿宋_GB2312" w:hAnsi="仿宋_GB2312" w:eastAsia="仿宋_GB2312" w:cs="仿宋_GB2312"/>
          <w:color w:val="auto"/>
          <w:sz w:val="32"/>
          <w:szCs w:val="32"/>
          <w:highlight w:val="none"/>
          <w:lang w:eastAsia="zh-CN"/>
        </w:rPr>
        <w:t>（类）</w:t>
      </w:r>
      <w:r>
        <w:rPr>
          <w:rFonts w:hint="eastAsia" w:ascii="仿宋_GB2312" w:hAnsi="仿宋_GB2312" w:eastAsia="仿宋_GB2312" w:cs="仿宋_GB2312"/>
          <w:color w:val="auto"/>
          <w:sz w:val="32"/>
          <w:szCs w:val="32"/>
          <w:highlight w:val="none"/>
        </w:rPr>
        <w:t>支出774.3万元，占</w:t>
      </w:r>
      <w:r>
        <w:rPr>
          <w:rFonts w:hint="eastAsia" w:ascii="仿宋_GB2312" w:hAnsi="仿宋_GB2312" w:eastAsia="仿宋_GB2312" w:cs="仿宋_GB2312"/>
          <w:color w:val="auto"/>
          <w:sz w:val="32"/>
          <w:szCs w:val="32"/>
          <w:highlight w:val="none"/>
          <w:lang w:val="en-US" w:eastAsia="zh-CN"/>
        </w:rPr>
        <w:t>2.03</w:t>
      </w:r>
      <w:r>
        <w:rPr>
          <w:rFonts w:hint="eastAsia" w:ascii="仿宋_GB2312" w:hAnsi="仿宋_GB2312" w:eastAsia="仿宋_GB2312" w:cs="仿宋_GB2312"/>
          <w:color w:val="auto"/>
          <w:sz w:val="32"/>
          <w:szCs w:val="32"/>
          <w:highlight w:val="none"/>
        </w:rPr>
        <w:t>%；灾害防治及应急管理</w:t>
      </w:r>
      <w:r>
        <w:rPr>
          <w:rFonts w:hint="eastAsia" w:ascii="仿宋_GB2312" w:hAnsi="仿宋_GB2312" w:eastAsia="仿宋_GB2312" w:cs="仿宋_GB2312"/>
          <w:color w:val="auto"/>
          <w:sz w:val="32"/>
          <w:szCs w:val="32"/>
          <w:highlight w:val="none"/>
          <w:lang w:eastAsia="zh-CN"/>
        </w:rPr>
        <w:t>（类）</w:t>
      </w:r>
      <w:r>
        <w:rPr>
          <w:rFonts w:hint="eastAsia" w:ascii="仿宋_GB2312" w:hAnsi="仿宋_GB2312" w:eastAsia="仿宋_GB2312" w:cs="仿宋_GB2312"/>
          <w:color w:val="auto"/>
          <w:sz w:val="32"/>
          <w:szCs w:val="32"/>
          <w:highlight w:val="none"/>
        </w:rPr>
        <w:t>支出5</w:t>
      </w:r>
      <w:r>
        <w:rPr>
          <w:rFonts w:hint="eastAsia" w:ascii="仿宋_GB2312" w:hAnsi="仿宋_GB2312" w:eastAsia="仿宋_GB2312" w:cs="仿宋_GB2312"/>
          <w:color w:val="auto"/>
          <w:sz w:val="32"/>
          <w:szCs w:val="32"/>
          <w:highlight w:val="none"/>
          <w:lang w:eastAsia="zh-CN"/>
        </w:rPr>
        <w:t>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0.01</w:t>
      </w:r>
      <w:r>
        <w:rPr>
          <w:rFonts w:hint="eastAsia" w:ascii="仿宋_GB2312" w:hAnsi="仿宋_GB2312" w:eastAsia="仿宋_GB2312" w:cs="仿宋_GB2312"/>
          <w:color w:val="auto"/>
          <w:sz w:val="32"/>
          <w:szCs w:val="32"/>
          <w:highlight w:val="none"/>
        </w:rPr>
        <w:t>%。</w:t>
      </w:r>
    </w:p>
    <w:p>
      <w:pPr>
        <w:pStyle w:val="2"/>
        <w:rPr>
          <w:rFonts w:ascii="仿宋" w:hAnsi="仿宋" w:eastAsia="仿宋"/>
          <w:color w:val="auto"/>
          <w:sz w:val="32"/>
          <w:szCs w:val="32"/>
          <w:highlight w:val="none"/>
        </w:rPr>
      </w:pPr>
      <w:r>
        <w:rPr>
          <w:rFonts w:hint="eastAsia"/>
          <w:lang w:val="en-US" w:eastAsia="zh-CN"/>
        </w:rPr>
        <w:t xml:space="preserve">    </w:t>
      </w:r>
      <w:r>
        <w:drawing>
          <wp:inline distT="0" distB="0" distL="114300" distR="114300">
            <wp:extent cx="4124960" cy="2515870"/>
            <wp:effectExtent l="4445" t="5080" r="23495" b="1270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（图6：一般公共预算财政拨款支出决算结构）（饼状图）</w:t>
      </w:r>
    </w:p>
    <w:p>
      <w:pPr>
        <w:spacing w:line="600" w:lineRule="exact"/>
        <w:ind w:firstLine="642" w:firstLineChars="200"/>
        <w:outlineLvl w:val="2"/>
        <w:rPr>
          <w:rFonts w:hint="eastAsia" w:ascii="楷体_GB2312" w:hAnsi="楷体_GB2312" w:eastAsia="楷体_GB2312" w:cs="楷体_GB2312"/>
          <w:b/>
          <w:color w:val="auto"/>
          <w:sz w:val="32"/>
          <w:szCs w:val="32"/>
          <w:highlight w:val="none"/>
        </w:rPr>
      </w:pPr>
      <w:bookmarkStart w:id="65" w:name="_Toc15377212"/>
      <w:r>
        <w:rPr>
          <w:rFonts w:hint="eastAsia" w:ascii="楷体_GB2312" w:hAnsi="楷体_GB2312" w:eastAsia="楷体_GB2312" w:cs="楷体_GB2312"/>
          <w:b/>
          <w:color w:val="auto"/>
          <w:sz w:val="32"/>
          <w:szCs w:val="32"/>
          <w:highlight w:val="none"/>
        </w:rPr>
        <w:t>（三）一般公共预算财政拨款支出决算具体情况</w:t>
      </w:r>
      <w:bookmarkEnd w:id="65"/>
    </w:p>
    <w:p>
      <w:pPr>
        <w:spacing w:line="600" w:lineRule="exact"/>
        <w:ind w:firstLine="642" w:firstLineChars="200"/>
        <w:outlineLvl w:val="2"/>
        <w:rPr>
          <w:rFonts w:hint="eastAsia" w:ascii="仿宋_GB2312" w:hAnsi="仿宋_GB2312" w:eastAsia="仿宋_GB2312" w:cs="仿宋_GB2312"/>
          <w:color w:val="auto"/>
          <w:sz w:val="32"/>
          <w:szCs w:val="32"/>
          <w:highlight w:val="none"/>
        </w:rPr>
      </w:pPr>
      <w:bookmarkStart w:id="66" w:name="_Toc15377444"/>
      <w:bookmarkStart w:id="67" w:name="_Toc15378460"/>
      <w:bookmarkStart w:id="68" w:name="_Toc15377213"/>
      <w:r>
        <w:rPr>
          <w:rFonts w:hint="eastAsia" w:ascii="仿宋_GB2312" w:hAnsi="仿宋_GB2312" w:eastAsia="仿宋_GB2312" w:cs="仿宋_GB2312"/>
          <w:b/>
          <w:color w:val="auto"/>
          <w:sz w:val="32"/>
          <w:szCs w:val="32"/>
          <w:highlight w:val="none"/>
        </w:rPr>
        <w:t>20</w:t>
      </w:r>
      <w:r>
        <w:rPr>
          <w:rFonts w:hint="eastAsia" w:ascii="仿宋_GB2312" w:hAnsi="仿宋_GB2312" w:eastAsia="仿宋_GB2312" w:cs="仿宋_GB2312"/>
          <w:b/>
          <w:color w:val="auto"/>
          <w:sz w:val="32"/>
          <w:szCs w:val="32"/>
          <w:highlight w:val="none"/>
          <w:lang w:val="en-US" w:eastAsia="zh-CN"/>
        </w:rPr>
        <w:t>20</w:t>
      </w:r>
      <w:r>
        <w:rPr>
          <w:rFonts w:hint="eastAsia" w:ascii="仿宋_GB2312" w:hAnsi="仿宋_GB2312" w:eastAsia="仿宋_GB2312" w:cs="仿宋_GB2312"/>
          <w:b/>
          <w:color w:val="auto"/>
          <w:sz w:val="32"/>
          <w:szCs w:val="32"/>
          <w:highlight w:val="none"/>
        </w:rPr>
        <w:t>年</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般公共预算支出决算数为38099.5</w:t>
      </w:r>
      <w:r>
        <w:rPr>
          <w:rFonts w:hint="eastAsia" w:ascii="仿宋_GB2312" w:hAnsi="仿宋_GB2312" w:eastAsia="仿宋_GB2312" w:cs="仿宋_GB2312"/>
          <w:b/>
          <w:color w:val="auto"/>
          <w:sz w:val="32"/>
          <w:szCs w:val="32"/>
          <w:highlight w:val="none"/>
          <w:lang w:val="en-US" w:eastAsia="zh-CN"/>
        </w:rPr>
        <w:t>4万元</w:t>
      </w:r>
      <w:r>
        <w:rPr>
          <w:rFonts w:hint="eastAsia" w:ascii="仿宋_GB2312" w:hAnsi="仿宋_GB2312" w:eastAsia="仿宋_GB2312" w:cs="仿宋_GB2312"/>
          <w:b/>
          <w:color w:val="auto"/>
          <w:sz w:val="32"/>
          <w:szCs w:val="32"/>
          <w:highlight w:val="none"/>
        </w:rPr>
        <w:t>，完</w:t>
      </w:r>
      <w:r>
        <w:rPr>
          <w:rStyle w:val="14"/>
          <w:rFonts w:hint="eastAsia" w:ascii="仿宋_GB2312" w:hAnsi="仿宋_GB2312" w:eastAsia="仿宋_GB2312" w:cs="仿宋_GB2312"/>
          <w:bCs/>
          <w:color w:val="auto"/>
          <w:sz w:val="32"/>
          <w:szCs w:val="32"/>
          <w:highlight w:val="none"/>
        </w:rPr>
        <w:t>成预算</w:t>
      </w:r>
      <w:r>
        <w:rPr>
          <w:rStyle w:val="14"/>
          <w:rFonts w:hint="eastAsia" w:ascii="仿宋_GB2312" w:hAnsi="仿宋_GB2312" w:eastAsia="仿宋_GB2312" w:cs="仿宋_GB2312"/>
          <w:bCs/>
          <w:color w:val="auto"/>
          <w:sz w:val="32"/>
          <w:szCs w:val="32"/>
          <w:highlight w:val="none"/>
          <w:lang w:val="en-US" w:eastAsia="zh-CN"/>
        </w:rPr>
        <w:t>94.00</w:t>
      </w:r>
      <w:r>
        <w:rPr>
          <w:rStyle w:val="14"/>
          <w:rFonts w:hint="eastAsia" w:ascii="仿宋_GB2312" w:hAnsi="仿宋_GB2312" w:eastAsia="仿宋_GB2312" w:cs="仿宋_GB2312"/>
          <w:bCs/>
          <w:color w:val="auto"/>
          <w:sz w:val="32"/>
          <w:szCs w:val="32"/>
          <w:highlight w:val="none"/>
        </w:rPr>
        <w:t>%。其中：</w:t>
      </w:r>
      <w:bookmarkEnd w:id="66"/>
      <w:bookmarkEnd w:id="67"/>
      <w:bookmarkEnd w:id="68"/>
    </w:p>
    <w:p>
      <w:pPr>
        <w:pStyle w:val="31"/>
        <w:autoSpaceDN w:val="0"/>
        <w:ind w:firstLine="640" w:firstLineChars="200"/>
        <w:jc w:val="both"/>
        <w:textAlignment w:val="bottom"/>
        <w:rPr>
          <w:rStyle w:val="32"/>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color w:val="000000"/>
          <w:sz w:val="32"/>
          <w:highlight w:val="none"/>
        </w:rPr>
        <w:t>1.一般公共服务支出（类）</w:t>
      </w:r>
      <w:r>
        <w:rPr>
          <w:rFonts w:hint="eastAsia" w:ascii="仿宋_GB2312" w:hAnsi="仿宋_GB2312" w:eastAsia="仿宋_GB2312" w:cs="仿宋_GB2312"/>
          <w:color w:val="000000"/>
          <w:sz w:val="32"/>
          <w:highlight w:val="none"/>
          <w:lang w:eastAsia="zh-CN"/>
        </w:rPr>
        <w:t>政府办公厅（室）及相关机构事务</w:t>
      </w:r>
      <w:r>
        <w:rPr>
          <w:rFonts w:hint="eastAsia" w:ascii="仿宋_GB2312" w:hAnsi="仿宋_GB2312" w:eastAsia="仿宋_GB2312" w:cs="仿宋_GB2312"/>
          <w:color w:val="000000"/>
          <w:sz w:val="32"/>
          <w:highlight w:val="none"/>
        </w:rPr>
        <w:t>（款）</w:t>
      </w:r>
      <w:r>
        <w:rPr>
          <w:rFonts w:hint="eastAsia" w:ascii="仿宋_GB2312" w:hAnsi="仿宋_GB2312" w:eastAsia="仿宋_GB2312" w:cs="仿宋_GB2312"/>
          <w:color w:val="000000"/>
          <w:sz w:val="32"/>
          <w:highlight w:val="none"/>
          <w:lang w:eastAsia="zh-CN"/>
        </w:rPr>
        <w:t>其他政府办公厅（室）及相关机构事务支出</w:t>
      </w:r>
      <w:r>
        <w:rPr>
          <w:rFonts w:hint="eastAsia" w:ascii="仿宋_GB2312" w:hAnsi="仿宋_GB2312" w:eastAsia="仿宋_GB2312" w:cs="仿宋_GB2312"/>
          <w:color w:val="000000"/>
          <w:sz w:val="32"/>
          <w:highlight w:val="none"/>
        </w:rPr>
        <w:t>（项）：支出决算为</w:t>
      </w:r>
      <w:r>
        <w:rPr>
          <w:rFonts w:hint="eastAsia" w:ascii="仿宋_GB2312" w:hAnsi="仿宋_GB2312" w:eastAsia="仿宋_GB2312" w:cs="仿宋_GB2312"/>
          <w:color w:val="000000"/>
          <w:sz w:val="32"/>
          <w:highlight w:val="none"/>
          <w:lang w:val="en-US" w:eastAsia="zh-CN"/>
        </w:rPr>
        <w:t>21.12</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highlight w:val="none"/>
        </w:rPr>
        <w:t>%</w:t>
      </w:r>
      <w:r>
        <w:rPr>
          <w:rStyle w:val="32"/>
          <w:rFonts w:hint="eastAsia" w:ascii="仿宋_GB2312" w:hAnsi="仿宋_GB2312" w:eastAsia="仿宋_GB2312" w:cs="仿宋_GB2312"/>
          <w:b w:val="0"/>
          <w:bCs w:val="0"/>
          <w:color w:val="000000"/>
          <w:sz w:val="32"/>
          <w:szCs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lang w:val="en-US" w:eastAsia="zh-CN"/>
        </w:rPr>
      </w:pPr>
      <w:r>
        <w:rPr>
          <w:rStyle w:val="32"/>
          <w:rFonts w:hint="eastAsia" w:ascii="仿宋_GB2312" w:hAnsi="仿宋_GB2312" w:eastAsia="仿宋_GB2312" w:cs="仿宋_GB2312"/>
          <w:b w:val="0"/>
          <w:bCs w:val="0"/>
          <w:color w:val="000000"/>
          <w:sz w:val="32"/>
          <w:szCs w:val="32"/>
          <w:highlight w:val="none"/>
          <w:lang w:val="en-US" w:eastAsia="zh-CN"/>
        </w:rPr>
        <w:t>2.</w:t>
      </w:r>
      <w:r>
        <w:rPr>
          <w:rFonts w:hint="eastAsia" w:ascii="仿宋_GB2312" w:hAnsi="仿宋_GB2312" w:eastAsia="仿宋_GB2312" w:cs="仿宋_GB2312"/>
          <w:color w:val="000000"/>
          <w:sz w:val="32"/>
          <w:highlight w:val="none"/>
        </w:rPr>
        <w:t>一般公共服务支出（类）</w:t>
      </w:r>
      <w:r>
        <w:rPr>
          <w:rFonts w:hint="eastAsia" w:ascii="仿宋_GB2312" w:hAnsi="仿宋_GB2312" w:eastAsia="仿宋_GB2312" w:cs="仿宋_GB2312"/>
          <w:color w:val="000000"/>
          <w:sz w:val="32"/>
          <w:highlight w:val="none"/>
          <w:lang w:eastAsia="zh-CN"/>
        </w:rPr>
        <w:t>发展与改革事务（款）行政运行（项）：支出决算为</w:t>
      </w:r>
      <w:r>
        <w:rPr>
          <w:rFonts w:hint="eastAsia" w:ascii="仿宋_GB2312" w:hAnsi="仿宋_GB2312" w:eastAsia="仿宋_GB2312" w:cs="仿宋_GB2312"/>
          <w:color w:val="000000"/>
          <w:sz w:val="32"/>
          <w:highlight w:val="none"/>
          <w:lang w:val="en-US" w:eastAsia="zh-CN"/>
        </w:rPr>
        <w:t>101.04万元，完成预算100%。</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lang w:val="en-US" w:eastAsia="zh-CN"/>
        </w:rPr>
        <w:t>3</w:t>
      </w:r>
      <w:r>
        <w:rPr>
          <w:rFonts w:hint="eastAsia" w:ascii="仿宋_GB2312" w:hAnsi="仿宋_GB2312" w:eastAsia="仿宋_GB2312" w:cs="仿宋_GB2312"/>
          <w:color w:val="000000"/>
          <w:sz w:val="32"/>
          <w:highlight w:val="none"/>
        </w:rPr>
        <w:t>.一般公共服务支出（类）商贸事务（款）行政运行（项）：支出决算为</w:t>
      </w:r>
      <w:r>
        <w:rPr>
          <w:rFonts w:hint="eastAsia" w:ascii="仿宋_GB2312" w:hAnsi="仿宋_GB2312" w:eastAsia="仿宋_GB2312" w:cs="仿宋_GB2312"/>
          <w:color w:val="000000"/>
          <w:sz w:val="32"/>
          <w:highlight w:val="none"/>
          <w:lang w:val="en-US" w:eastAsia="zh-CN"/>
        </w:rPr>
        <w:t>2439.28</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98.36</w:t>
      </w:r>
      <w:r>
        <w:rPr>
          <w:rFonts w:hint="eastAsia" w:ascii="仿宋_GB2312" w:hAnsi="仿宋_GB2312" w:eastAsia="仿宋_GB2312" w:cs="仿宋_GB2312"/>
          <w:color w:val="000000"/>
          <w:sz w:val="32"/>
          <w:highlight w:val="none"/>
        </w:rPr>
        <w:t>%，决算数小于预算数的主要原因是厅机关厉行节约，公用经费有部分</w:t>
      </w:r>
      <w:r>
        <w:rPr>
          <w:rFonts w:hint="eastAsia" w:ascii="仿宋_GB2312" w:hAnsi="仿宋_GB2312" w:eastAsia="仿宋_GB2312" w:cs="仿宋_GB2312"/>
          <w:color w:val="000000"/>
          <w:sz w:val="32"/>
          <w:highlight w:val="none"/>
          <w:lang w:eastAsia="zh-CN"/>
        </w:rPr>
        <w:t>结余</w:t>
      </w:r>
      <w:r>
        <w:rPr>
          <w:rStyle w:val="32"/>
          <w:rFonts w:hint="eastAsia" w:ascii="仿宋_GB2312" w:hAnsi="仿宋_GB2312" w:eastAsia="仿宋_GB2312" w:cs="仿宋_GB2312"/>
          <w:b w:val="0"/>
          <w:bCs w:val="0"/>
          <w:color w:val="000000"/>
          <w:sz w:val="32"/>
          <w:szCs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lang w:val="en-US" w:eastAsia="zh-CN"/>
        </w:rPr>
        <w:t>4</w:t>
      </w:r>
      <w:r>
        <w:rPr>
          <w:rFonts w:hint="eastAsia" w:ascii="仿宋_GB2312" w:hAnsi="仿宋_GB2312" w:eastAsia="仿宋_GB2312" w:cs="仿宋_GB2312"/>
          <w:color w:val="000000"/>
          <w:sz w:val="32"/>
          <w:highlight w:val="none"/>
        </w:rPr>
        <w:t>.一般公共服务支出（类）商贸事务（款）一般行政管理事务（项）：支出决算为</w:t>
      </w:r>
      <w:r>
        <w:rPr>
          <w:rFonts w:hint="eastAsia" w:ascii="仿宋_GB2312" w:hAnsi="仿宋_GB2312" w:eastAsia="仿宋_GB2312" w:cs="仿宋_GB2312"/>
          <w:color w:val="000000"/>
          <w:sz w:val="32"/>
          <w:highlight w:val="none"/>
          <w:lang w:val="en-US" w:eastAsia="zh-CN"/>
        </w:rPr>
        <w:t>1047.66</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lang w:val="en-US" w:eastAsia="zh-CN"/>
        </w:rPr>
        <w:t>5</w:t>
      </w:r>
      <w:r>
        <w:rPr>
          <w:rFonts w:hint="eastAsia" w:ascii="仿宋_GB2312" w:hAnsi="仿宋_GB2312" w:eastAsia="仿宋_GB2312" w:cs="仿宋_GB2312"/>
          <w:color w:val="000000"/>
          <w:sz w:val="32"/>
          <w:highlight w:val="none"/>
        </w:rPr>
        <w:t>.一般公共服务支出（类）商贸事务（款）机关服务（项）：支出决算为</w:t>
      </w:r>
      <w:r>
        <w:rPr>
          <w:rFonts w:hint="eastAsia" w:ascii="仿宋_GB2312" w:hAnsi="仿宋_GB2312" w:eastAsia="仿宋_GB2312" w:cs="仿宋_GB2312"/>
          <w:color w:val="000000"/>
          <w:sz w:val="32"/>
          <w:highlight w:val="none"/>
          <w:lang w:val="en-US" w:eastAsia="zh-CN"/>
        </w:rPr>
        <w:t>747.15</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lang w:val="en-US" w:eastAsia="zh-CN"/>
        </w:rPr>
        <w:t>6</w:t>
      </w:r>
      <w:r>
        <w:rPr>
          <w:rFonts w:hint="eastAsia" w:ascii="仿宋_GB2312" w:hAnsi="仿宋_GB2312" w:eastAsia="仿宋_GB2312" w:cs="仿宋_GB2312"/>
          <w:color w:val="000000"/>
          <w:sz w:val="32"/>
          <w:highlight w:val="none"/>
        </w:rPr>
        <w:t>.一般公共服务支出（类）商贸事务（款）事业运行（项）：支出决算为</w:t>
      </w:r>
      <w:r>
        <w:rPr>
          <w:rFonts w:hint="eastAsia" w:ascii="仿宋_GB2312" w:hAnsi="仿宋_GB2312" w:eastAsia="仿宋_GB2312" w:cs="仿宋_GB2312"/>
          <w:color w:val="000000"/>
          <w:sz w:val="32"/>
          <w:highlight w:val="none"/>
          <w:lang w:val="en-US" w:eastAsia="zh-CN"/>
        </w:rPr>
        <w:t>121.87</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99.02</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决算数小于预算的主要原因是</w:t>
      </w:r>
      <w:r>
        <w:rPr>
          <w:rFonts w:hint="eastAsia" w:ascii="仿宋_GB2312" w:hAnsi="仿宋_GB2312" w:eastAsia="仿宋_GB2312" w:cs="仿宋_GB2312"/>
          <w:color w:val="000000"/>
          <w:sz w:val="32"/>
          <w:highlight w:val="none"/>
          <w:lang w:eastAsia="zh-CN"/>
        </w:rPr>
        <w:t>四川省商务厅信息中心其他对个人和家庭的补助、其他工资福利支出有零星结余</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lang w:val="en-US" w:eastAsia="zh-CN"/>
        </w:rPr>
        <w:t>7</w:t>
      </w:r>
      <w:r>
        <w:rPr>
          <w:rFonts w:hint="eastAsia" w:ascii="仿宋_GB2312" w:hAnsi="仿宋_GB2312" w:eastAsia="仿宋_GB2312" w:cs="仿宋_GB2312"/>
          <w:color w:val="000000"/>
          <w:sz w:val="32"/>
          <w:highlight w:val="none"/>
        </w:rPr>
        <w:t>.一般公共服务支出（类）商贸事务（款）其他商贸事务支出（项）：支出决算为</w:t>
      </w:r>
      <w:r>
        <w:rPr>
          <w:rFonts w:hint="eastAsia" w:ascii="仿宋_GB2312" w:hAnsi="仿宋_GB2312" w:eastAsia="仿宋_GB2312" w:cs="仿宋_GB2312"/>
          <w:color w:val="000000"/>
          <w:sz w:val="32"/>
          <w:highlight w:val="none"/>
          <w:lang w:val="en-US" w:eastAsia="zh-CN"/>
        </w:rPr>
        <w:t>1075.48</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99.96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val="en-US" w:eastAsia="zh-CN"/>
        </w:rPr>
        <w:t>,</w:t>
      </w:r>
      <w:r>
        <w:rPr>
          <w:rFonts w:hint="eastAsia" w:ascii="仿宋_GB2312" w:hAnsi="仿宋_GB2312" w:eastAsia="仿宋_GB2312" w:cs="仿宋_GB2312"/>
          <w:color w:val="000000"/>
          <w:sz w:val="32"/>
          <w:highlight w:val="none"/>
        </w:rPr>
        <w:t>决算数小于预算的主要原因是</w:t>
      </w:r>
      <w:r>
        <w:rPr>
          <w:rFonts w:hint="eastAsia" w:ascii="仿宋_GB2312" w:hAnsi="仿宋_GB2312" w:eastAsia="仿宋_GB2312" w:cs="仿宋_GB2312"/>
          <w:color w:val="000000"/>
          <w:sz w:val="32"/>
          <w:highlight w:val="none"/>
          <w:lang w:eastAsia="zh-CN"/>
        </w:rPr>
        <w:t>四川省商务厅信息中心、四川省商务发展事务中心商品和服务中出有零星结余</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lang w:val="en-US" w:eastAsia="zh-CN"/>
        </w:rPr>
        <w:t>8</w:t>
      </w:r>
      <w:r>
        <w:rPr>
          <w:rFonts w:hint="eastAsia" w:ascii="仿宋_GB2312" w:hAnsi="仿宋_GB2312" w:eastAsia="仿宋_GB2312" w:cs="仿宋_GB2312"/>
          <w:color w:val="000000"/>
          <w:sz w:val="32"/>
          <w:highlight w:val="none"/>
        </w:rPr>
        <w:t>.一般公共服务支出（类）</w:t>
      </w:r>
      <w:r>
        <w:rPr>
          <w:rFonts w:hint="eastAsia" w:ascii="仿宋_GB2312" w:hAnsi="仿宋_GB2312" w:eastAsia="仿宋_GB2312" w:cs="仿宋_GB2312"/>
          <w:color w:val="000000"/>
          <w:sz w:val="32"/>
          <w:highlight w:val="none"/>
          <w:lang w:eastAsia="zh-CN"/>
        </w:rPr>
        <w:t>组织事务</w:t>
      </w:r>
      <w:r>
        <w:rPr>
          <w:rFonts w:hint="eastAsia" w:ascii="仿宋_GB2312" w:hAnsi="仿宋_GB2312" w:eastAsia="仿宋_GB2312" w:cs="仿宋_GB2312"/>
          <w:color w:val="000000"/>
          <w:sz w:val="32"/>
          <w:highlight w:val="none"/>
        </w:rPr>
        <w:t>（款）</w:t>
      </w:r>
      <w:r>
        <w:rPr>
          <w:rFonts w:hint="eastAsia" w:ascii="仿宋_GB2312" w:hAnsi="仿宋_GB2312" w:eastAsia="仿宋_GB2312" w:cs="仿宋_GB2312"/>
          <w:color w:val="000000"/>
          <w:sz w:val="32"/>
          <w:highlight w:val="none"/>
          <w:lang w:eastAsia="zh-CN"/>
        </w:rPr>
        <w:t>一般行政管理事务</w:t>
      </w:r>
      <w:r>
        <w:rPr>
          <w:rFonts w:hint="eastAsia" w:ascii="仿宋_GB2312" w:hAnsi="仿宋_GB2312" w:eastAsia="仿宋_GB2312" w:cs="仿宋_GB2312"/>
          <w:color w:val="000000"/>
          <w:sz w:val="32"/>
          <w:highlight w:val="none"/>
        </w:rPr>
        <w:t>（项）：支出决算为</w:t>
      </w:r>
      <w:r>
        <w:rPr>
          <w:rFonts w:hint="eastAsia" w:ascii="仿宋_GB2312" w:hAnsi="仿宋_GB2312" w:eastAsia="仿宋_GB2312" w:cs="仿宋_GB2312"/>
          <w:color w:val="000000"/>
          <w:sz w:val="32"/>
          <w:highlight w:val="none"/>
          <w:lang w:val="en-US" w:eastAsia="zh-CN"/>
        </w:rPr>
        <w:t>9</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lang w:val="en-US" w:eastAsia="zh-CN"/>
        </w:rPr>
        <w:t>9</w:t>
      </w:r>
      <w:r>
        <w:rPr>
          <w:rFonts w:hint="eastAsia" w:ascii="仿宋_GB2312" w:hAnsi="仿宋_GB2312" w:eastAsia="仿宋_GB2312" w:cs="仿宋_GB2312"/>
          <w:color w:val="000000"/>
          <w:sz w:val="32"/>
          <w:highlight w:val="none"/>
        </w:rPr>
        <w:t>.一般公共服务支出（类）</w:t>
      </w:r>
      <w:r>
        <w:rPr>
          <w:rFonts w:hint="eastAsia" w:ascii="仿宋_GB2312" w:hAnsi="仿宋_GB2312" w:eastAsia="仿宋_GB2312" w:cs="仿宋_GB2312"/>
          <w:color w:val="000000"/>
          <w:sz w:val="32"/>
          <w:highlight w:val="none"/>
          <w:lang w:eastAsia="zh-CN"/>
        </w:rPr>
        <w:t>市场监督管理</w:t>
      </w:r>
      <w:r>
        <w:rPr>
          <w:rFonts w:hint="eastAsia" w:ascii="仿宋_GB2312" w:hAnsi="仿宋_GB2312" w:eastAsia="仿宋_GB2312" w:cs="仿宋_GB2312"/>
          <w:color w:val="000000"/>
          <w:sz w:val="32"/>
          <w:highlight w:val="none"/>
        </w:rPr>
        <w:t>事务（款）其他</w:t>
      </w:r>
      <w:r>
        <w:rPr>
          <w:rFonts w:hint="eastAsia" w:ascii="仿宋_GB2312" w:hAnsi="仿宋_GB2312" w:eastAsia="仿宋_GB2312" w:cs="仿宋_GB2312"/>
          <w:color w:val="000000"/>
          <w:sz w:val="32"/>
          <w:highlight w:val="none"/>
          <w:lang w:eastAsia="zh-CN"/>
        </w:rPr>
        <w:t>市场监督管理事务</w:t>
      </w:r>
      <w:r>
        <w:rPr>
          <w:rFonts w:hint="eastAsia" w:ascii="仿宋_GB2312" w:hAnsi="仿宋_GB2312" w:eastAsia="仿宋_GB2312" w:cs="仿宋_GB2312"/>
          <w:color w:val="000000"/>
          <w:sz w:val="32"/>
          <w:highlight w:val="none"/>
        </w:rPr>
        <w:t>（项）：支出决算为12万元，完成预算</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lang w:val="en-US" w:eastAsia="zh-CN"/>
        </w:rPr>
        <w:t>10</w:t>
      </w:r>
      <w:r>
        <w:rPr>
          <w:rFonts w:hint="eastAsia" w:ascii="仿宋_GB2312" w:hAnsi="仿宋_GB2312" w:eastAsia="仿宋_GB2312" w:cs="仿宋_GB2312"/>
          <w:color w:val="000000"/>
          <w:sz w:val="32"/>
          <w:highlight w:val="none"/>
        </w:rPr>
        <w:t>.一般公共服务支出（类）</w:t>
      </w:r>
      <w:r>
        <w:rPr>
          <w:rFonts w:hint="eastAsia" w:ascii="仿宋_GB2312" w:hAnsi="仿宋_GB2312" w:eastAsia="仿宋_GB2312" w:cs="仿宋_GB2312"/>
          <w:color w:val="000000"/>
          <w:sz w:val="32"/>
          <w:highlight w:val="none"/>
          <w:lang w:eastAsia="zh-CN"/>
        </w:rPr>
        <w:t>其他一般公共服务支出</w:t>
      </w:r>
      <w:r>
        <w:rPr>
          <w:rFonts w:hint="eastAsia" w:ascii="仿宋_GB2312" w:hAnsi="仿宋_GB2312" w:eastAsia="仿宋_GB2312" w:cs="仿宋_GB2312"/>
          <w:color w:val="000000"/>
          <w:sz w:val="32"/>
          <w:highlight w:val="none"/>
        </w:rPr>
        <w:t>（款）</w:t>
      </w:r>
      <w:r>
        <w:rPr>
          <w:rFonts w:hint="eastAsia" w:ascii="仿宋_GB2312" w:hAnsi="仿宋_GB2312" w:eastAsia="仿宋_GB2312" w:cs="仿宋_GB2312"/>
          <w:color w:val="000000"/>
          <w:sz w:val="32"/>
          <w:highlight w:val="none"/>
          <w:lang w:eastAsia="zh-CN"/>
        </w:rPr>
        <w:t>其他一般公共服务支出</w:t>
      </w:r>
      <w:r>
        <w:rPr>
          <w:rFonts w:hint="eastAsia" w:ascii="仿宋_GB2312" w:hAnsi="仿宋_GB2312" w:eastAsia="仿宋_GB2312" w:cs="仿宋_GB2312"/>
          <w:color w:val="000000"/>
          <w:sz w:val="32"/>
          <w:highlight w:val="none"/>
        </w:rPr>
        <w:t>（项）：支出决算为</w:t>
      </w:r>
      <w:r>
        <w:rPr>
          <w:rFonts w:hint="eastAsia" w:ascii="仿宋_GB2312" w:hAnsi="仿宋_GB2312" w:eastAsia="仿宋_GB2312" w:cs="仿宋_GB2312"/>
          <w:color w:val="000000"/>
          <w:sz w:val="32"/>
          <w:highlight w:val="none"/>
          <w:lang w:val="en-US" w:eastAsia="zh-CN"/>
        </w:rPr>
        <w:t>29.8</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lang w:val="en-US" w:eastAsia="zh-CN"/>
        </w:rPr>
        <w:t>11</w:t>
      </w:r>
      <w:r>
        <w:rPr>
          <w:rFonts w:hint="eastAsia" w:ascii="仿宋_GB2312" w:hAnsi="仿宋_GB2312" w:eastAsia="仿宋_GB2312" w:cs="仿宋_GB2312"/>
          <w:color w:val="000000"/>
          <w:sz w:val="32"/>
          <w:highlight w:val="none"/>
        </w:rPr>
        <w:t>.教育支出（类）职业教育（款）</w:t>
      </w:r>
      <w:r>
        <w:rPr>
          <w:rFonts w:hint="eastAsia" w:ascii="仿宋_GB2312" w:hAnsi="仿宋_GB2312" w:eastAsia="仿宋_GB2312" w:cs="仿宋_GB2312"/>
          <w:color w:val="000000"/>
          <w:sz w:val="32"/>
          <w:highlight w:val="none"/>
          <w:lang w:eastAsia="zh-CN"/>
        </w:rPr>
        <w:t>中等职业</w:t>
      </w:r>
      <w:r>
        <w:rPr>
          <w:rFonts w:hint="eastAsia" w:ascii="仿宋_GB2312" w:hAnsi="仿宋_GB2312" w:eastAsia="仿宋_GB2312" w:cs="仿宋_GB2312"/>
          <w:color w:val="000000"/>
          <w:sz w:val="32"/>
          <w:highlight w:val="none"/>
        </w:rPr>
        <w:t>教育（项）：支出决算为</w:t>
      </w:r>
      <w:r>
        <w:rPr>
          <w:rFonts w:hint="eastAsia" w:ascii="仿宋_GB2312" w:hAnsi="仿宋_GB2312" w:eastAsia="仿宋_GB2312" w:cs="仿宋_GB2312"/>
          <w:color w:val="000000"/>
          <w:sz w:val="32"/>
          <w:highlight w:val="none"/>
          <w:lang w:val="en-US" w:eastAsia="zh-CN"/>
        </w:rPr>
        <w:t>3672.01</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80.83</w:t>
      </w:r>
      <w:r>
        <w:rPr>
          <w:rFonts w:hint="eastAsia" w:ascii="仿宋_GB2312" w:hAnsi="仿宋_GB2312" w:eastAsia="仿宋_GB2312" w:cs="仿宋_GB2312"/>
          <w:color w:val="000000"/>
          <w:sz w:val="32"/>
          <w:highlight w:val="none"/>
        </w:rPr>
        <w:t>%，决算数小于预算的主要原因是四川省</w:t>
      </w:r>
      <w:r>
        <w:rPr>
          <w:rFonts w:hint="eastAsia" w:ascii="仿宋_GB2312" w:hAnsi="仿宋_GB2312" w:eastAsia="仿宋_GB2312" w:cs="仿宋_GB2312"/>
          <w:color w:val="000000"/>
          <w:sz w:val="32"/>
          <w:szCs w:val="32"/>
          <w:highlight w:val="none"/>
        </w:rPr>
        <w:t>商务学校</w:t>
      </w:r>
      <w:r>
        <w:rPr>
          <w:rFonts w:hint="eastAsia" w:ascii="仿宋_GB2312" w:hAnsi="仿宋_GB2312" w:eastAsia="仿宋_GB2312" w:cs="仿宋_GB2312"/>
          <w:color w:val="000000"/>
          <w:sz w:val="32"/>
          <w:szCs w:val="32"/>
          <w:highlight w:val="none"/>
          <w:lang w:eastAsia="zh-CN"/>
        </w:rPr>
        <w:t>资本性支出、商品和服务支出、助学金等项目未完全执行</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lang w:val="en-US" w:eastAsia="zh-CN"/>
        </w:rPr>
        <w:t>12</w:t>
      </w:r>
      <w:r>
        <w:rPr>
          <w:rFonts w:hint="eastAsia" w:ascii="仿宋_GB2312" w:hAnsi="仿宋_GB2312" w:eastAsia="仿宋_GB2312" w:cs="仿宋_GB2312"/>
          <w:color w:val="000000"/>
          <w:sz w:val="32"/>
          <w:highlight w:val="none"/>
        </w:rPr>
        <w:t>.教育支出（类）职业教育（款）高等职业教育（项）：支出决算为</w:t>
      </w:r>
      <w:r>
        <w:rPr>
          <w:rFonts w:hint="eastAsia" w:ascii="仿宋_GB2312" w:hAnsi="仿宋_GB2312" w:eastAsia="仿宋_GB2312" w:cs="仿宋_GB2312"/>
          <w:color w:val="000000"/>
          <w:sz w:val="32"/>
          <w:highlight w:val="none"/>
          <w:lang w:val="en-US" w:eastAsia="zh-CN"/>
        </w:rPr>
        <w:t>11218.01</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88.9</w:t>
      </w:r>
      <w:r>
        <w:rPr>
          <w:rFonts w:hint="eastAsia" w:ascii="仿宋_GB2312" w:hAnsi="仿宋_GB2312" w:eastAsia="仿宋_GB2312" w:cs="仿宋_GB2312"/>
          <w:color w:val="000000"/>
          <w:sz w:val="32"/>
          <w:highlight w:val="none"/>
        </w:rPr>
        <w:t>%，决算数小于预算的主要原因是四川商务职业学院</w:t>
      </w:r>
      <w:r>
        <w:rPr>
          <w:rFonts w:hint="eastAsia" w:ascii="仿宋_GB2312" w:hAnsi="仿宋_GB2312" w:eastAsia="仿宋_GB2312" w:cs="仿宋_GB2312"/>
          <w:color w:val="000000"/>
          <w:sz w:val="32"/>
          <w:highlight w:val="none"/>
          <w:lang w:eastAsia="zh-CN"/>
        </w:rPr>
        <w:t>资本性支出、商品和服务支出、助学金等</w:t>
      </w:r>
      <w:r>
        <w:rPr>
          <w:rFonts w:hint="eastAsia" w:ascii="仿宋_GB2312" w:hAnsi="仿宋_GB2312" w:eastAsia="仿宋_GB2312" w:cs="仿宋_GB2312"/>
          <w:color w:val="000000"/>
          <w:sz w:val="32"/>
          <w:highlight w:val="none"/>
        </w:rPr>
        <w:t>项目</w:t>
      </w:r>
      <w:r>
        <w:rPr>
          <w:rFonts w:hint="eastAsia" w:ascii="仿宋_GB2312" w:hAnsi="仿宋_GB2312" w:eastAsia="仿宋_GB2312" w:cs="仿宋_GB2312"/>
          <w:color w:val="000000"/>
          <w:sz w:val="32"/>
          <w:highlight w:val="none"/>
          <w:lang w:eastAsia="zh-CN"/>
        </w:rPr>
        <w:t>未完全执行</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rPr>
        <w:t>1</w:t>
      </w:r>
      <w:r>
        <w:rPr>
          <w:rFonts w:hint="eastAsia" w:ascii="仿宋_GB2312" w:hAnsi="仿宋_GB2312" w:eastAsia="仿宋_GB2312" w:cs="仿宋_GB2312"/>
          <w:color w:val="000000"/>
          <w:sz w:val="32"/>
          <w:highlight w:val="none"/>
          <w:lang w:val="en-US" w:eastAsia="zh-CN"/>
        </w:rPr>
        <w:t>3</w:t>
      </w:r>
      <w:r>
        <w:rPr>
          <w:rFonts w:hint="eastAsia" w:ascii="仿宋_GB2312" w:hAnsi="仿宋_GB2312" w:eastAsia="仿宋_GB2312" w:cs="仿宋_GB2312"/>
          <w:color w:val="000000"/>
          <w:sz w:val="32"/>
          <w:highlight w:val="none"/>
        </w:rPr>
        <w:t>.教育支出（类）进修及培训（款）培训支出（项）：支出决算为</w:t>
      </w:r>
      <w:r>
        <w:rPr>
          <w:rFonts w:hint="eastAsia" w:ascii="仿宋_GB2312" w:hAnsi="仿宋_GB2312" w:eastAsia="仿宋_GB2312" w:cs="仿宋_GB2312"/>
          <w:color w:val="000000"/>
          <w:sz w:val="32"/>
          <w:highlight w:val="none"/>
          <w:lang w:val="en-US" w:eastAsia="zh-CN"/>
        </w:rPr>
        <w:t>34.16</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99.85</w:t>
      </w:r>
      <w:r>
        <w:rPr>
          <w:rFonts w:hint="eastAsia" w:ascii="仿宋_GB2312" w:hAnsi="仿宋_GB2312" w:eastAsia="仿宋_GB2312" w:cs="仿宋_GB2312"/>
          <w:color w:val="000000"/>
          <w:sz w:val="32"/>
          <w:highlight w:val="none"/>
        </w:rPr>
        <w:t>%，决算数小于预算的主要原因是</w:t>
      </w:r>
      <w:r>
        <w:rPr>
          <w:rFonts w:hint="eastAsia" w:ascii="仿宋_GB2312" w:hAnsi="仿宋_GB2312" w:eastAsia="仿宋_GB2312" w:cs="仿宋_GB2312"/>
          <w:color w:val="000000"/>
          <w:sz w:val="32"/>
          <w:highlight w:val="none"/>
          <w:lang w:eastAsia="zh-CN"/>
        </w:rPr>
        <w:t>四川省商务厅信息中心培训费有零星结余</w:t>
      </w:r>
      <w:r>
        <w:rPr>
          <w:rStyle w:val="33"/>
          <w:rFonts w:hint="eastAsia" w:ascii="仿宋_GB2312" w:hAnsi="仿宋_GB2312" w:eastAsia="仿宋_GB2312" w:cs="仿宋_GB2312"/>
          <w:b w:val="0"/>
          <w:bCs w:val="0"/>
          <w:color w:val="000000"/>
          <w:sz w:val="32"/>
          <w:szCs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rPr>
        <w:t>1</w:t>
      </w:r>
      <w:r>
        <w:rPr>
          <w:rFonts w:hint="eastAsia" w:ascii="仿宋_GB2312" w:hAnsi="仿宋_GB2312" w:eastAsia="仿宋_GB2312" w:cs="仿宋_GB2312"/>
          <w:color w:val="000000"/>
          <w:sz w:val="32"/>
          <w:highlight w:val="none"/>
          <w:lang w:val="en-US" w:eastAsia="zh-CN"/>
        </w:rPr>
        <w:t>4</w:t>
      </w:r>
      <w:r>
        <w:rPr>
          <w:rFonts w:hint="eastAsia" w:ascii="仿宋_GB2312" w:hAnsi="仿宋_GB2312" w:eastAsia="仿宋_GB2312" w:cs="仿宋_GB2312"/>
          <w:color w:val="000000"/>
          <w:sz w:val="32"/>
          <w:highlight w:val="none"/>
        </w:rPr>
        <w:t>.科学技术支出（类）应用研究（款）机构运行（项）：支出决算为</w:t>
      </w:r>
      <w:r>
        <w:rPr>
          <w:rFonts w:hint="eastAsia" w:ascii="仿宋_GB2312" w:hAnsi="仿宋_GB2312" w:eastAsia="仿宋_GB2312" w:cs="仿宋_GB2312"/>
          <w:color w:val="000000"/>
          <w:sz w:val="32"/>
          <w:highlight w:val="none"/>
          <w:lang w:val="en-US" w:eastAsia="zh-CN"/>
        </w:rPr>
        <w:t>133.85</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93.75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决算数小于预算的主要原因是</w:t>
      </w:r>
      <w:r>
        <w:rPr>
          <w:rFonts w:hint="eastAsia" w:ascii="仿宋_GB2312" w:hAnsi="仿宋_GB2312" w:eastAsia="仿宋_GB2312" w:cs="仿宋_GB2312"/>
          <w:color w:val="000000"/>
          <w:sz w:val="32"/>
          <w:highlight w:val="none"/>
          <w:lang w:eastAsia="zh-CN"/>
        </w:rPr>
        <w:t>四川省国际经济贸易研究所工资福利支出、商品和服务支出等项目未完全执行</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rPr>
        <w:t>1</w:t>
      </w:r>
      <w:r>
        <w:rPr>
          <w:rFonts w:hint="eastAsia" w:ascii="仿宋_GB2312" w:hAnsi="仿宋_GB2312" w:eastAsia="仿宋_GB2312" w:cs="仿宋_GB2312"/>
          <w:color w:val="000000"/>
          <w:sz w:val="32"/>
          <w:highlight w:val="none"/>
          <w:lang w:val="en-US" w:eastAsia="zh-CN"/>
        </w:rPr>
        <w:t>5</w:t>
      </w:r>
      <w:r>
        <w:rPr>
          <w:rFonts w:hint="eastAsia" w:ascii="仿宋_GB2312" w:hAnsi="仿宋_GB2312" w:eastAsia="仿宋_GB2312" w:cs="仿宋_GB2312"/>
          <w:color w:val="000000"/>
          <w:sz w:val="32"/>
          <w:highlight w:val="none"/>
        </w:rPr>
        <w:t>.科学技术支出（类）应用研究（款）社会公益研究（项）：支出决算为</w:t>
      </w:r>
      <w:r>
        <w:rPr>
          <w:rFonts w:hint="eastAsia" w:ascii="仿宋_GB2312" w:hAnsi="仿宋_GB2312" w:eastAsia="仿宋_GB2312" w:cs="仿宋_GB2312"/>
          <w:color w:val="000000"/>
          <w:sz w:val="32"/>
          <w:highlight w:val="none"/>
          <w:lang w:val="en-US" w:eastAsia="zh-CN"/>
        </w:rPr>
        <w:t>40.38</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78.38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决算数小于预算的主要原因</w:t>
      </w:r>
      <w:r>
        <w:rPr>
          <w:rFonts w:hint="eastAsia" w:ascii="仿宋_GB2312" w:hAnsi="仿宋_GB2312" w:eastAsia="仿宋_GB2312" w:cs="仿宋_GB2312"/>
          <w:color w:val="000000"/>
          <w:sz w:val="32"/>
          <w:highlight w:val="none"/>
          <w:lang w:eastAsia="zh-CN"/>
        </w:rPr>
        <w:t>是四川省国际经济贸易研究所商品和服务支项目未完全执行</w:t>
      </w:r>
      <w:r>
        <w:rPr>
          <w:rStyle w:val="34"/>
          <w:rFonts w:hint="eastAsia" w:ascii="仿宋_GB2312" w:hAnsi="仿宋_GB2312" w:eastAsia="仿宋_GB2312" w:cs="仿宋_GB2312"/>
          <w:b w:val="0"/>
          <w:bCs w:val="0"/>
          <w:color w:val="000000"/>
          <w:sz w:val="32"/>
          <w:szCs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rPr>
        <w:t>1</w:t>
      </w:r>
      <w:r>
        <w:rPr>
          <w:rFonts w:hint="eastAsia" w:ascii="仿宋_GB2312" w:hAnsi="仿宋_GB2312" w:eastAsia="仿宋_GB2312" w:cs="仿宋_GB2312"/>
          <w:color w:val="000000"/>
          <w:sz w:val="32"/>
          <w:highlight w:val="none"/>
          <w:lang w:val="en-US" w:eastAsia="zh-CN"/>
        </w:rPr>
        <w:t>6</w:t>
      </w:r>
      <w:r>
        <w:rPr>
          <w:rFonts w:hint="eastAsia" w:ascii="仿宋_GB2312" w:hAnsi="仿宋_GB2312" w:eastAsia="仿宋_GB2312" w:cs="仿宋_GB2312"/>
          <w:color w:val="000000"/>
          <w:sz w:val="32"/>
          <w:highlight w:val="none"/>
        </w:rPr>
        <w:t>.科学技术支出（类）技术研究与开发（款）</w:t>
      </w:r>
      <w:r>
        <w:rPr>
          <w:rFonts w:hint="eastAsia" w:ascii="仿宋_GB2312" w:hAnsi="仿宋_GB2312" w:eastAsia="仿宋_GB2312" w:cs="仿宋_GB2312"/>
          <w:color w:val="000000"/>
          <w:sz w:val="32"/>
          <w:highlight w:val="none"/>
          <w:lang w:eastAsia="zh-CN"/>
        </w:rPr>
        <w:t>其他</w:t>
      </w:r>
      <w:r>
        <w:rPr>
          <w:rFonts w:hint="eastAsia" w:ascii="仿宋_GB2312" w:hAnsi="仿宋_GB2312" w:eastAsia="仿宋_GB2312" w:cs="仿宋_GB2312"/>
          <w:color w:val="000000"/>
          <w:sz w:val="32"/>
          <w:highlight w:val="none"/>
        </w:rPr>
        <w:t>技术研究与开发</w:t>
      </w:r>
      <w:r>
        <w:rPr>
          <w:rFonts w:hint="eastAsia" w:ascii="仿宋_GB2312" w:hAnsi="仿宋_GB2312" w:eastAsia="仿宋_GB2312" w:cs="仿宋_GB2312"/>
          <w:color w:val="000000"/>
          <w:sz w:val="32"/>
          <w:highlight w:val="none"/>
          <w:lang w:eastAsia="zh-CN"/>
        </w:rPr>
        <w:t>支出</w:t>
      </w:r>
      <w:r>
        <w:rPr>
          <w:rFonts w:hint="eastAsia" w:ascii="仿宋_GB2312" w:hAnsi="仿宋_GB2312" w:eastAsia="仿宋_GB2312" w:cs="仿宋_GB2312"/>
          <w:color w:val="000000"/>
          <w:sz w:val="32"/>
          <w:highlight w:val="none"/>
        </w:rPr>
        <w:t>（项）：支出决算为</w:t>
      </w:r>
      <w:r>
        <w:rPr>
          <w:rFonts w:hint="eastAsia" w:ascii="仿宋_GB2312" w:hAnsi="仿宋_GB2312" w:eastAsia="仿宋_GB2312" w:cs="仿宋_GB2312"/>
          <w:color w:val="000000"/>
          <w:sz w:val="32"/>
          <w:highlight w:val="none"/>
          <w:lang w:val="en-US" w:eastAsia="zh-CN"/>
        </w:rPr>
        <w:t>6</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rPr>
        <w:t>1</w:t>
      </w:r>
      <w:r>
        <w:rPr>
          <w:rFonts w:hint="eastAsia" w:ascii="仿宋_GB2312" w:hAnsi="仿宋_GB2312" w:eastAsia="仿宋_GB2312" w:cs="仿宋_GB2312"/>
          <w:color w:val="000000"/>
          <w:sz w:val="32"/>
          <w:highlight w:val="none"/>
          <w:lang w:val="en-US" w:eastAsia="zh-CN"/>
        </w:rPr>
        <w:t>7</w:t>
      </w:r>
      <w:r>
        <w:rPr>
          <w:rFonts w:hint="eastAsia" w:ascii="仿宋_GB2312" w:hAnsi="仿宋_GB2312" w:eastAsia="仿宋_GB2312" w:cs="仿宋_GB2312"/>
          <w:color w:val="000000"/>
          <w:sz w:val="32"/>
          <w:highlight w:val="none"/>
        </w:rPr>
        <w:t>.社会保障和就业支出（类）行政事业单位</w:t>
      </w:r>
      <w:r>
        <w:rPr>
          <w:rFonts w:hint="eastAsia" w:ascii="仿宋_GB2312" w:hAnsi="仿宋_GB2312" w:eastAsia="仿宋_GB2312" w:cs="仿宋_GB2312"/>
          <w:color w:val="000000"/>
          <w:sz w:val="32"/>
          <w:highlight w:val="none"/>
          <w:lang w:eastAsia="zh-CN"/>
        </w:rPr>
        <w:t>养老支出</w:t>
      </w:r>
      <w:r>
        <w:rPr>
          <w:rFonts w:hint="eastAsia" w:ascii="仿宋_GB2312" w:hAnsi="仿宋_GB2312" w:eastAsia="仿宋_GB2312" w:cs="仿宋_GB2312"/>
          <w:color w:val="000000"/>
          <w:sz w:val="32"/>
          <w:highlight w:val="none"/>
        </w:rPr>
        <w:t>（款）</w:t>
      </w:r>
      <w:r>
        <w:rPr>
          <w:rFonts w:hint="eastAsia" w:ascii="仿宋_GB2312" w:hAnsi="仿宋_GB2312" w:eastAsia="仿宋_GB2312" w:cs="仿宋_GB2312"/>
          <w:color w:val="000000"/>
          <w:sz w:val="32"/>
          <w:highlight w:val="none"/>
          <w:lang w:eastAsia="zh-CN"/>
        </w:rPr>
        <w:t>行政</w:t>
      </w:r>
      <w:r>
        <w:rPr>
          <w:rFonts w:hint="eastAsia" w:ascii="仿宋_GB2312" w:hAnsi="仿宋_GB2312" w:eastAsia="仿宋_GB2312" w:cs="仿宋_GB2312"/>
          <w:color w:val="000000"/>
          <w:sz w:val="32"/>
          <w:highlight w:val="none"/>
        </w:rPr>
        <w:t>单位离退休（项）：支出决算为</w:t>
      </w:r>
      <w:r>
        <w:rPr>
          <w:rFonts w:hint="eastAsia" w:ascii="仿宋_GB2312" w:hAnsi="仿宋_GB2312" w:eastAsia="仿宋_GB2312" w:cs="仿宋_GB2312"/>
          <w:color w:val="000000"/>
          <w:sz w:val="32"/>
          <w:highlight w:val="none"/>
          <w:lang w:val="en-US" w:eastAsia="zh-CN"/>
        </w:rPr>
        <w:t>1196.16</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Style w:val="35"/>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color w:val="000000"/>
          <w:sz w:val="32"/>
          <w:highlight w:val="none"/>
        </w:rPr>
        <w:t>1</w:t>
      </w:r>
      <w:r>
        <w:rPr>
          <w:rFonts w:hint="eastAsia" w:ascii="仿宋_GB2312" w:hAnsi="仿宋_GB2312" w:eastAsia="仿宋_GB2312" w:cs="仿宋_GB2312"/>
          <w:color w:val="000000"/>
          <w:sz w:val="32"/>
          <w:highlight w:val="none"/>
          <w:lang w:val="en-US" w:eastAsia="zh-CN"/>
        </w:rPr>
        <w:t>8</w:t>
      </w:r>
      <w:r>
        <w:rPr>
          <w:rFonts w:hint="eastAsia" w:ascii="仿宋_GB2312" w:hAnsi="仿宋_GB2312" w:eastAsia="仿宋_GB2312" w:cs="仿宋_GB2312"/>
          <w:color w:val="000000"/>
          <w:sz w:val="32"/>
          <w:highlight w:val="none"/>
        </w:rPr>
        <w:t>.社会保障和就业支出（类）行政事业单位</w:t>
      </w:r>
      <w:r>
        <w:rPr>
          <w:rFonts w:hint="eastAsia" w:ascii="仿宋_GB2312" w:hAnsi="仿宋_GB2312" w:eastAsia="仿宋_GB2312" w:cs="仿宋_GB2312"/>
          <w:color w:val="000000"/>
          <w:sz w:val="32"/>
          <w:highlight w:val="none"/>
          <w:lang w:eastAsia="zh-CN"/>
        </w:rPr>
        <w:t>养老支出</w:t>
      </w:r>
      <w:r>
        <w:rPr>
          <w:rFonts w:hint="eastAsia" w:ascii="仿宋_GB2312" w:hAnsi="仿宋_GB2312" w:eastAsia="仿宋_GB2312" w:cs="仿宋_GB2312"/>
          <w:color w:val="000000"/>
          <w:sz w:val="32"/>
          <w:highlight w:val="none"/>
        </w:rPr>
        <w:t>（款）</w:t>
      </w:r>
      <w:r>
        <w:rPr>
          <w:rFonts w:hint="eastAsia" w:ascii="仿宋_GB2312" w:hAnsi="仿宋_GB2312" w:eastAsia="仿宋_GB2312" w:cs="仿宋_GB2312"/>
          <w:color w:val="000000"/>
          <w:sz w:val="32"/>
          <w:highlight w:val="none"/>
          <w:lang w:eastAsia="zh-CN"/>
        </w:rPr>
        <w:t>事业单位离退休</w:t>
      </w:r>
      <w:r>
        <w:rPr>
          <w:rFonts w:hint="eastAsia" w:ascii="仿宋_GB2312" w:hAnsi="仿宋_GB2312" w:eastAsia="仿宋_GB2312" w:cs="仿宋_GB2312"/>
          <w:color w:val="000000"/>
          <w:sz w:val="32"/>
          <w:highlight w:val="none"/>
        </w:rPr>
        <w:t>（项）：支出决算为</w:t>
      </w:r>
      <w:r>
        <w:rPr>
          <w:rFonts w:hint="eastAsia" w:ascii="仿宋_GB2312" w:hAnsi="仿宋_GB2312" w:eastAsia="仿宋_GB2312" w:cs="仿宋_GB2312"/>
          <w:color w:val="000000"/>
          <w:sz w:val="32"/>
          <w:highlight w:val="none"/>
          <w:lang w:val="en-US" w:eastAsia="zh-CN"/>
        </w:rPr>
        <w:t>135.49</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99.97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，决算数小于预算的主要原因是四川省国际经济贸易研究所其他对个人和家庭的补助有零星结余</w:t>
      </w:r>
      <w:r>
        <w:rPr>
          <w:rStyle w:val="35"/>
          <w:rFonts w:hint="eastAsia" w:ascii="仿宋_GB2312" w:hAnsi="仿宋_GB2312" w:eastAsia="仿宋_GB2312" w:cs="仿宋_GB2312"/>
          <w:b w:val="0"/>
          <w:bCs w:val="0"/>
          <w:color w:val="000000"/>
          <w:sz w:val="32"/>
          <w:szCs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rPr>
        <w:t>1</w:t>
      </w:r>
      <w:r>
        <w:rPr>
          <w:rFonts w:hint="eastAsia" w:ascii="仿宋_GB2312" w:hAnsi="仿宋_GB2312" w:eastAsia="仿宋_GB2312" w:cs="仿宋_GB2312"/>
          <w:color w:val="000000"/>
          <w:sz w:val="32"/>
          <w:highlight w:val="none"/>
          <w:lang w:val="en-US" w:eastAsia="zh-CN"/>
        </w:rPr>
        <w:t>9</w:t>
      </w:r>
      <w:r>
        <w:rPr>
          <w:rFonts w:hint="eastAsia" w:ascii="仿宋_GB2312" w:hAnsi="仿宋_GB2312" w:eastAsia="仿宋_GB2312" w:cs="仿宋_GB2312"/>
          <w:color w:val="000000"/>
          <w:sz w:val="32"/>
          <w:highlight w:val="none"/>
        </w:rPr>
        <w:t>.社会保障和就业支出（类）行政事业单位</w:t>
      </w:r>
      <w:r>
        <w:rPr>
          <w:rFonts w:hint="eastAsia" w:ascii="仿宋_GB2312" w:hAnsi="仿宋_GB2312" w:eastAsia="仿宋_GB2312" w:cs="仿宋_GB2312"/>
          <w:color w:val="000000"/>
          <w:sz w:val="32"/>
          <w:highlight w:val="none"/>
          <w:lang w:eastAsia="zh-CN"/>
        </w:rPr>
        <w:t>养老支出</w:t>
      </w:r>
      <w:r>
        <w:rPr>
          <w:rFonts w:hint="eastAsia" w:ascii="仿宋_GB2312" w:hAnsi="仿宋_GB2312" w:eastAsia="仿宋_GB2312" w:cs="仿宋_GB2312"/>
          <w:color w:val="000000"/>
          <w:sz w:val="32"/>
          <w:highlight w:val="none"/>
        </w:rPr>
        <w:t>（款）机关事业单位基本养老保险缴费支出（项）：支出决算为</w:t>
      </w:r>
      <w:r>
        <w:rPr>
          <w:rFonts w:hint="eastAsia" w:ascii="仿宋_GB2312" w:hAnsi="仿宋_GB2312" w:eastAsia="仿宋_GB2312" w:cs="仿宋_GB2312"/>
          <w:color w:val="000000"/>
          <w:sz w:val="32"/>
          <w:highlight w:val="none"/>
          <w:lang w:val="en-US" w:eastAsia="zh-CN"/>
        </w:rPr>
        <w:t>402.31</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99.29</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决算数小于预算的主要原因是</w:t>
      </w:r>
      <w:r>
        <w:rPr>
          <w:rFonts w:hint="eastAsia" w:ascii="仿宋_GB2312" w:hAnsi="仿宋_GB2312" w:eastAsia="仿宋_GB2312" w:cs="仿宋_GB2312"/>
          <w:color w:val="000000"/>
          <w:sz w:val="32"/>
          <w:highlight w:val="none"/>
          <w:lang w:eastAsia="zh-CN"/>
        </w:rPr>
        <w:t>四川省国际经济贸易研究所养老保险有零星结余</w:t>
      </w:r>
      <w:r>
        <w:rPr>
          <w:rStyle w:val="36"/>
          <w:rFonts w:hint="eastAsia" w:ascii="仿宋_GB2312" w:hAnsi="仿宋_GB2312" w:eastAsia="仿宋_GB2312" w:cs="仿宋_GB2312"/>
          <w:b w:val="0"/>
          <w:bCs w:val="0"/>
          <w:color w:val="000000"/>
          <w:sz w:val="32"/>
          <w:szCs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lang w:val="en-US" w:eastAsia="zh-CN"/>
        </w:rPr>
        <w:t>20</w:t>
      </w:r>
      <w:r>
        <w:rPr>
          <w:rFonts w:hint="eastAsia" w:ascii="仿宋_GB2312" w:hAnsi="仿宋_GB2312" w:eastAsia="仿宋_GB2312" w:cs="仿宋_GB2312"/>
          <w:color w:val="000000"/>
          <w:sz w:val="32"/>
          <w:highlight w:val="none"/>
        </w:rPr>
        <w:t>.社会保障和就业支出（类）行政事业单位</w:t>
      </w:r>
      <w:r>
        <w:rPr>
          <w:rFonts w:hint="eastAsia" w:ascii="仿宋_GB2312" w:hAnsi="仿宋_GB2312" w:eastAsia="仿宋_GB2312" w:cs="仿宋_GB2312"/>
          <w:color w:val="000000"/>
          <w:sz w:val="32"/>
          <w:highlight w:val="none"/>
          <w:lang w:eastAsia="zh-CN"/>
        </w:rPr>
        <w:t>养老支出</w:t>
      </w:r>
      <w:r>
        <w:rPr>
          <w:rFonts w:hint="eastAsia" w:ascii="仿宋_GB2312" w:hAnsi="仿宋_GB2312" w:eastAsia="仿宋_GB2312" w:cs="仿宋_GB2312"/>
          <w:color w:val="000000"/>
          <w:sz w:val="32"/>
          <w:highlight w:val="none"/>
        </w:rPr>
        <w:t>（款）机关事业单位职业年金缴费支出（项）：支出决算为</w:t>
      </w:r>
      <w:r>
        <w:rPr>
          <w:rFonts w:hint="eastAsia" w:ascii="仿宋_GB2312" w:hAnsi="仿宋_GB2312" w:eastAsia="仿宋_GB2312" w:cs="仿宋_GB2312"/>
          <w:color w:val="000000"/>
          <w:sz w:val="32"/>
          <w:highlight w:val="none"/>
          <w:lang w:val="en-US" w:eastAsia="zh-CN"/>
        </w:rPr>
        <w:t>66.05</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97.59</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决算数小于预算的主要原因是</w:t>
      </w:r>
      <w:r>
        <w:rPr>
          <w:rFonts w:hint="eastAsia" w:ascii="仿宋_GB2312" w:hAnsi="仿宋_GB2312" w:eastAsia="仿宋_GB2312" w:cs="仿宋_GB2312"/>
          <w:color w:val="000000"/>
          <w:sz w:val="32"/>
          <w:highlight w:val="none"/>
          <w:lang w:eastAsia="zh-CN"/>
        </w:rPr>
        <w:t>四川省国际经济贸易研究所职业年金有零星结余</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lang w:val="en-US" w:eastAsia="zh-CN"/>
        </w:rPr>
        <w:t>21</w:t>
      </w:r>
      <w:r>
        <w:rPr>
          <w:rFonts w:hint="eastAsia" w:ascii="仿宋_GB2312" w:hAnsi="仿宋_GB2312" w:eastAsia="仿宋_GB2312" w:cs="仿宋_GB2312"/>
          <w:color w:val="000000"/>
          <w:sz w:val="32"/>
          <w:highlight w:val="none"/>
        </w:rPr>
        <w:t>.社会保障和就业支出（类）抚恤（款）死亡抚恤（项）：支出决算为</w:t>
      </w:r>
      <w:r>
        <w:rPr>
          <w:rFonts w:hint="eastAsia" w:ascii="仿宋_GB2312" w:hAnsi="仿宋_GB2312" w:eastAsia="仿宋_GB2312" w:cs="仿宋_GB2312"/>
          <w:color w:val="000000"/>
          <w:sz w:val="32"/>
          <w:highlight w:val="none"/>
          <w:lang w:val="en-US" w:eastAsia="zh-CN"/>
        </w:rPr>
        <w:t>134.88</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rPr>
        <w:t>2</w:t>
      </w:r>
      <w:r>
        <w:rPr>
          <w:rFonts w:hint="eastAsia" w:ascii="仿宋_GB2312" w:hAnsi="仿宋_GB2312" w:eastAsia="仿宋_GB2312" w:cs="仿宋_GB2312"/>
          <w:color w:val="000000"/>
          <w:sz w:val="32"/>
          <w:highlight w:val="none"/>
          <w:lang w:val="en-US" w:eastAsia="zh-CN"/>
        </w:rPr>
        <w:t>2</w:t>
      </w:r>
      <w:r>
        <w:rPr>
          <w:rFonts w:hint="eastAsia" w:ascii="仿宋_GB2312" w:hAnsi="仿宋_GB2312" w:eastAsia="仿宋_GB2312" w:cs="仿宋_GB2312"/>
          <w:color w:val="000000"/>
          <w:sz w:val="32"/>
          <w:highlight w:val="none"/>
        </w:rPr>
        <w:t>.社会保障和就业支出（类）其他社会保障和就业支出（款）其他社会保障和就业支出（项）：支出决算为</w:t>
      </w:r>
      <w:r>
        <w:rPr>
          <w:rFonts w:hint="eastAsia" w:ascii="仿宋_GB2312" w:hAnsi="仿宋_GB2312" w:eastAsia="仿宋_GB2312" w:cs="仿宋_GB2312"/>
          <w:color w:val="000000"/>
          <w:sz w:val="32"/>
          <w:highlight w:val="none"/>
          <w:lang w:val="en-US" w:eastAsia="zh-CN"/>
        </w:rPr>
        <w:t>40.63</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highlight w:val="none"/>
        </w:rPr>
        <w:t>%</w:t>
      </w:r>
      <w:r>
        <w:rPr>
          <w:rStyle w:val="37"/>
          <w:rFonts w:hint="eastAsia" w:ascii="仿宋_GB2312" w:hAnsi="仿宋_GB2312" w:eastAsia="仿宋_GB2312" w:cs="仿宋_GB2312"/>
          <w:b w:val="0"/>
          <w:bCs w:val="0"/>
          <w:color w:val="000000"/>
          <w:sz w:val="32"/>
          <w:szCs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rPr>
        <w:t>2</w:t>
      </w:r>
      <w:r>
        <w:rPr>
          <w:rFonts w:hint="eastAsia" w:ascii="仿宋_GB2312" w:hAnsi="仿宋_GB2312" w:eastAsia="仿宋_GB2312" w:cs="仿宋_GB2312"/>
          <w:color w:val="000000"/>
          <w:sz w:val="32"/>
          <w:highlight w:val="none"/>
          <w:lang w:val="en-US" w:eastAsia="zh-CN"/>
        </w:rPr>
        <w:t>3</w:t>
      </w:r>
      <w:r>
        <w:rPr>
          <w:rFonts w:hint="eastAsia" w:ascii="仿宋_GB2312" w:hAnsi="仿宋_GB2312" w:eastAsia="仿宋_GB2312" w:cs="仿宋_GB2312"/>
          <w:color w:val="000000"/>
          <w:sz w:val="32"/>
          <w:highlight w:val="none"/>
        </w:rPr>
        <w:t>.卫生</w:t>
      </w:r>
      <w:r>
        <w:rPr>
          <w:rFonts w:hint="eastAsia" w:ascii="仿宋_GB2312" w:hAnsi="仿宋_GB2312" w:eastAsia="仿宋_GB2312" w:cs="仿宋_GB2312"/>
          <w:color w:val="000000"/>
          <w:sz w:val="32"/>
          <w:highlight w:val="none"/>
          <w:lang w:eastAsia="zh-CN"/>
        </w:rPr>
        <w:t>健康</w:t>
      </w:r>
      <w:r>
        <w:rPr>
          <w:rFonts w:hint="eastAsia" w:ascii="仿宋_GB2312" w:hAnsi="仿宋_GB2312" w:eastAsia="仿宋_GB2312" w:cs="仿宋_GB2312"/>
          <w:color w:val="000000"/>
          <w:sz w:val="32"/>
          <w:highlight w:val="none"/>
        </w:rPr>
        <w:t>支出（类）行政事业单位医疗（款）行政单位医疗（项）：支出决算为</w:t>
      </w:r>
      <w:r>
        <w:rPr>
          <w:rFonts w:hint="eastAsia" w:ascii="仿宋_GB2312" w:hAnsi="仿宋_GB2312" w:eastAsia="仿宋_GB2312" w:cs="仿宋_GB2312"/>
          <w:color w:val="000000"/>
          <w:sz w:val="32"/>
          <w:highlight w:val="none"/>
          <w:lang w:val="en-US" w:eastAsia="zh-CN"/>
        </w:rPr>
        <w:t>22.1</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rPr>
        <w:t>2</w:t>
      </w:r>
      <w:r>
        <w:rPr>
          <w:rFonts w:hint="eastAsia" w:ascii="仿宋_GB2312" w:hAnsi="仿宋_GB2312" w:eastAsia="仿宋_GB2312" w:cs="仿宋_GB2312"/>
          <w:color w:val="000000"/>
          <w:sz w:val="32"/>
          <w:highlight w:val="none"/>
          <w:lang w:val="en-US" w:eastAsia="zh-CN"/>
        </w:rPr>
        <w:t>4</w:t>
      </w:r>
      <w:r>
        <w:rPr>
          <w:rFonts w:hint="eastAsia" w:ascii="仿宋_GB2312" w:hAnsi="仿宋_GB2312" w:eastAsia="仿宋_GB2312" w:cs="仿宋_GB2312"/>
          <w:color w:val="000000"/>
          <w:sz w:val="32"/>
          <w:highlight w:val="none"/>
        </w:rPr>
        <w:t>.卫生</w:t>
      </w:r>
      <w:r>
        <w:rPr>
          <w:rFonts w:hint="eastAsia" w:ascii="仿宋_GB2312" w:hAnsi="仿宋_GB2312" w:eastAsia="仿宋_GB2312" w:cs="仿宋_GB2312"/>
          <w:color w:val="000000"/>
          <w:sz w:val="32"/>
          <w:highlight w:val="none"/>
          <w:lang w:eastAsia="zh-CN"/>
        </w:rPr>
        <w:t>健康</w:t>
      </w:r>
      <w:r>
        <w:rPr>
          <w:rFonts w:hint="eastAsia" w:ascii="仿宋_GB2312" w:hAnsi="仿宋_GB2312" w:eastAsia="仿宋_GB2312" w:cs="仿宋_GB2312"/>
          <w:color w:val="000000"/>
          <w:sz w:val="32"/>
          <w:highlight w:val="none"/>
        </w:rPr>
        <w:t>支出（类）行政事业单位医疗（款）事业单位医疗（项）：支出决算为</w:t>
      </w:r>
      <w:r>
        <w:rPr>
          <w:rFonts w:hint="eastAsia" w:ascii="仿宋_GB2312" w:hAnsi="仿宋_GB2312" w:eastAsia="仿宋_GB2312" w:cs="仿宋_GB2312"/>
          <w:color w:val="000000"/>
          <w:sz w:val="32"/>
          <w:highlight w:val="none"/>
          <w:lang w:val="en-US" w:eastAsia="zh-CN"/>
        </w:rPr>
        <w:t>291.65</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rPr>
        <w:t>2</w:t>
      </w:r>
      <w:r>
        <w:rPr>
          <w:rFonts w:hint="eastAsia" w:ascii="仿宋_GB2312" w:hAnsi="仿宋_GB2312" w:eastAsia="仿宋_GB2312" w:cs="仿宋_GB2312"/>
          <w:color w:val="000000"/>
          <w:sz w:val="32"/>
          <w:highlight w:val="none"/>
          <w:lang w:val="en-US" w:eastAsia="zh-CN"/>
        </w:rPr>
        <w:t>5</w:t>
      </w:r>
      <w:r>
        <w:rPr>
          <w:rFonts w:hint="eastAsia" w:ascii="仿宋_GB2312" w:hAnsi="仿宋_GB2312" w:eastAsia="仿宋_GB2312" w:cs="仿宋_GB2312"/>
          <w:color w:val="000000"/>
          <w:sz w:val="32"/>
          <w:highlight w:val="none"/>
        </w:rPr>
        <w:t>.卫生</w:t>
      </w:r>
      <w:r>
        <w:rPr>
          <w:rFonts w:hint="eastAsia" w:ascii="仿宋_GB2312" w:hAnsi="仿宋_GB2312" w:eastAsia="仿宋_GB2312" w:cs="仿宋_GB2312"/>
          <w:color w:val="000000"/>
          <w:sz w:val="32"/>
          <w:highlight w:val="none"/>
          <w:lang w:eastAsia="zh-CN"/>
        </w:rPr>
        <w:t>健康</w:t>
      </w:r>
      <w:r>
        <w:rPr>
          <w:rFonts w:hint="eastAsia" w:ascii="仿宋_GB2312" w:hAnsi="仿宋_GB2312" w:eastAsia="仿宋_GB2312" w:cs="仿宋_GB2312"/>
          <w:color w:val="000000"/>
          <w:sz w:val="32"/>
          <w:highlight w:val="none"/>
        </w:rPr>
        <w:t>支出（类）行政事业单位医疗（款）公务员医疗补助（项）：支出决算为</w:t>
      </w:r>
      <w:r>
        <w:rPr>
          <w:rFonts w:hint="eastAsia" w:ascii="仿宋_GB2312" w:hAnsi="仿宋_GB2312" w:eastAsia="仿宋_GB2312" w:cs="仿宋_GB2312"/>
          <w:color w:val="000000"/>
          <w:sz w:val="32"/>
          <w:highlight w:val="none"/>
          <w:lang w:val="en-US" w:eastAsia="zh-CN"/>
        </w:rPr>
        <w:t>87.22</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rPr>
        <w:t>2</w:t>
      </w:r>
      <w:r>
        <w:rPr>
          <w:rFonts w:hint="eastAsia" w:ascii="仿宋_GB2312" w:hAnsi="仿宋_GB2312" w:eastAsia="仿宋_GB2312" w:cs="仿宋_GB2312"/>
          <w:color w:val="000000"/>
          <w:sz w:val="32"/>
          <w:highlight w:val="none"/>
          <w:lang w:val="en-US" w:eastAsia="zh-CN"/>
        </w:rPr>
        <w:t>6</w:t>
      </w:r>
      <w:r>
        <w:rPr>
          <w:rFonts w:hint="eastAsia" w:ascii="仿宋_GB2312" w:hAnsi="仿宋_GB2312" w:eastAsia="仿宋_GB2312" w:cs="仿宋_GB2312"/>
          <w:color w:val="000000"/>
          <w:sz w:val="32"/>
          <w:highlight w:val="none"/>
        </w:rPr>
        <w:t>.商业服务业等支出（类）商业流通事务（款）其他商业流通事务支出（项）：支出决算为</w:t>
      </w:r>
      <w:r>
        <w:rPr>
          <w:rFonts w:hint="eastAsia" w:ascii="仿宋_GB2312" w:hAnsi="仿宋_GB2312" w:eastAsia="仿宋_GB2312" w:cs="仿宋_GB2312"/>
          <w:color w:val="000000"/>
          <w:sz w:val="32"/>
          <w:highlight w:val="none"/>
          <w:lang w:val="en-US" w:eastAsia="zh-CN"/>
        </w:rPr>
        <w:t>13181.00</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99.30</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决算数小于预算的主要原因是</w:t>
      </w:r>
      <w:r>
        <w:rPr>
          <w:rFonts w:hint="eastAsia" w:ascii="仿宋_GB2312" w:hAnsi="仿宋_GB2312" w:eastAsia="仿宋_GB2312" w:cs="仿宋_GB2312"/>
          <w:color w:val="000000"/>
          <w:sz w:val="32"/>
          <w:highlight w:val="none"/>
          <w:lang w:eastAsia="zh-CN"/>
        </w:rPr>
        <w:t>四川商务职业学院其他支出项目未完全执行</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lang w:eastAsia="zh-CN"/>
        </w:rPr>
      </w:pPr>
      <w:r>
        <w:rPr>
          <w:rFonts w:hint="eastAsia" w:ascii="仿宋_GB2312" w:hAnsi="仿宋_GB2312" w:eastAsia="仿宋_GB2312" w:cs="仿宋_GB2312"/>
          <w:color w:val="000000"/>
          <w:sz w:val="32"/>
          <w:highlight w:val="none"/>
        </w:rPr>
        <w:t>2</w:t>
      </w:r>
      <w:r>
        <w:rPr>
          <w:rFonts w:hint="eastAsia" w:ascii="仿宋_GB2312" w:hAnsi="仿宋_GB2312" w:eastAsia="仿宋_GB2312" w:cs="仿宋_GB2312"/>
          <w:color w:val="000000"/>
          <w:sz w:val="32"/>
          <w:highlight w:val="none"/>
          <w:lang w:val="en-US" w:eastAsia="zh-CN"/>
        </w:rPr>
        <w:t>7</w:t>
      </w:r>
      <w:r>
        <w:rPr>
          <w:rFonts w:hint="eastAsia" w:ascii="仿宋_GB2312" w:hAnsi="仿宋_GB2312" w:eastAsia="仿宋_GB2312" w:cs="仿宋_GB2312"/>
          <w:color w:val="000000"/>
          <w:sz w:val="32"/>
          <w:highlight w:val="none"/>
        </w:rPr>
        <w:t>.商业服务业等支出（类）涉外发展服务支出（款）其他涉外发展服务支出（项）：支出决算为</w:t>
      </w:r>
      <w:r>
        <w:rPr>
          <w:rFonts w:hint="eastAsia" w:ascii="仿宋_GB2312" w:hAnsi="仿宋_GB2312" w:eastAsia="仿宋_GB2312" w:cs="仿宋_GB2312"/>
          <w:color w:val="000000"/>
          <w:sz w:val="32"/>
          <w:highlight w:val="none"/>
          <w:lang w:val="en-US" w:eastAsia="zh-CN"/>
        </w:rPr>
        <w:t>95</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rPr>
        <w:t>2</w:t>
      </w:r>
      <w:r>
        <w:rPr>
          <w:rFonts w:hint="eastAsia" w:ascii="仿宋_GB2312" w:hAnsi="仿宋_GB2312" w:eastAsia="仿宋_GB2312" w:cs="仿宋_GB2312"/>
          <w:color w:val="000000"/>
          <w:sz w:val="32"/>
          <w:highlight w:val="none"/>
          <w:lang w:val="en-US" w:eastAsia="zh-CN"/>
        </w:rPr>
        <w:t>8</w:t>
      </w:r>
      <w:r>
        <w:rPr>
          <w:rFonts w:hint="eastAsia" w:ascii="仿宋_GB2312" w:hAnsi="仿宋_GB2312" w:eastAsia="仿宋_GB2312" w:cs="仿宋_GB2312"/>
          <w:color w:val="000000"/>
          <w:sz w:val="32"/>
          <w:highlight w:val="none"/>
        </w:rPr>
        <w:t>.商业服务业等支出（类）其他商业服务业等支出（款）其他商业服务业等支出（项）：支出决算为</w:t>
      </w:r>
      <w:r>
        <w:rPr>
          <w:rFonts w:hint="eastAsia" w:ascii="仿宋_GB2312" w:hAnsi="仿宋_GB2312" w:eastAsia="仿宋_GB2312" w:cs="仿宋_GB2312"/>
          <w:color w:val="000000"/>
          <w:sz w:val="32"/>
          <w:highlight w:val="none"/>
          <w:lang w:val="en-US" w:eastAsia="zh-CN"/>
        </w:rPr>
        <w:t>958.94</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highlight w:val="none"/>
        </w:rPr>
        <w:t>%。</w:t>
      </w:r>
    </w:p>
    <w:p>
      <w:pPr>
        <w:pStyle w:val="31"/>
        <w:autoSpaceDN w:val="0"/>
        <w:ind w:firstLine="640" w:firstLineChars="200"/>
        <w:jc w:val="both"/>
        <w:textAlignment w:val="bottom"/>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rPr>
        <w:t>2</w:t>
      </w:r>
      <w:r>
        <w:rPr>
          <w:rFonts w:hint="eastAsia" w:ascii="仿宋_GB2312" w:hAnsi="仿宋_GB2312" w:eastAsia="仿宋_GB2312" w:cs="仿宋_GB2312"/>
          <w:color w:val="000000"/>
          <w:sz w:val="32"/>
          <w:highlight w:val="none"/>
          <w:lang w:val="en-US" w:eastAsia="zh-CN"/>
        </w:rPr>
        <w:t>9</w:t>
      </w:r>
      <w:r>
        <w:rPr>
          <w:rFonts w:hint="eastAsia" w:ascii="仿宋_GB2312" w:hAnsi="仿宋_GB2312" w:eastAsia="仿宋_GB2312" w:cs="仿宋_GB2312"/>
          <w:color w:val="000000"/>
          <w:sz w:val="32"/>
          <w:highlight w:val="none"/>
        </w:rPr>
        <w:t>.住房保障支出（类）住房改革支出（款）住房公积金（项）：支出决算为</w:t>
      </w:r>
      <w:r>
        <w:rPr>
          <w:rFonts w:hint="eastAsia" w:ascii="仿宋_GB2312" w:hAnsi="仿宋_GB2312" w:eastAsia="仿宋_GB2312" w:cs="仿宋_GB2312"/>
          <w:color w:val="000000"/>
          <w:sz w:val="32"/>
          <w:highlight w:val="none"/>
          <w:lang w:val="en-US" w:eastAsia="zh-CN"/>
        </w:rPr>
        <w:t>394.43</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99.35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决算数小于预算的主要原因是</w:t>
      </w:r>
      <w:r>
        <w:rPr>
          <w:rFonts w:hint="eastAsia" w:ascii="仿宋_GB2312" w:hAnsi="仿宋_GB2312" w:eastAsia="仿宋_GB2312" w:cs="仿宋_GB2312"/>
          <w:color w:val="000000"/>
          <w:sz w:val="32"/>
          <w:highlight w:val="none"/>
          <w:lang w:eastAsia="zh-CN"/>
        </w:rPr>
        <w:t>四川省商务厅机关服务中心、四川省国际经济研究所未住房公积金有零星结余</w:t>
      </w:r>
      <w:r>
        <w:rPr>
          <w:rStyle w:val="38"/>
          <w:rFonts w:hint="eastAsia" w:ascii="仿宋_GB2312" w:hAnsi="仿宋_GB2312" w:eastAsia="仿宋_GB2312" w:cs="仿宋_GB2312"/>
          <w:b w:val="0"/>
          <w:bCs w:val="0"/>
          <w:color w:val="000000"/>
          <w:sz w:val="32"/>
          <w:szCs w:val="32"/>
          <w:highlight w:val="none"/>
        </w:rPr>
        <w:t>。</w:t>
      </w:r>
    </w:p>
    <w:p>
      <w:pPr>
        <w:spacing w:line="600" w:lineRule="exact"/>
        <w:ind w:firstLine="640" w:firstLineChars="200"/>
        <w:jc w:val="both"/>
        <w:rPr>
          <w:rFonts w:hint="eastAsia" w:ascii="仿宋_GB2312" w:hAnsi="仿宋_GB2312" w:eastAsia="仿宋_GB2312" w:cs="仿宋_GB2312"/>
          <w:color w:val="000000"/>
          <w:sz w:val="32"/>
          <w:highlight w:val="none"/>
        </w:rPr>
      </w:pPr>
      <w:r>
        <w:rPr>
          <w:rFonts w:hint="eastAsia" w:ascii="仿宋_GB2312" w:hAnsi="仿宋_GB2312" w:eastAsia="仿宋_GB2312" w:cs="仿宋_GB2312"/>
          <w:color w:val="000000"/>
          <w:sz w:val="32"/>
          <w:highlight w:val="none"/>
          <w:lang w:val="en-US" w:eastAsia="zh-CN"/>
        </w:rPr>
        <w:t>30</w:t>
      </w:r>
      <w:r>
        <w:rPr>
          <w:rFonts w:hint="eastAsia" w:ascii="仿宋_GB2312" w:hAnsi="仿宋_GB2312" w:eastAsia="仿宋_GB2312" w:cs="仿宋_GB2312"/>
          <w:color w:val="000000"/>
          <w:sz w:val="32"/>
          <w:highlight w:val="none"/>
        </w:rPr>
        <w:t>.住房保障支出（类）住房改革支出（款）购房补贴（项）：支出决算为</w:t>
      </w:r>
      <w:r>
        <w:rPr>
          <w:rFonts w:hint="eastAsia" w:ascii="仿宋_GB2312" w:hAnsi="仿宋_GB2312" w:eastAsia="仿宋_GB2312" w:cs="仿宋_GB2312"/>
          <w:color w:val="000000"/>
          <w:sz w:val="32"/>
          <w:highlight w:val="none"/>
          <w:lang w:val="en-US" w:eastAsia="zh-CN"/>
        </w:rPr>
        <w:t>379.87</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99.70</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决算数小于预算的主要原因是</w:t>
      </w:r>
      <w:r>
        <w:rPr>
          <w:rFonts w:hint="eastAsia" w:ascii="仿宋_GB2312" w:hAnsi="仿宋_GB2312" w:eastAsia="仿宋_GB2312" w:cs="仿宋_GB2312"/>
          <w:color w:val="000000"/>
          <w:sz w:val="32"/>
          <w:highlight w:val="none"/>
          <w:lang w:eastAsia="zh-CN"/>
        </w:rPr>
        <w:t>四川省商务厅信息中心购房补贴有零星结余</w:t>
      </w:r>
      <w:r>
        <w:rPr>
          <w:rFonts w:hint="eastAsia" w:ascii="仿宋_GB2312" w:hAnsi="仿宋_GB2312" w:eastAsia="仿宋_GB2312" w:cs="仿宋_GB2312"/>
          <w:color w:val="000000"/>
          <w:sz w:val="32"/>
          <w:highlight w:val="none"/>
        </w:rPr>
        <w:t>。</w:t>
      </w:r>
    </w:p>
    <w:p>
      <w:pPr>
        <w:spacing w:line="600" w:lineRule="exact"/>
        <w:ind w:firstLine="640" w:firstLineChars="200"/>
        <w:jc w:val="both"/>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000000"/>
          <w:sz w:val="32"/>
          <w:highlight w:val="none"/>
        </w:rPr>
        <w:t>3</w:t>
      </w:r>
      <w:r>
        <w:rPr>
          <w:rFonts w:hint="eastAsia" w:ascii="仿宋_GB2312" w:hAnsi="仿宋_GB2312" w:eastAsia="仿宋_GB2312" w:cs="仿宋_GB2312"/>
          <w:color w:val="000000"/>
          <w:sz w:val="32"/>
          <w:highlight w:val="none"/>
          <w:lang w:val="en-US" w:eastAsia="zh-CN"/>
        </w:rPr>
        <w:t>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灾害防治及应急管理支出</w:t>
      </w:r>
      <w:r>
        <w:rPr>
          <w:rFonts w:hint="eastAsia" w:ascii="仿宋_GB2312" w:hAnsi="仿宋_GB2312" w:eastAsia="仿宋_GB2312" w:cs="仿宋_GB2312"/>
          <w:color w:val="000000"/>
          <w:sz w:val="32"/>
          <w:highlight w:val="none"/>
        </w:rPr>
        <w:t>（类）</w:t>
      </w:r>
      <w:r>
        <w:rPr>
          <w:rFonts w:hint="eastAsia" w:ascii="仿宋_GB2312" w:hAnsi="仿宋_GB2312" w:eastAsia="仿宋_GB2312" w:cs="仿宋_GB2312"/>
          <w:color w:val="000000"/>
          <w:sz w:val="32"/>
          <w:highlight w:val="none"/>
          <w:lang w:eastAsia="zh-CN"/>
        </w:rPr>
        <w:t>应急管理事务</w:t>
      </w:r>
      <w:r>
        <w:rPr>
          <w:rFonts w:hint="eastAsia" w:ascii="仿宋_GB2312" w:hAnsi="仿宋_GB2312" w:eastAsia="仿宋_GB2312" w:cs="仿宋_GB2312"/>
          <w:color w:val="000000"/>
          <w:sz w:val="32"/>
          <w:highlight w:val="none"/>
        </w:rPr>
        <w:t>（款）</w:t>
      </w:r>
      <w:r>
        <w:rPr>
          <w:rFonts w:hint="eastAsia" w:ascii="仿宋_GB2312" w:hAnsi="仿宋_GB2312" w:eastAsia="仿宋_GB2312" w:cs="仿宋_GB2312"/>
          <w:color w:val="000000"/>
          <w:sz w:val="32"/>
          <w:highlight w:val="none"/>
          <w:lang w:eastAsia="zh-CN"/>
        </w:rPr>
        <w:t>安全监管</w:t>
      </w:r>
      <w:r>
        <w:rPr>
          <w:rFonts w:hint="eastAsia" w:ascii="仿宋_GB2312" w:hAnsi="仿宋_GB2312" w:eastAsia="仿宋_GB2312" w:cs="仿宋_GB2312"/>
          <w:color w:val="000000"/>
          <w:sz w:val="32"/>
          <w:highlight w:val="none"/>
        </w:rPr>
        <w:t>（项）：支出决算为</w:t>
      </w:r>
      <w:r>
        <w:rPr>
          <w:rFonts w:hint="eastAsia" w:ascii="仿宋_GB2312" w:hAnsi="仿宋_GB2312" w:eastAsia="仿宋_GB2312" w:cs="仿宋_GB2312"/>
          <w:color w:val="000000"/>
          <w:sz w:val="32"/>
          <w:highlight w:val="none"/>
          <w:lang w:val="en-US" w:eastAsia="zh-CN"/>
        </w:rPr>
        <w:t>5</w:t>
      </w:r>
      <w:r>
        <w:rPr>
          <w:rFonts w:hint="eastAsia"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lang w:val="en-US" w:eastAsia="zh-CN"/>
        </w:rPr>
        <w:t>100</w:t>
      </w:r>
      <w:r>
        <w:rPr>
          <w:rFonts w:hint="eastAsia" w:ascii="仿宋_GB2312" w:hAnsi="仿宋_GB2312" w:eastAsia="仿宋_GB2312" w:cs="仿宋_GB2312"/>
          <w:color w:val="000000"/>
          <w:sz w:val="32"/>
          <w:highlight w:val="none"/>
        </w:rPr>
        <w:t>%。</w:t>
      </w:r>
    </w:p>
    <w:p>
      <w:pPr>
        <w:tabs>
          <w:tab w:val="right" w:pos="8306"/>
        </w:tabs>
        <w:spacing w:line="600" w:lineRule="exact"/>
        <w:ind w:firstLine="640"/>
        <w:outlineLvl w:val="1"/>
        <w:rPr>
          <w:rStyle w:val="26"/>
          <w:color w:val="auto"/>
          <w:highlight w:val="none"/>
        </w:rPr>
      </w:pPr>
      <w:bookmarkStart w:id="69" w:name="_Toc1190441678_WPSOffice_Level2"/>
      <w:bookmarkStart w:id="70" w:name="_Toc2525"/>
      <w:bookmarkStart w:id="71" w:name="_Toc15377214"/>
      <w:bookmarkStart w:id="72" w:name="_Toc15396608"/>
      <w:bookmarkStart w:id="73" w:name="_Toc64154838_WPSOffice_Level2"/>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69"/>
      <w:bookmarkEnd w:id="70"/>
      <w:bookmarkEnd w:id="71"/>
      <w:bookmarkEnd w:id="72"/>
      <w:bookmarkEnd w:id="73"/>
      <w:r>
        <w:rPr>
          <w:rStyle w:val="26"/>
          <w:rFonts w:ascii="黑体" w:hAnsi="黑体" w:eastAsia="黑体"/>
          <w:b w:val="0"/>
          <w:color w:val="auto"/>
          <w:highlight w:val="none"/>
        </w:rPr>
        <w:tab/>
      </w:r>
    </w:p>
    <w:p>
      <w:pPr>
        <w:spacing w:line="60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年一般公共预算财政拨款基本支出</w:t>
      </w:r>
      <w:r>
        <w:rPr>
          <w:rFonts w:hint="eastAsia" w:ascii="仿宋_GB2312" w:hAnsi="仿宋_GB2312" w:eastAsia="仿宋_GB2312" w:cs="仿宋_GB2312"/>
          <w:color w:val="auto"/>
          <w:sz w:val="32"/>
          <w:szCs w:val="32"/>
          <w:highlight w:val="none"/>
          <w:lang w:val="en-US" w:eastAsia="zh-CN"/>
        </w:rPr>
        <w:t>15947.89</w:t>
      </w:r>
      <w:r>
        <w:rPr>
          <w:rFonts w:hint="eastAsia" w:ascii="仿宋_GB2312" w:hAnsi="仿宋_GB2312" w:eastAsia="仿宋_GB2312" w:cs="仿宋_GB2312"/>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_GB2312" w:hAnsi="仿宋_GB2312" w:eastAsia="仿宋_GB2312" w:cs="仿宋_GB2312"/>
          <w:color w:val="auto"/>
          <w:sz w:val="32"/>
          <w:szCs w:val="32"/>
          <w:highlight w:val="none"/>
        </w:rPr>
        <w:t>人员经费</w:t>
      </w:r>
      <w:r>
        <w:rPr>
          <w:rFonts w:hint="eastAsia" w:ascii="仿宋_GB2312" w:hAnsi="仿宋_GB2312" w:eastAsia="仿宋_GB2312" w:cs="仿宋_GB2312"/>
          <w:color w:val="auto"/>
          <w:sz w:val="32"/>
          <w:szCs w:val="32"/>
          <w:highlight w:val="none"/>
          <w:lang w:val="en-US" w:eastAsia="zh-CN"/>
        </w:rPr>
        <w:t>13119.85</w:t>
      </w:r>
      <w:r>
        <w:rPr>
          <w:rFonts w:hint="eastAsia" w:ascii="仿宋_GB2312" w:hAnsi="仿宋_GB2312" w:eastAsia="仿宋_GB2312" w:cs="仿宋_GB2312"/>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公用经费</w:t>
      </w:r>
      <w:r>
        <w:rPr>
          <w:rFonts w:hint="eastAsia" w:ascii="仿宋_GB2312" w:hAnsi="仿宋_GB2312" w:eastAsia="仿宋_GB2312" w:cs="仿宋_GB2312"/>
          <w:color w:val="auto"/>
          <w:sz w:val="32"/>
          <w:szCs w:val="32"/>
          <w:highlight w:val="none"/>
          <w:lang w:val="en-US" w:eastAsia="zh-CN"/>
        </w:rPr>
        <w:t>2828.04</w:t>
      </w:r>
      <w:r>
        <w:rPr>
          <w:rFonts w:hint="eastAsia" w:ascii="仿宋_GB2312" w:hAnsi="仿宋_GB2312" w:eastAsia="仿宋_GB2312" w:cs="仿宋_GB2312"/>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color w:val="auto"/>
          <w:highlight w:val="none"/>
        </w:rPr>
      </w:pPr>
      <w:bookmarkStart w:id="74" w:name="_Toc363278364_WPSOffice_Level2"/>
      <w:bookmarkStart w:id="75" w:name="_Toc15396609"/>
      <w:bookmarkStart w:id="76" w:name="_Toc15377215"/>
      <w:bookmarkStart w:id="77" w:name="_Toc629876170_WPSOffice_Level2"/>
      <w:bookmarkStart w:id="78" w:name="_Toc20269"/>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74"/>
      <w:bookmarkEnd w:id="75"/>
      <w:bookmarkEnd w:id="76"/>
      <w:bookmarkEnd w:id="77"/>
      <w:bookmarkEnd w:id="78"/>
    </w:p>
    <w:p>
      <w:pPr>
        <w:spacing w:line="600" w:lineRule="exact"/>
        <w:ind w:firstLine="642" w:firstLineChars="200"/>
        <w:outlineLvl w:val="2"/>
        <w:rPr>
          <w:rFonts w:hint="eastAsia" w:ascii="楷体_GB2312" w:hAnsi="楷体_GB2312" w:eastAsia="楷体_GB2312" w:cs="楷体_GB2312"/>
          <w:b/>
          <w:color w:val="auto"/>
          <w:sz w:val="32"/>
          <w:szCs w:val="32"/>
          <w:highlight w:val="none"/>
        </w:rPr>
      </w:pPr>
      <w:bookmarkStart w:id="79" w:name="_Toc15377216"/>
      <w:r>
        <w:rPr>
          <w:rFonts w:hint="eastAsia" w:ascii="楷体_GB2312" w:hAnsi="楷体_GB2312" w:eastAsia="楷体_GB2312" w:cs="楷体_GB2312"/>
          <w:b/>
          <w:color w:val="auto"/>
          <w:sz w:val="32"/>
          <w:szCs w:val="32"/>
          <w:highlight w:val="none"/>
        </w:rPr>
        <w:t>（一）“三公”经费财政拨款支出决算总体情况说明</w:t>
      </w:r>
      <w:bookmarkEnd w:id="79"/>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年“三公”经费财政拨款支出决算为</w:t>
      </w:r>
      <w:r>
        <w:rPr>
          <w:rFonts w:hint="eastAsia" w:ascii="仿宋_GB2312" w:hAnsi="仿宋_GB2312" w:eastAsia="仿宋_GB2312" w:cs="仿宋_GB2312"/>
          <w:color w:val="auto"/>
          <w:sz w:val="32"/>
          <w:szCs w:val="32"/>
          <w:highlight w:val="none"/>
          <w:lang w:val="en-US" w:eastAsia="zh-CN"/>
        </w:rPr>
        <w:t>102.11</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40.76</w:t>
      </w:r>
      <w:r>
        <w:rPr>
          <w:rFonts w:hint="eastAsia" w:ascii="仿宋_GB2312" w:hAnsi="仿宋_GB2312" w:eastAsia="仿宋_GB2312" w:cs="仿宋_GB2312"/>
          <w:color w:val="auto"/>
          <w:sz w:val="32"/>
          <w:szCs w:val="32"/>
          <w:highlight w:val="none"/>
        </w:rPr>
        <w:t>%，决算数小于预算数的主要原因是</w:t>
      </w:r>
      <w:r>
        <w:rPr>
          <w:rFonts w:hint="eastAsia" w:ascii="仿宋_GB2312" w:hAnsi="仿宋_GB2312" w:eastAsia="仿宋_GB2312" w:cs="仿宋_GB2312"/>
          <w:sz w:val="32"/>
          <w:szCs w:val="32"/>
        </w:rPr>
        <w:t>我厅严格执行公务接待管理制度，减少接待次数和陪同人数，不断压缩接待费支出；减少车辆维修费支出</w:t>
      </w:r>
      <w:r>
        <w:rPr>
          <w:rFonts w:hint="eastAsia" w:ascii="仿宋_GB2312" w:hAnsi="仿宋_GB2312" w:eastAsia="仿宋_GB2312" w:cs="仿宋_GB2312"/>
          <w:sz w:val="32"/>
          <w:szCs w:val="32"/>
          <w:lang w:eastAsia="zh-CN"/>
        </w:rPr>
        <w:t>；受疫情影响无因公出国（境）费用</w:t>
      </w:r>
      <w:r>
        <w:rPr>
          <w:rFonts w:hint="eastAsia" w:ascii="仿宋_GB2312" w:hAnsi="仿宋_GB2312" w:eastAsia="仿宋_GB2312" w:cs="仿宋_GB2312"/>
          <w:sz w:val="32"/>
          <w:szCs w:val="32"/>
        </w:rPr>
        <w:t>等</w:t>
      </w:r>
      <w:r>
        <w:rPr>
          <w:rFonts w:hint="eastAsia" w:ascii="仿宋_GB2312" w:hAnsi="仿宋_GB2312" w:eastAsia="仿宋_GB2312" w:cs="仿宋_GB2312"/>
          <w:color w:val="auto"/>
          <w:sz w:val="32"/>
          <w:szCs w:val="32"/>
          <w:highlight w:val="none"/>
        </w:rPr>
        <w:t>。</w:t>
      </w:r>
    </w:p>
    <w:p>
      <w:pPr>
        <w:spacing w:line="600" w:lineRule="exact"/>
        <w:ind w:firstLine="642" w:firstLineChars="200"/>
        <w:outlineLvl w:val="2"/>
        <w:rPr>
          <w:rFonts w:hint="eastAsia" w:ascii="楷体_GB2312" w:hAnsi="楷体_GB2312" w:eastAsia="楷体_GB2312" w:cs="楷体_GB2312"/>
          <w:b/>
          <w:color w:val="auto"/>
          <w:sz w:val="32"/>
          <w:szCs w:val="32"/>
          <w:highlight w:val="none"/>
        </w:rPr>
      </w:pPr>
      <w:bookmarkStart w:id="80" w:name="_Toc15377217"/>
      <w:r>
        <w:rPr>
          <w:rFonts w:hint="eastAsia" w:ascii="楷体_GB2312" w:hAnsi="楷体_GB2312" w:eastAsia="楷体_GB2312" w:cs="楷体_GB2312"/>
          <w:b/>
          <w:color w:val="auto"/>
          <w:sz w:val="32"/>
          <w:szCs w:val="32"/>
          <w:highlight w:val="none"/>
        </w:rPr>
        <w:t>（二）“三公”经费财政拨款支出决算具体情况说明</w:t>
      </w:r>
      <w:bookmarkEnd w:id="80"/>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%；公务用车购置及运行维护费支出决算</w:t>
      </w:r>
      <w:r>
        <w:rPr>
          <w:rFonts w:hint="eastAsia" w:ascii="仿宋_GB2312" w:hAnsi="仿宋_GB2312" w:eastAsia="仿宋_GB2312" w:cs="仿宋_GB2312"/>
          <w:color w:val="auto"/>
          <w:sz w:val="32"/>
          <w:szCs w:val="32"/>
          <w:highlight w:val="none"/>
          <w:lang w:val="en-US" w:eastAsia="zh-CN"/>
        </w:rPr>
        <w:t>95.54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93.57</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6.57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6.43</w:t>
      </w:r>
      <w:r>
        <w:rPr>
          <w:rFonts w:hint="eastAsia" w:ascii="仿宋_GB2312" w:hAnsi="仿宋_GB2312" w:eastAsia="仿宋_GB2312" w:cs="仿宋_GB2312"/>
          <w:color w:val="auto"/>
          <w:sz w:val="32"/>
          <w:szCs w:val="32"/>
          <w:highlight w:val="none"/>
        </w:rPr>
        <w:t>%。具体情况如下：</w:t>
      </w:r>
    </w:p>
    <w:p>
      <w:pPr>
        <w:pStyle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drawing>
          <wp:inline distT="0" distB="0" distL="114300" distR="114300">
            <wp:extent cx="3867150" cy="2219325"/>
            <wp:effectExtent l="4445" t="4445" r="14605" b="508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（图7：“三公”经费财政拨款支出结构）（饼状图）</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199.59</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 w:hAnsi="仿宋" w:eastAsia="仿宋"/>
          <w:sz w:val="32"/>
          <w:szCs w:val="32"/>
          <w:lang w:eastAsia="zh-CN"/>
        </w:rPr>
        <w:t>受疫情影响无因公出国（境）费用</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95.54</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58.31</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2.38</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2.43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000000"/>
          <w:sz w:val="32"/>
          <w:szCs w:val="32"/>
        </w:rPr>
        <w:t>厉行节约，</w:t>
      </w:r>
      <w:r>
        <w:rPr>
          <w:rFonts w:hint="eastAsia" w:ascii="仿宋_GB2312" w:eastAsia="仿宋_GB2312"/>
          <w:color w:val="000000"/>
          <w:sz w:val="32"/>
          <w:szCs w:val="32"/>
          <w:lang w:eastAsia="zh-CN"/>
        </w:rPr>
        <w:t>压缩</w:t>
      </w:r>
      <w:r>
        <w:rPr>
          <w:rFonts w:hint="eastAsia" w:ascii="仿宋_GB2312" w:eastAsia="仿宋_GB2312"/>
          <w:color w:val="000000"/>
          <w:sz w:val="32"/>
          <w:szCs w:val="32"/>
        </w:rPr>
        <w:t>公务用车运行费用</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29</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13</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13</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、其他</w:t>
      </w:r>
      <w:r>
        <w:rPr>
          <w:rFonts w:hint="eastAsia" w:ascii="仿宋_GB2312" w:eastAsia="仿宋_GB2312"/>
          <w:color w:val="auto"/>
          <w:sz w:val="32"/>
          <w:szCs w:val="32"/>
          <w:highlight w:val="none"/>
          <w:lang w:val="en-US" w:eastAsia="zh-CN"/>
        </w:rPr>
        <w:t>车型1辆</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95.54</w:t>
      </w:r>
      <w:r>
        <w:rPr>
          <w:rFonts w:hint="eastAsia" w:ascii="仿宋_GB2312" w:eastAsia="仿宋_GB2312"/>
          <w:color w:val="auto"/>
          <w:sz w:val="32"/>
          <w:szCs w:val="32"/>
          <w:highlight w:val="none"/>
        </w:rPr>
        <w:t>万元。主要用于</w:t>
      </w:r>
      <w:r>
        <w:rPr>
          <w:rFonts w:hint="eastAsia" w:ascii="仿宋_GB2312" w:eastAsia="仿宋_GB2312"/>
          <w:color w:val="000000"/>
          <w:sz w:val="32"/>
          <w:szCs w:val="32"/>
        </w:rPr>
        <w:t>电子商务进农村、脱贫</w:t>
      </w:r>
      <w:r>
        <w:rPr>
          <w:rFonts w:hint="eastAsia" w:ascii="仿宋_GB2312" w:eastAsia="仿宋_GB2312"/>
          <w:color w:val="000000"/>
          <w:sz w:val="32"/>
          <w:szCs w:val="32"/>
          <w:lang w:eastAsia="zh-CN"/>
        </w:rPr>
        <w:t>攻坚</w:t>
      </w:r>
      <w:r>
        <w:rPr>
          <w:rFonts w:hint="eastAsia" w:ascii="仿宋_GB2312" w:eastAsia="仿宋_GB2312"/>
          <w:color w:val="000000"/>
          <w:sz w:val="32"/>
          <w:szCs w:val="32"/>
        </w:rPr>
        <w:t>、</w:t>
      </w:r>
      <w:r>
        <w:rPr>
          <w:rFonts w:hint="eastAsia" w:ascii="仿宋_GB2312" w:eastAsia="仿宋_GB2312"/>
          <w:color w:val="000000"/>
          <w:sz w:val="32"/>
          <w:szCs w:val="32"/>
          <w:lang w:eastAsia="zh-CN"/>
        </w:rPr>
        <w:t>市场</w:t>
      </w:r>
      <w:r>
        <w:rPr>
          <w:rFonts w:hint="eastAsia" w:ascii="仿宋_GB2312" w:eastAsia="仿宋_GB2312"/>
          <w:color w:val="000000"/>
          <w:sz w:val="32"/>
          <w:szCs w:val="32"/>
        </w:rPr>
        <w:t>体系建设、</w:t>
      </w:r>
      <w:r>
        <w:rPr>
          <w:rFonts w:hint="eastAsia" w:ascii="仿宋_GB2312" w:eastAsia="仿宋_GB2312"/>
          <w:color w:val="000000"/>
          <w:sz w:val="32"/>
          <w:szCs w:val="32"/>
          <w:lang w:eastAsia="zh-CN"/>
        </w:rPr>
        <w:t>安全</w:t>
      </w:r>
      <w:r>
        <w:rPr>
          <w:rFonts w:hint="eastAsia" w:ascii="仿宋_GB2312" w:eastAsia="仿宋_GB2312"/>
          <w:color w:val="000000"/>
          <w:sz w:val="32"/>
          <w:szCs w:val="32"/>
        </w:rPr>
        <w:t>检查</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6.57</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11.59</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6.24</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48.71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000000"/>
          <w:sz w:val="32"/>
          <w:szCs w:val="32"/>
          <w:lang w:eastAsia="zh-CN"/>
        </w:rPr>
        <w:t>按照过紧日子要求，减少接待批次和人数</w:t>
      </w:r>
      <w:r>
        <w:rPr>
          <w:rFonts w:hint="eastAsia" w:ascii="仿宋_GB2312" w:eastAsia="仿宋_GB2312"/>
          <w:color w:val="auto"/>
          <w:sz w:val="32"/>
          <w:szCs w:val="32"/>
          <w:highlight w:val="none"/>
        </w:rPr>
        <w:t>。其中：</w:t>
      </w:r>
    </w:p>
    <w:p>
      <w:pPr>
        <w:spacing w:line="600" w:lineRule="exact"/>
        <w:ind w:firstLine="640"/>
        <w:rPr>
          <w:rFonts w:hint="default" w:eastAsia="仿宋_GB2312"/>
          <w:highlight w:val="none"/>
          <w:lang w:val="en-US" w:eastAsia="zh-CN"/>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4.41</w:t>
      </w:r>
      <w:r>
        <w:rPr>
          <w:rFonts w:hint="eastAsia" w:ascii="仿宋_GB2312" w:eastAsia="仿宋_GB2312"/>
          <w:color w:val="auto"/>
          <w:sz w:val="32"/>
          <w:szCs w:val="32"/>
          <w:highlight w:val="none"/>
        </w:rPr>
        <w:t>万元，主要用于执行公务、</w:t>
      </w:r>
      <w:r>
        <w:rPr>
          <w:rFonts w:hint="eastAsia" w:ascii="仿宋_GB2312" w:eastAsia="仿宋_GB2312"/>
          <w:color w:val="auto"/>
          <w:sz w:val="32"/>
          <w:szCs w:val="32"/>
          <w:highlight w:val="none"/>
          <w:lang w:eastAsia="zh-CN"/>
        </w:rPr>
        <w:t>教育教学交流活动、</w:t>
      </w:r>
      <w:r>
        <w:rPr>
          <w:rFonts w:hint="eastAsia" w:ascii="仿宋_GB2312" w:eastAsia="仿宋_GB2312"/>
          <w:color w:val="auto"/>
          <w:sz w:val="32"/>
          <w:szCs w:val="32"/>
          <w:highlight w:val="none"/>
        </w:rPr>
        <w:t>开展业务活动开支的用餐费等。国内公务接待</w:t>
      </w:r>
      <w:r>
        <w:rPr>
          <w:rFonts w:hint="eastAsia" w:ascii="仿宋_GB2312" w:eastAsia="仿宋_GB2312"/>
          <w:color w:val="auto"/>
          <w:sz w:val="32"/>
          <w:szCs w:val="32"/>
          <w:highlight w:val="none"/>
          <w:lang w:val="en-US" w:eastAsia="zh-CN"/>
        </w:rPr>
        <w:t>42</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318</w:t>
      </w:r>
      <w:r>
        <w:rPr>
          <w:rFonts w:hint="eastAsia" w:ascii="仿宋_GB2312" w:eastAsia="仿宋_GB2312"/>
          <w:color w:val="auto"/>
          <w:sz w:val="32"/>
          <w:szCs w:val="32"/>
          <w:highlight w:val="none"/>
        </w:rPr>
        <w:t>人次（不包括陪同人员），共计支出4.</w:t>
      </w:r>
      <w:r>
        <w:rPr>
          <w:rFonts w:hint="eastAsia" w:ascii="仿宋_GB2312" w:eastAsia="仿宋_GB2312"/>
          <w:color w:val="auto"/>
          <w:sz w:val="32"/>
          <w:szCs w:val="32"/>
          <w:highlight w:val="none"/>
          <w:lang w:val="en-US" w:eastAsia="zh-CN"/>
        </w:rPr>
        <w:t>41</w:t>
      </w:r>
      <w:r>
        <w:rPr>
          <w:rFonts w:hint="eastAsia" w:ascii="仿宋_GB2312" w:eastAsia="仿宋_GB2312"/>
          <w:color w:val="auto"/>
          <w:sz w:val="32"/>
          <w:szCs w:val="32"/>
          <w:highlight w:val="none"/>
        </w:rPr>
        <w:t>万元，具体内容包括：接待相关省市商务厅（委）、商务部相关司局来川调研的支出</w:t>
      </w:r>
      <w:r>
        <w:rPr>
          <w:rFonts w:hint="eastAsia" w:ascii="仿宋_GB2312" w:eastAsia="仿宋_GB2312"/>
          <w:color w:val="auto"/>
          <w:sz w:val="32"/>
          <w:szCs w:val="32"/>
          <w:highlight w:val="none"/>
          <w:lang w:val="en-US" w:eastAsia="zh-CN"/>
        </w:rPr>
        <w:t>4.24万元</w:t>
      </w:r>
      <w:r>
        <w:rPr>
          <w:rFonts w:hint="eastAsia" w:ascii="仿宋_GB2312" w:eastAsia="仿宋_GB2312"/>
          <w:color w:val="auto"/>
          <w:sz w:val="32"/>
          <w:szCs w:val="32"/>
          <w:highlight w:val="none"/>
          <w:lang w:eastAsia="zh-CN"/>
        </w:rPr>
        <w:t>；教育教学交流活动</w:t>
      </w:r>
      <w:r>
        <w:rPr>
          <w:rFonts w:hint="eastAsia" w:ascii="仿宋_GB2312" w:eastAsia="仿宋_GB2312"/>
          <w:color w:val="auto"/>
          <w:sz w:val="32"/>
          <w:szCs w:val="32"/>
          <w:highlight w:val="none"/>
          <w:lang w:val="en-US" w:eastAsia="zh-CN"/>
        </w:rPr>
        <w:t>0.11万元；接待广电系统0.06万元</w:t>
      </w:r>
      <w:r>
        <w:rPr>
          <w:rFonts w:hint="eastAsia" w:ascii="仿宋_GB2312" w:eastAsia="仿宋_GB2312"/>
          <w:color w:val="auto"/>
          <w:sz w:val="32"/>
          <w:szCs w:val="32"/>
          <w:highlight w:val="none"/>
        </w:rPr>
        <w:t>。</w:t>
      </w:r>
    </w:p>
    <w:p>
      <w:pPr>
        <w:spacing w:line="600" w:lineRule="exact"/>
        <w:ind w:firstLine="642"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2.16</w:t>
      </w:r>
      <w:r>
        <w:rPr>
          <w:rFonts w:hint="eastAsia" w:ascii="仿宋_GB2312" w:eastAsia="仿宋_GB2312"/>
          <w:color w:val="auto"/>
          <w:sz w:val="32"/>
          <w:szCs w:val="32"/>
          <w:highlight w:val="none"/>
        </w:rPr>
        <w:t>万元，</w:t>
      </w:r>
      <w:bookmarkStart w:id="81" w:name="_Toc15377218"/>
      <w:bookmarkStart w:id="82" w:name="_Toc15396610"/>
      <w:r>
        <w:rPr>
          <w:rFonts w:hint="eastAsia" w:ascii="仿宋_GB2312" w:eastAsia="仿宋_GB2312"/>
          <w:color w:val="auto"/>
          <w:sz w:val="32"/>
          <w:szCs w:val="32"/>
          <w:highlight w:val="none"/>
        </w:rPr>
        <w:t>外事接待3批次，38人，共计支出2.16万元，主要用于接待香港贸易发展局中国内地总代表用餐费。</w:t>
      </w:r>
    </w:p>
    <w:bookmarkEnd w:id="81"/>
    <w:bookmarkEnd w:id="82"/>
    <w:p>
      <w:pPr>
        <w:spacing w:line="600" w:lineRule="exact"/>
        <w:ind w:firstLine="640"/>
        <w:outlineLvl w:val="1"/>
        <w:rPr>
          <w:rStyle w:val="26"/>
          <w:rFonts w:ascii="黑体" w:hAnsi="黑体" w:eastAsia="黑体"/>
          <w:color w:val="auto"/>
          <w:highlight w:val="none"/>
        </w:rPr>
      </w:pPr>
      <w:bookmarkStart w:id="83" w:name="_Toc5351"/>
      <w:bookmarkStart w:id="84" w:name="_Toc1702959375_WPSOffice_Level2"/>
      <w:bookmarkStart w:id="85" w:name="_Toc1970388289_WPSOffice_Level2"/>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83"/>
      <w:bookmarkEnd w:id="84"/>
      <w:bookmarkEnd w:id="85"/>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6"/>
          <w:rFonts w:ascii="黑体" w:hAnsi="黑体" w:eastAsia="黑体"/>
          <w:b w:val="0"/>
          <w:color w:val="auto"/>
          <w:highlight w:val="none"/>
        </w:rPr>
      </w:pPr>
      <w:bookmarkStart w:id="86" w:name="_Toc15396611"/>
      <w:bookmarkStart w:id="87" w:name="_Toc1577"/>
      <w:bookmarkStart w:id="88" w:name="_Toc15377219"/>
      <w:bookmarkStart w:id="89" w:name="_Toc2038689285_WPSOffice_Level2"/>
      <w:bookmarkStart w:id="90" w:name="_Toc1783960866_WPSOffice_Level2"/>
      <w:r>
        <w:rPr>
          <w:rStyle w:val="26"/>
          <w:rFonts w:hint="eastAsia" w:ascii="黑体" w:hAnsi="黑体" w:eastAsia="黑体"/>
          <w:b w:val="0"/>
          <w:color w:val="auto"/>
          <w:highlight w:val="none"/>
        </w:rPr>
        <w:t>国有资本经营预算支出决算情况说明</w:t>
      </w:r>
      <w:bookmarkEnd w:id="86"/>
      <w:bookmarkEnd w:id="87"/>
      <w:bookmarkEnd w:id="88"/>
      <w:bookmarkEnd w:id="89"/>
      <w:bookmarkEnd w:id="90"/>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6"/>
          <w:rFonts w:hint="eastAsia" w:ascii="黑体" w:hAnsi="黑体" w:eastAsia="黑体"/>
          <w:b w:val="0"/>
          <w:color w:val="auto"/>
          <w:highlight w:val="none"/>
        </w:rPr>
      </w:pPr>
      <w:bookmarkStart w:id="91" w:name="_Toc15377221"/>
      <w:bookmarkStart w:id="92" w:name="_Toc412297978_WPSOffice_Level2"/>
      <w:bookmarkStart w:id="93" w:name="_Toc15396612"/>
      <w:bookmarkStart w:id="94" w:name="_Toc336435897_WPSOffice_Level2"/>
      <w:bookmarkStart w:id="95" w:name="_Toc8383"/>
      <w:r>
        <w:rPr>
          <w:rStyle w:val="26"/>
          <w:rFonts w:hint="eastAsia" w:ascii="黑体" w:hAnsi="黑体" w:eastAsia="黑体"/>
          <w:b w:val="0"/>
          <w:color w:val="auto"/>
          <w:highlight w:val="none"/>
        </w:rPr>
        <w:t>其他重要事项的情况说明</w:t>
      </w:r>
      <w:bookmarkEnd w:id="91"/>
      <w:bookmarkEnd w:id="92"/>
      <w:bookmarkEnd w:id="93"/>
      <w:bookmarkEnd w:id="94"/>
      <w:bookmarkEnd w:id="95"/>
    </w:p>
    <w:p>
      <w:pPr>
        <w:spacing w:line="600" w:lineRule="exact"/>
        <w:ind w:firstLine="642" w:firstLineChars="200"/>
        <w:outlineLvl w:val="2"/>
        <w:rPr>
          <w:rFonts w:hint="eastAsia" w:ascii="楷体_GB2312" w:hAnsi="楷体_GB2312" w:eastAsia="楷体_GB2312" w:cs="楷体_GB2312"/>
          <w:b/>
          <w:color w:val="auto"/>
          <w:sz w:val="32"/>
          <w:szCs w:val="32"/>
          <w:highlight w:val="none"/>
        </w:rPr>
      </w:pPr>
      <w:bookmarkStart w:id="96" w:name="_Toc15377222"/>
      <w:r>
        <w:rPr>
          <w:rFonts w:hint="eastAsia" w:ascii="楷体_GB2312" w:hAnsi="楷体_GB2312" w:eastAsia="楷体_GB2312" w:cs="楷体_GB2312"/>
          <w:b/>
          <w:color w:val="auto"/>
          <w:sz w:val="32"/>
          <w:szCs w:val="32"/>
          <w:highlight w:val="none"/>
        </w:rPr>
        <w:t>（一）机关运行经费支出情况</w:t>
      </w:r>
      <w:bookmarkEnd w:id="9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四川省商务厅</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1451.33</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135.43</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10.29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。主要原因是当年有部分新调入职工，机关运行成本提高。</w:t>
      </w:r>
    </w:p>
    <w:p>
      <w:pPr>
        <w:spacing w:line="600" w:lineRule="exact"/>
        <w:ind w:firstLine="642" w:firstLineChars="200"/>
        <w:outlineLvl w:val="2"/>
        <w:rPr>
          <w:rFonts w:hint="eastAsia" w:ascii="楷体_GB2312" w:hAnsi="楷体_GB2312" w:eastAsia="楷体_GB2312" w:cs="楷体_GB2312"/>
          <w:b/>
          <w:color w:val="auto"/>
          <w:sz w:val="32"/>
          <w:szCs w:val="32"/>
          <w:highlight w:val="none"/>
        </w:rPr>
      </w:pPr>
      <w:bookmarkStart w:id="97" w:name="_Toc15377223"/>
      <w:r>
        <w:rPr>
          <w:rFonts w:hint="eastAsia" w:ascii="楷体_GB2312" w:hAnsi="楷体_GB2312" w:eastAsia="楷体_GB2312" w:cs="楷体_GB2312"/>
          <w:b/>
          <w:color w:val="auto"/>
          <w:sz w:val="32"/>
          <w:szCs w:val="32"/>
          <w:highlight w:val="none"/>
        </w:rPr>
        <w:t>（二）政府采购支出情况</w:t>
      </w:r>
      <w:bookmarkEnd w:id="9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四川省商务厅</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6457.96</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1614.43</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263.73</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4579.8</w:t>
      </w:r>
      <w:r>
        <w:rPr>
          <w:rFonts w:hint="eastAsia" w:ascii="仿宋_GB2312" w:eastAsia="仿宋_GB2312"/>
          <w:color w:val="auto"/>
          <w:sz w:val="32"/>
          <w:szCs w:val="32"/>
          <w:highlight w:val="none"/>
        </w:rPr>
        <w:t>万元。主要用于</w:t>
      </w:r>
      <w:r>
        <w:rPr>
          <w:rFonts w:hint="eastAsia" w:ascii="仿宋_GB2312" w:eastAsia="仿宋_GB2312"/>
          <w:color w:val="000000"/>
          <w:sz w:val="32"/>
          <w:szCs w:val="32"/>
        </w:rPr>
        <w:t>办公设备设施耗材购置以及车辆维修加油、物业管理等专项业务购买服务等工作</w:t>
      </w:r>
      <w:r>
        <w:rPr>
          <w:rFonts w:hint="eastAsia" w:ascii="仿宋_GB2312" w:eastAsia="仿宋_GB2312"/>
          <w:color w:val="000000"/>
          <w:sz w:val="32"/>
          <w:szCs w:val="32"/>
          <w:lang w:eastAsia="zh-CN"/>
        </w:rPr>
        <w:t>等</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2032.09</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31.47</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217.9</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3.37</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2" w:firstLineChars="200"/>
        <w:outlineLvl w:val="2"/>
        <w:rPr>
          <w:rFonts w:hint="eastAsia" w:ascii="楷体_GB2312" w:hAnsi="楷体_GB2312" w:eastAsia="楷体_GB2312" w:cs="楷体_GB2312"/>
          <w:b/>
          <w:color w:val="auto"/>
          <w:sz w:val="32"/>
          <w:szCs w:val="32"/>
          <w:highlight w:val="none"/>
        </w:rPr>
      </w:pPr>
      <w:bookmarkStart w:id="98" w:name="_Toc15377224"/>
      <w:r>
        <w:rPr>
          <w:rFonts w:hint="eastAsia" w:ascii="楷体_GB2312" w:hAnsi="楷体_GB2312" w:eastAsia="楷体_GB2312" w:cs="楷体_GB2312"/>
          <w:b/>
          <w:color w:val="auto"/>
          <w:sz w:val="32"/>
          <w:szCs w:val="32"/>
          <w:highlight w:val="none"/>
        </w:rPr>
        <w:t>（三）国有资产占有使用情况</w:t>
      </w:r>
      <w:bookmarkEnd w:id="9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四川省商务厅</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29</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辆、应急保障用</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离退休干部用车</w:t>
      </w:r>
      <w:r>
        <w:rPr>
          <w:rFonts w:hint="eastAsia" w:ascii="仿宋_GB2312" w:eastAsia="仿宋_GB2312"/>
          <w:color w:val="auto"/>
          <w:sz w:val="32"/>
          <w:szCs w:val="32"/>
          <w:highlight w:val="none"/>
          <w:lang w:val="en-US" w:eastAsia="zh-CN"/>
        </w:rPr>
        <w:t>10辆、</w:t>
      </w:r>
      <w:r>
        <w:rPr>
          <w:rFonts w:hint="eastAsia" w:ascii="仿宋_GB2312" w:eastAsia="仿宋_GB2312"/>
          <w:color w:val="auto"/>
          <w:sz w:val="32"/>
          <w:szCs w:val="32"/>
          <w:highlight w:val="none"/>
        </w:rPr>
        <w:t>其他用车</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000000" w:themeColor="text1"/>
          <w:sz w:val="32"/>
          <w:szCs w:val="32"/>
          <w:lang w:eastAsia="zh-CN"/>
          <w14:textFill>
            <w14:solidFill>
              <w14:schemeClr w14:val="tx1"/>
            </w14:solidFill>
          </w14:textFill>
        </w:rPr>
        <w:t>普通公务出行保障。</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spacing w:line="600" w:lineRule="exact"/>
        <w:ind w:firstLine="642" w:firstLineChars="200"/>
        <w:outlineLvl w:val="2"/>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（四）预算绩效管理情况</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w:t>
      </w:r>
      <w:r>
        <w:rPr>
          <w:rFonts w:hint="eastAsia" w:ascii="仿宋_GB2312" w:hAnsi="Times New Roman" w:eastAsia="仿宋_GB2312" w:cs="Times New Roman"/>
          <w:color w:val="auto"/>
          <w:sz w:val="32"/>
          <w:szCs w:val="32"/>
          <w:highlight w:val="none"/>
          <w:lang w:val="en-US" w:eastAsia="zh-CN"/>
        </w:rPr>
        <w:t>门在2020年度预算</w:t>
      </w:r>
      <w:r>
        <w:rPr>
          <w:rFonts w:hint="eastAsia" w:ascii="仿宋_GB2312" w:hAnsi="仿宋_GB2312" w:eastAsia="仿宋_GB2312" w:cs="仿宋_GB2312"/>
          <w:color w:val="auto"/>
          <w:sz w:val="32"/>
          <w:szCs w:val="32"/>
          <w:highlight w:val="none"/>
        </w:rPr>
        <w:t>编制阶段，组织商务事业运行补助经费</w:t>
      </w:r>
      <w:r>
        <w:rPr>
          <w:rFonts w:hint="eastAsia" w:ascii="仿宋_GB2312" w:hAnsi="仿宋_GB2312" w:eastAsia="仿宋_GB2312" w:cs="仿宋_GB2312"/>
          <w:color w:val="auto"/>
          <w:sz w:val="32"/>
          <w:szCs w:val="32"/>
          <w:highlight w:val="none"/>
          <w:lang w:eastAsia="zh-CN"/>
        </w:rPr>
        <w:t>、专业特聘教师等项目</w:t>
      </w:r>
      <w:r>
        <w:rPr>
          <w:rFonts w:hint="eastAsia" w:ascii="仿宋_GB2312" w:hAnsi="仿宋_GB2312" w:eastAsia="仿宋_GB2312" w:cs="仿宋_GB2312"/>
          <w:color w:val="auto"/>
          <w:sz w:val="32"/>
          <w:szCs w:val="32"/>
          <w:highlight w:val="none"/>
        </w:rPr>
        <w:t>（项目名称）开展了预算事前绩效评估，对</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个项目开展了绩效目标完成情况自评。</w:t>
      </w:r>
    </w:p>
    <w:p>
      <w:pPr>
        <w:spacing w:line="580" w:lineRule="exact"/>
        <w:ind w:firstLine="640" w:firstLineChars="200"/>
        <w:rPr>
          <w:rFonts w:hint="eastAsia" w:ascii="仿宋_GB2312" w:hAnsi="仿宋" w:eastAsia="仿宋_GB2312" w:cs="仿宋"/>
          <w:sz w:val="32"/>
          <w:szCs w:val="32"/>
        </w:rPr>
      </w:pPr>
      <w:r>
        <w:rPr>
          <w:rFonts w:hint="eastAsia" w:ascii="仿宋_GB2312" w:hAnsi="仿宋_GB2312" w:eastAsia="仿宋_GB2312" w:cs="仿宋_GB2312"/>
          <w:color w:val="auto"/>
          <w:sz w:val="32"/>
          <w:szCs w:val="32"/>
          <w:highlight w:val="none"/>
        </w:rPr>
        <w:t>本部门按要求对20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年部门整体支出开展绩效自评，从评价情况来看</w:t>
      </w:r>
      <w:r>
        <w:rPr>
          <w:rFonts w:hint="eastAsia" w:ascii="仿宋_GB2312" w:hAnsi="仿宋" w:eastAsia="仿宋_GB2312" w:cs="仿宋"/>
          <w:sz w:val="32"/>
          <w:szCs w:val="32"/>
        </w:rPr>
        <w:t>我厅</w:t>
      </w:r>
      <w:r>
        <w:rPr>
          <w:rFonts w:hint="eastAsia" w:ascii="仿宋_GB2312" w:hAnsi="仿宋" w:eastAsia="仿宋_GB2312" w:cs="仿宋"/>
          <w:sz w:val="32"/>
          <w:szCs w:val="32"/>
          <w:lang w:val="en-US" w:eastAsia="zh-CN"/>
        </w:rPr>
        <w:t>2020年</w:t>
      </w:r>
      <w:r>
        <w:rPr>
          <w:rFonts w:hint="eastAsia" w:ascii="仿宋_GB2312" w:hAnsi="仿宋" w:eastAsia="仿宋_GB2312" w:cs="仿宋"/>
          <w:sz w:val="32"/>
          <w:szCs w:val="32"/>
        </w:rPr>
        <w:t>严格按照财政厅预算绩效管理有关要求，按时、按质编制完成部门预算、科学设置绩效目标，一次性通过绩效目标审查，当年待批复项目预控指标全部细化,及时按照财政厅要求进行绩效监控。节能降耗效果较好，严格执行“三公经费”、政府采购预算，资产管理规范，内控制度健全。及时公开预算和决算、依法接受财政监督，部门职责履行结果很好，服务对象较为满意</w:t>
      </w:r>
      <w:r>
        <w:rPr>
          <w:rFonts w:hint="eastAsia" w:ascii="仿宋_GB2312" w:hAnsi="仿宋_GB2312" w:eastAsia="仿宋_GB2312" w:cs="仿宋_GB2312"/>
          <w:color w:val="auto"/>
          <w:sz w:val="32"/>
          <w:szCs w:val="32"/>
          <w:highlight w:val="none"/>
        </w:rPr>
        <w:t>。本部门还自行组织了</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个项目支出绩效评价，从评价情况来看</w:t>
      </w:r>
      <w:r>
        <w:rPr>
          <w:rFonts w:hint="eastAsia" w:ascii="仿宋_GB2312" w:hAnsi="仿宋_GB2312" w:eastAsia="仿宋_GB2312" w:cs="仿宋_GB2312"/>
          <w:sz w:val="32"/>
          <w:szCs w:val="32"/>
        </w:rPr>
        <w:t>从评价</w:t>
      </w:r>
      <w:r>
        <w:rPr>
          <w:rFonts w:hint="eastAsia" w:ascii="仿宋_GB2312" w:hAnsi="仿宋" w:eastAsia="仿宋_GB2312" w:cs="仿宋"/>
          <w:sz w:val="32"/>
          <w:szCs w:val="32"/>
        </w:rPr>
        <w:t>情况来看项目资金使用符合规定，达到预定绩效目标</w:t>
      </w:r>
      <w:r>
        <w:rPr>
          <w:rFonts w:hint="eastAsia" w:ascii="仿宋_GB2312" w:hAnsi="仿宋" w:eastAsia="仿宋_GB2312" w:cs="仿宋"/>
          <w:sz w:val="32"/>
          <w:szCs w:val="32"/>
          <w:lang w:eastAsia="zh-CN"/>
        </w:rPr>
        <w:t>。</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 w:eastAsia="仿宋_GB2312" w:cs="仿宋"/>
          <w:sz w:val="32"/>
          <w:szCs w:val="32"/>
        </w:rPr>
        <w:t>1.项目绩效目标完成情况。</w:t>
      </w:r>
      <w:r>
        <w:rPr>
          <w:rFonts w:hint="eastAsia" w:ascii="楷体_GB2312" w:hAnsi="楷体_GB2312" w:eastAsia="楷体_GB2312" w:cs="楷体_GB2312"/>
          <w:color w:val="auto"/>
          <w:sz w:val="32"/>
          <w:szCs w:val="32"/>
          <w:highlight w:val="none"/>
        </w:rPr>
        <w:br w:type="textWrapping"/>
      </w:r>
      <w:r>
        <w:rPr>
          <w:rFonts w:hint="eastAsia" w:ascii="仿宋_GB2312" w:hAnsi="仿宋_GB2312" w:eastAsia="仿宋_GB2312" w:cs="仿宋_GB2312"/>
          <w:color w:val="auto"/>
          <w:sz w:val="32"/>
          <w:szCs w:val="32"/>
          <w:highlight w:val="none"/>
        </w:rPr>
        <w:t xml:space="preserve">    本部门在20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年度部门决算中反映“商务事业运行补助经费”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专业特聘教师”“</w:t>
      </w:r>
      <w:r>
        <w:rPr>
          <w:rFonts w:hint="eastAsia" w:ascii="仿宋_GB2312" w:hAnsi="仿宋_GB2312" w:eastAsia="仿宋_GB2312" w:cs="仿宋_GB2312"/>
          <w:color w:val="auto"/>
          <w:sz w:val="32"/>
          <w:szCs w:val="32"/>
          <w:highlight w:val="none"/>
          <w:lang w:eastAsia="zh-CN"/>
        </w:rPr>
        <w:t>两校区消防工程</w:t>
      </w:r>
      <w:r>
        <w:rPr>
          <w:rFonts w:hint="eastAsia" w:ascii="仿宋_GB2312" w:hAnsi="仿宋_GB2312" w:eastAsia="仿宋_GB2312" w:cs="仿宋_GB2312"/>
          <w:color w:val="auto"/>
          <w:sz w:val="32"/>
          <w:szCs w:val="32"/>
          <w:highlight w:val="none"/>
        </w:rPr>
        <w:t>”等</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个项目绩效目标实际完成情况。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商务事业运行补助经费项目绩效目标完成情况综述。项目全年预算数352.33万元，执行数为255.13万元，完成预算的72.41%。通过该项目实施，保障了商务领域十四五规划前期研究，统筹推进服务业发展，推动了对外贸易跨越升位，创新提升开放平台能级。发现的主要问题：项目实施周期与部门预算周期有错位，难以保障项目资金及时支付。下一步改进措施：提高项目实施与资金预算的匹配度，提高财政资金使用质效。</w:t>
      </w:r>
    </w:p>
    <w:p>
      <w:pPr>
        <w:spacing w:line="580" w:lineRule="exact"/>
        <w:ind w:firstLine="640" w:firstLineChars="200"/>
        <w:rPr>
          <w:rFonts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专业特聘教师项目绩效目标完成情况综述。项目全年预算数670万元，执行数为670万元，完成预算的100%。通过项目实施，2020年我校聘请校外教师及专家共计300余人次，共参与我校14714节课堂教学工作，完成了年初预计3000余课的课时，足额发放专家课时费。为提升学生实际操作能力和专业技能提升，在专业在校教师及聘请专家共同参与下，初步建成了校企共育，工学结合的“双主体，双结合，分段能力递进”的人才培养模式；根据学生实习和学生自己参与就业的情况反馈，并与以往学生实习与就业情况对比，此模式下培养出的学生实际操作能力和展业技能提升明显。发现的主要问题：项目实施过程与目标还存在着一些差距，产出时效存在一定滞后性；项目设立应紧扣全省服务业，建立紧密对接我省产业链、创新链的专业体系，培养更具适应性的现代商务人才，学校需要能适应中职学校技能培训的商务专家教师，并加强项目过程管理及项目事后总结工作。</w:t>
      </w:r>
      <w:r>
        <w:rPr>
          <w:rFonts w:hint="eastAsia" w:ascii="仿宋_GB2312" w:hAnsi="仿宋_GB2312" w:eastAsia="仿宋_GB2312" w:cs="仿宋_GB2312"/>
          <w:color w:val="auto"/>
          <w:sz w:val="32"/>
          <w:szCs w:val="32"/>
          <w:highlight w:val="none"/>
        </w:rPr>
        <w:t>下一步改进措施：今后工作中，我们将以这次部门绩效自评工作为契机，进一步提高责任意识，结合绩效目标合理调节预算，提高资金使用效率；加强预算管理，提前做好项目论证，对项目执行中存在的变动提前做好预案，防止预算执行过程中出现偏差；加强专项资金制度建设，提高资金使用过程中的制度引领效果；根据绩效目标落实责任，突出专项资金结果考核。</w:t>
      </w:r>
    </w:p>
    <w:p>
      <w:pPr>
        <w:spacing w:line="580" w:lineRule="exact"/>
        <w:ind w:firstLine="640" w:firstLineChars="200"/>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）两校区消防工程</w:t>
      </w:r>
      <w:r>
        <w:rPr>
          <w:rFonts w:hint="eastAsia" w:ascii="仿宋_GB2312" w:hAnsi="仿宋_GB2312" w:eastAsia="仿宋_GB2312" w:cs="仿宋_GB2312"/>
          <w:color w:val="auto"/>
          <w:sz w:val="32"/>
          <w:szCs w:val="32"/>
          <w:highlight w:val="none"/>
        </w:rPr>
        <w:t>项目绩效目标完成情况综述。项目全年预算数</w:t>
      </w:r>
      <w:r>
        <w:rPr>
          <w:rFonts w:hint="eastAsia" w:ascii="仿宋_GB2312" w:hAnsi="仿宋_GB2312" w:eastAsia="仿宋_GB2312" w:cs="仿宋_GB2312"/>
          <w:color w:val="auto"/>
          <w:sz w:val="32"/>
          <w:szCs w:val="32"/>
          <w:highlight w:val="none"/>
          <w:lang w:val="en-US" w:eastAsia="zh-CN"/>
        </w:rPr>
        <w:t>150</w:t>
      </w:r>
      <w:r>
        <w:rPr>
          <w:rFonts w:hint="eastAsia" w:ascii="仿宋_GB2312" w:hAnsi="仿宋_GB2312" w:eastAsia="仿宋_GB2312" w:cs="仿宋_GB2312"/>
          <w:color w:val="auto"/>
          <w:sz w:val="32"/>
          <w:szCs w:val="32"/>
          <w:highlight w:val="none"/>
        </w:rPr>
        <w:t>万元，执行数为</w:t>
      </w:r>
      <w:r>
        <w:rPr>
          <w:rFonts w:hint="eastAsia" w:ascii="仿宋_GB2312" w:hAnsi="仿宋_GB2312" w:eastAsia="仿宋_GB2312" w:cs="仿宋_GB2312"/>
          <w:color w:val="auto"/>
          <w:sz w:val="32"/>
          <w:szCs w:val="32"/>
          <w:highlight w:val="none"/>
          <w:lang w:val="en-US" w:eastAsia="zh-CN"/>
        </w:rPr>
        <w:t>145.13</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96.75</w:t>
      </w:r>
      <w:r>
        <w:rPr>
          <w:rFonts w:hint="eastAsia" w:ascii="仿宋_GB2312" w:hAnsi="仿宋_GB2312" w:eastAsia="仿宋_GB2312" w:cs="仿宋_GB2312"/>
          <w:color w:val="auto"/>
          <w:sz w:val="32"/>
          <w:szCs w:val="32"/>
          <w:highlight w:val="none"/>
        </w:rPr>
        <w:t>%。通过项目实施，确保</w:t>
      </w:r>
      <w:r>
        <w:rPr>
          <w:rFonts w:hint="eastAsia" w:ascii="仿宋_GB2312" w:hAnsi="仿宋_GB2312" w:eastAsia="仿宋_GB2312" w:cs="仿宋_GB2312"/>
          <w:color w:val="auto"/>
          <w:sz w:val="32"/>
          <w:szCs w:val="32"/>
          <w:highlight w:val="none"/>
          <w:lang w:eastAsia="zh-CN"/>
        </w:rPr>
        <w:t>了</w:t>
      </w:r>
      <w:r>
        <w:rPr>
          <w:rFonts w:hint="eastAsia" w:ascii="仿宋_GB2312" w:hAnsi="仿宋_GB2312" w:eastAsia="仿宋_GB2312" w:cs="仿宋_GB2312"/>
          <w:color w:val="auto"/>
          <w:sz w:val="32"/>
          <w:szCs w:val="32"/>
          <w:highlight w:val="none"/>
        </w:rPr>
        <w:t>校园</w:t>
      </w:r>
      <w:r>
        <w:rPr>
          <w:rFonts w:hint="eastAsia" w:ascii="仿宋_GB2312" w:hAnsi="仿宋_GB2312" w:eastAsia="仿宋_GB2312" w:cs="仿宋_GB2312"/>
          <w:color w:val="auto"/>
          <w:sz w:val="32"/>
          <w:szCs w:val="32"/>
          <w:highlight w:val="none"/>
          <w:lang w:eastAsia="zh-CN"/>
        </w:rPr>
        <w:t>消防</w:t>
      </w:r>
      <w:r>
        <w:rPr>
          <w:rFonts w:hint="eastAsia" w:ascii="仿宋_GB2312" w:hAnsi="仿宋_GB2312" w:eastAsia="仿宋_GB2312" w:cs="仿宋_GB2312"/>
          <w:color w:val="auto"/>
          <w:sz w:val="32"/>
          <w:szCs w:val="32"/>
          <w:highlight w:val="none"/>
        </w:rPr>
        <w:t>的安全，同时保障了教学和生活秩序的</w:t>
      </w:r>
      <w:r>
        <w:rPr>
          <w:rFonts w:hint="eastAsia" w:ascii="仿宋_GB2312" w:hAnsi="仿宋_GB2312" w:eastAsia="仿宋_GB2312" w:cs="仿宋_GB2312"/>
          <w:color w:val="auto"/>
          <w:sz w:val="32"/>
          <w:szCs w:val="32"/>
          <w:highlight w:val="none"/>
          <w:lang w:eastAsia="zh-CN"/>
        </w:rPr>
        <w:t>安全</w:t>
      </w:r>
      <w:r>
        <w:rPr>
          <w:rFonts w:hint="eastAsia" w:ascii="仿宋_GB2312" w:hAnsi="仿宋_GB2312" w:eastAsia="仿宋_GB2312" w:cs="仿宋_GB2312"/>
          <w:color w:val="auto"/>
          <w:sz w:val="32"/>
          <w:szCs w:val="32"/>
          <w:highlight w:val="none"/>
        </w:rPr>
        <w:t>运行。发现的主要问题：</w:t>
      </w:r>
      <w:r>
        <w:rPr>
          <w:rFonts w:hint="eastAsia" w:ascii="仿宋_GB2312" w:hAnsi="仿宋_GB2312" w:eastAsia="仿宋_GB2312" w:cs="仿宋_GB2312"/>
          <w:color w:val="auto"/>
          <w:sz w:val="32"/>
          <w:szCs w:val="32"/>
          <w:highlight w:val="none"/>
          <w:lang w:eastAsia="zh-CN"/>
        </w:rPr>
        <w:t>前期未考虑食堂无标准的通风和排气装置致使前期线路短路无法联动，经调整后才能正常使用。消防工程专业性较强，在布局上有不合理处，在工程实施中进行了调整，因此</w:t>
      </w:r>
      <w:r>
        <w:rPr>
          <w:rFonts w:hint="eastAsia" w:ascii="仿宋_GB2312" w:hAnsi="仿宋_GB2312" w:eastAsia="仿宋_GB2312" w:cs="仿宋_GB2312"/>
          <w:color w:val="auto"/>
          <w:sz w:val="32"/>
          <w:szCs w:val="32"/>
          <w:highlight w:val="none"/>
        </w:rPr>
        <w:t>在计划工作和预算制定上还有不足之处。下一步改进措施：</w:t>
      </w:r>
      <w:r>
        <w:rPr>
          <w:rFonts w:hint="eastAsia" w:ascii="仿宋_GB2312" w:hAnsi="仿宋_GB2312" w:eastAsia="仿宋_GB2312" w:cs="仿宋_GB2312"/>
          <w:color w:val="auto"/>
          <w:sz w:val="32"/>
          <w:szCs w:val="32"/>
          <w:highlight w:val="none"/>
          <w:lang w:eastAsia="zh-CN"/>
        </w:rPr>
        <w:t>一是</w:t>
      </w:r>
      <w:r>
        <w:rPr>
          <w:rFonts w:hint="eastAsia" w:ascii="仿宋_GB2312" w:hAnsi="仿宋_GB2312" w:eastAsia="仿宋_GB2312" w:cs="仿宋_GB2312"/>
          <w:color w:val="auto"/>
          <w:sz w:val="32"/>
          <w:szCs w:val="32"/>
          <w:highlight w:val="none"/>
        </w:rPr>
        <w:t>计划工作和预算需通过使用部门进行评估</w:t>
      </w:r>
      <w:r>
        <w:rPr>
          <w:rFonts w:hint="eastAsia" w:ascii="仿宋_GB2312" w:hAnsi="仿宋_GB2312" w:eastAsia="仿宋_GB2312" w:cs="仿宋_GB2312"/>
          <w:color w:val="auto"/>
          <w:sz w:val="32"/>
          <w:szCs w:val="32"/>
          <w:highlight w:val="none"/>
          <w:lang w:val="en-US" w:eastAsia="zh-CN"/>
        </w:rPr>
        <w:t>;二是请专业的消防人员参与前期计划；三是</w:t>
      </w:r>
      <w:r>
        <w:rPr>
          <w:rFonts w:hint="eastAsia" w:ascii="仿宋_GB2312" w:hAnsi="仿宋_GB2312" w:eastAsia="仿宋_GB2312" w:cs="仿宋_GB2312"/>
          <w:color w:val="auto"/>
          <w:sz w:val="32"/>
          <w:szCs w:val="32"/>
          <w:highlight w:val="none"/>
        </w:rPr>
        <w:t>计划工作和预算评估后请专业的造价公司完成最终价格制定。</w:t>
      </w:r>
    </w:p>
    <w:p>
      <w:pPr>
        <w:spacing w:line="580" w:lineRule="exact"/>
        <w:ind w:firstLine="640" w:firstLineChars="200"/>
        <w:rPr>
          <w:rFonts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）两校区综合维修项目绩效目标完成情况综述。项目全年预算数</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lang w:eastAsia="zh-CN"/>
        </w:rPr>
        <w:t>万元，执行数为</w:t>
      </w:r>
      <w:r>
        <w:rPr>
          <w:rFonts w:hint="eastAsia" w:ascii="仿宋_GB2312" w:hAnsi="仿宋_GB2312" w:eastAsia="仿宋_GB2312" w:cs="仿宋_GB2312"/>
          <w:color w:val="auto"/>
          <w:sz w:val="32"/>
          <w:szCs w:val="32"/>
          <w:highlight w:val="none"/>
          <w:lang w:val="en-US" w:eastAsia="zh-CN"/>
        </w:rPr>
        <w:t>75.8</w:t>
      </w:r>
      <w:r>
        <w:rPr>
          <w:rFonts w:hint="eastAsia" w:ascii="仿宋_GB2312" w:hAnsi="仿宋_GB2312" w:eastAsia="仿宋_GB2312" w:cs="仿宋_GB2312"/>
          <w:color w:val="auto"/>
          <w:sz w:val="32"/>
          <w:szCs w:val="32"/>
          <w:highlight w:val="none"/>
          <w:lang w:eastAsia="zh-CN"/>
        </w:rPr>
        <w:t>万元，完成预算的</w:t>
      </w:r>
      <w:r>
        <w:rPr>
          <w:rFonts w:hint="eastAsia" w:ascii="仿宋_GB2312" w:hAnsi="仿宋_GB2312" w:eastAsia="仿宋_GB2312" w:cs="仿宋_GB2312"/>
          <w:color w:val="auto"/>
          <w:sz w:val="32"/>
          <w:szCs w:val="32"/>
          <w:highlight w:val="none"/>
          <w:lang w:val="en-US" w:eastAsia="zh-CN"/>
        </w:rPr>
        <w:t>75.8</w:t>
      </w:r>
      <w:r>
        <w:rPr>
          <w:rFonts w:hint="eastAsia" w:ascii="仿宋_GB2312" w:hAnsi="仿宋_GB2312" w:eastAsia="仿宋_GB2312" w:cs="仿宋_GB2312"/>
          <w:color w:val="auto"/>
          <w:sz w:val="32"/>
          <w:szCs w:val="32"/>
          <w:highlight w:val="none"/>
          <w:lang w:eastAsia="zh-CN"/>
        </w:rPr>
        <w:t>%。通过项目实施，确保了校园环境的安全，同时保障了教学和生活秩序的正常运行。发现的主要问题：该项目在计划工作和预算制定上还有不足之处，在专业性较强的如沉降伸缩缝的计算方式，预算价格等处不够专业，计算方式需要改进等。下一步改进措施：一是计划工作和预算需通过使用部门进行评估</w:t>
      </w:r>
      <w:r>
        <w:rPr>
          <w:rFonts w:hint="eastAsia" w:ascii="仿宋_GB2312" w:hAnsi="仿宋_GB2312" w:eastAsia="仿宋_GB2312" w:cs="仿宋_GB2312"/>
          <w:color w:val="auto"/>
          <w:sz w:val="32"/>
          <w:szCs w:val="32"/>
          <w:highlight w:val="none"/>
          <w:lang w:val="en-US" w:eastAsia="zh-CN"/>
        </w:rPr>
        <w:t>;二是</w:t>
      </w:r>
      <w:r>
        <w:rPr>
          <w:rFonts w:hint="eastAsia" w:ascii="仿宋_GB2312" w:hAnsi="仿宋_GB2312" w:eastAsia="仿宋_GB2312" w:cs="仿宋_GB2312"/>
          <w:color w:val="auto"/>
          <w:sz w:val="32"/>
          <w:szCs w:val="32"/>
          <w:highlight w:val="none"/>
          <w:lang w:eastAsia="zh-CN"/>
        </w:rPr>
        <w:t>计划工作和预算评估后请专业的造价公司完成最终价格制定。</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 xml:space="preserve">2020年学生资助经费项目绩效目标完成情况综述。项目全年预算数1123万元，执行数为1123万元，完成预算的100%。通过项目实施，缓解了家庭经济困难学生的上学压力，确保困难学生可以正常完成学业。同时，通过奖学金的形式，对优秀学生进行奖励，在学生中树立榜样，有助于良好学风的形成。该项目在扶贫的同时通过诚信、感恩、励志等活动的开展，对学生进行扶志，实现了资助育人的目的。发现的主要问题：对大一新入校学生家庭经济困难认定时的精准度不够，资助的精准度有待进一步提高。下一步改进措施：通过采取对学生走访、谈话等形式，建立灵活评审机制，旨在科学、快速的了解学生家庭状况和生活情况；充分利用大数据，广泛收集学生生活、消费相关数据，提高认定对象的精准度。 </w:t>
      </w:r>
    </w:p>
    <w:p>
      <w:pPr>
        <w:pStyle w:val="2"/>
      </w:pPr>
    </w:p>
    <w:p>
      <w:pPr>
        <w:spacing w:line="580" w:lineRule="exact"/>
        <w:ind w:firstLine="640" w:firstLineChars="200"/>
        <w:rPr>
          <w:rFonts w:ascii="仿宋_GB2312" w:hAnsi="仿宋_GB2312" w:eastAsia="仿宋_GB2312" w:cs="仿宋_GB2312"/>
          <w:color w:val="auto"/>
          <w:sz w:val="32"/>
          <w:szCs w:val="32"/>
          <w:highlight w:val="none"/>
        </w:rPr>
      </w:pPr>
    </w:p>
    <w:p>
      <w:pPr>
        <w:spacing w:line="580" w:lineRule="exact"/>
        <w:ind w:firstLine="640" w:firstLineChars="200"/>
        <w:rPr>
          <w:rFonts w:ascii="仿宋_GB2312" w:hAnsi="仿宋_GB2312" w:eastAsia="仿宋_GB2312" w:cs="仿宋_GB2312"/>
          <w:color w:val="auto"/>
          <w:sz w:val="32"/>
          <w:szCs w:val="32"/>
          <w:highlight w:val="none"/>
        </w:rPr>
      </w:pPr>
    </w:p>
    <w:p>
      <w:pPr>
        <w:spacing w:line="580" w:lineRule="exact"/>
        <w:ind w:firstLine="640" w:firstLineChars="200"/>
        <w:rPr>
          <w:rFonts w:ascii="仿宋_GB2312" w:hAnsi="仿宋_GB2312" w:eastAsia="仿宋_GB2312" w:cs="仿宋_GB2312"/>
          <w:color w:val="auto"/>
          <w:sz w:val="32"/>
          <w:szCs w:val="32"/>
          <w:highlight w:val="none"/>
        </w:rPr>
      </w:pPr>
    </w:p>
    <w:p>
      <w:pPr>
        <w:spacing w:line="580" w:lineRule="exact"/>
        <w:ind w:firstLine="640" w:firstLineChars="200"/>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spacing w:line="580" w:lineRule="exact"/>
        <w:rPr>
          <w:rFonts w:ascii="仿宋_GB2312" w:hAnsi="仿宋_GB2312" w:eastAsia="仿宋_GB2312" w:cs="仿宋_GB2312"/>
          <w:color w:val="auto"/>
          <w:sz w:val="32"/>
          <w:szCs w:val="32"/>
          <w:highlight w:val="none"/>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auto"/>
                <w:sz w:val="36"/>
                <w:szCs w:val="36"/>
                <w:highlight w:val="none"/>
              </w:rPr>
            </w:pPr>
            <w:r>
              <w:rPr>
                <w:rFonts w:hint="eastAsia" w:ascii="宋体" w:hAnsi="宋体" w:cs="宋体"/>
                <w:b/>
                <w:bCs/>
                <w:color w:val="auto"/>
                <w:kern w:val="0"/>
                <w:sz w:val="36"/>
                <w:szCs w:val="36"/>
                <w:highlight w:val="none"/>
                <w:lang w:bidi="ar"/>
              </w:rPr>
              <w:t>项目绩效目标完成情况表</w:t>
            </w:r>
            <w:r>
              <w:rPr>
                <w:rFonts w:hint="eastAsia" w:ascii="宋体" w:hAnsi="宋体" w:cs="宋体"/>
                <w:b/>
                <w:bCs/>
                <w:color w:val="auto"/>
                <w:kern w:val="0"/>
                <w:sz w:val="36"/>
                <w:szCs w:val="36"/>
                <w:highlight w:val="none"/>
                <w:lang w:bidi="ar"/>
              </w:rPr>
              <w:br w:type="textWrapping"/>
            </w:r>
            <w:r>
              <w:rPr>
                <w:rFonts w:hint="eastAsia" w:ascii="宋体" w:hAnsi="宋体" w:cs="宋体"/>
                <w:color w:val="auto"/>
                <w:kern w:val="0"/>
                <w:sz w:val="36"/>
                <w:szCs w:val="36"/>
                <w:highlight w:val="none"/>
                <w:lang w:bidi="ar"/>
              </w:rPr>
              <w:t>(20</w:t>
            </w:r>
            <w:r>
              <w:rPr>
                <w:rFonts w:hint="eastAsia" w:ascii="宋体" w:hAnsi="宋体" w:cs="宋体"/>
                <w:color w:val="auto"/>
                <w:kern w:val="0"/>
                <w:sz w:val="36"/>
                <w:szCs w:val="36"/>
                <w:highlight w:val="none"/>
                <w:lang w:val="en-US" w:eastAsia="zh-CN" w:bidi="ar"/>
              </w:rPr>
              <w:t>20</w:t>
            </w:r>
            <w:r>
              <w:rPr>
                <w:rFonts w:hint="eastAsia" w:ascii="宋体" w:hAnsi="宋体" w:cs="宋体"/>
                <w:color w:val="auto"/>
                <w:kern w:val="0"/>
                <w:sz w:val="36"/>
                <w:szCs w:val="36"/>
                <w:highlight w:val="none"/>
                <w:lang w:bidi="ar"/>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商务事业运转补助经费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四川省商务厅机关</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352.33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255.13</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352.33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255.13</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4"/>
                <w:highlight w:val="none"/>
              </w:rPr>
            </w:pPr>
            <w:r>
              <w:rPr>
                <w:rFonts w:hint="eastAsia" w:ascii="宋体" w:hAnsi="宋体" w:cs="宋体"/>
                <w:color w:val="auto"/>
                <w:sz w:val="24"/>
                <w:highlight w:val="none"/>
              </w:rPr>
              <w:t>把握新要求，明确新目标，谋划新举措，努力推动商务高质量发展，突出抓好“两大工程”、着力构建“三大体系”、扎实推进“四大行动”，努力建设现代化商务经济强省。</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4"/>
                <w:highlight w:val="none"/>
              </w:rPr>
            </w:pPr>
            <w:r>
              <w:rPr>
                <w:rFonts w:hint="eastAsia" w:ascii="宋体" w:hAnsi="宋体" w:cs="宋体"/>
                <w:color w:val="auto"/>
                <w:sz w:val="24"/>
                <w:highlight w:val="none"/>
              </w:rPr>
              <w:t>及时掌握2020年度外贸数据，表彰四川自贸试验区工作先进，完成中国（四川）自由贸易试验区建设三周年第三方评估，编印《四川商务年鉴》，完成商务相关课题研究，完成四川省十四五服务业发展规划编制，对厅机关安全设备进行优化，网络安全等测评，完成《四川省加强管理服务促进会展业发展的规定》立法修订项目。</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完成项目数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不少于5个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10个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p>
            <w:pPr>
              <w:bidi w:val="0"/>
              <w:jc w:val="center"/>
              <w:rPr>
                <w:rFonts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p>
            <w:pPr>
              <w:bidi w:val="0"/>
              <w:jc w:val="center"/>
              <w:rPr>
                <w:rFonts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法律咨询</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每周不少于1次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每周1次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rPr>
              <w:t>项目完成节点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1年</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367"/>
              </w:tabs>
              <w:jc w:val="left"/>
              <w:textAlignment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rPr>
              <w:t>财政投入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352.33万元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255.13万元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rPr>
              <w:t>海关数据获取</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及时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及时</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项目影响年限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长期</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lang w:eastAsia="zh-CN"/>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满意</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4"/>
                <w:highlight w:val="none"/>
                <w:lang w:bidi="ar"/>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highlight w:val="none"/>
              </w:rPr>
            </w:pPr>
          </w:p>
        </w:tc>
      </w:tr>
    </w:tbl>
    <w:p>
      <w:pPr>
        <w:spacing w:line="580" w:lineRule="exact"/>
        <w:ind w:left="630"/>
        <w:rPr>
          <w:rFonts w:ascii="仿宋_GB2312" w:hAnsi="仿宋_GB2312" w:eastAsia="仿宋_GB2312" w:cs="仿宋_GB2312"/>
          <w:color w:val="auto"/>
          <w:sz w:val="32"/>
          <w:szCs w:val="32"/>
          <w:highlight w:val="none"/>
        </w:rPr>
      </w:pPr>
    </w:p>
    <w:p>
      <w:pPr>
        <w:spacing w:line="580" w:lineRule="exact"/>
        <w:ind w:left="630"/>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color w:val="auto"/>
                <w:sz w:val="36"/>
                <w:szCs w:val="36"/>
                <w:highlight w:val="none"/>
              </w:rPr>
            </w:pPr>
            <w:r>
              <w:rPr>
                <w:rFonts w:hint="eastAsia" w:ascii="宋体" w:hAnsi="宋体" w:cs="宋体"/>
                <w:b/>
                <w:bCs/>
                <w:color w:val="auto"/>
                <w:kern w:val="0"/>
                <w:sz w:val="36"/>
                <w:szCs w:val="36"/>
                <w:highlight w:val="none"/>
                <w:lang w:bidi="ar"/>
              </w:rPr>
              <w:t>项目绩效目标完成情况表</w:t>
            </w:r>
            <w:r>
              <w:rPr>
                <w:rFonts w:hint="eastAsia" w:ascii="宋体" w:hAnsi="宋体" w:cs="宋体"/>
                <w:b/>
                <w:bCs/>
                <w:color w:val="auto"/>
                <w:kern w:val="0"/>
                <w:sz w:val="36"/>
                <w:szCs w:val="36"/>
                <w:highlight w:val="none"/>
                <w:lang w:bidi="ar"/>
              </w:rPr>
              <w:br w:type="textWrapping"/>
            </w:r>
            <w:r>
              <w:rPr>
                <w:rFonts w:hint="eastAsia" w:ascii="宋体" w:hAnsi="宋体" w:cs="宋体"/>
                <w:color w:val="auto"/>
                <w:kern w:val="0"/>
                <w:sz w:val="36"/>
                <w:szCs w:val="36"/>
                <w:highlight w:val="none"/>
                <w:lang w:bidi="ar"/>
              </w:rPr>
              <w:t>(20</w:t>
            </w:r>
            <w:r>
              <w:rPr>
                <w:rFonts w:hint="eastAsia" w:ascii="宋体" w:hAnsi="宋体" w:cs="宋体"/>
                <w:color w:val="auto"/>
                <w:kern w:val="0"/>
                <w:sz w:val="36"/>
                <w:szCs w:val="36"/>
                <w:highlight w:val="none"/>
                <w:lang w:val="en-US" w:eastAsia="zh-CN" w:bidi="ar"/>
              </w:rPr>
              <w:t>20</w:t>
            </w:r>
            <w:r>
              <w:rPr>
                <w:rFonts w:hint="eastAsia" w:ascii="宋体" w:hAnsi="宋体" w:cs="宋体"/>
                <w:color w:val="auto"/>
                <w:kern w:val="0"/>
                <w:sz w:val="36"/>
                <w:szCs w:val="36"/>
                <w:highlight w:val="none"/>
                <w:lang w:bidi="ar"/>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专业特聘教师</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四川省商务学校</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670.0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670.0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670.0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670.0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auto"/>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auto"/>
                <w:sz w:val="24"/>
                <w:highlight w:val="none"/>
              </w:rPr>
            </w:pPr>
            <w:r>
              <w:rPr>
                <w:rFonts w:hint="eastAsia" w:ascii="宋体" w:hAnsi="宋体" w:cs="宋体"/>
                <w:color w:val="auto"/>
                <w:sz w:val="24"/>
                <w:highlight w:val="none"/>
              </w:rPr>
              <w:t>本年拟聘任校外专家30-50人次，聘任校外教师200人次，用于弥补校内教师课程偏理论而不能适应中职学校技能培训的不足。学校烹饪、酒店、电商、财经专业共计聘任校外专家教师250人次，预计课时占全校总课时的10%，共计3000余课时，平均每人次每课时课酬80元，共需资金600万元。据测算，聘任校外任课教师后，对学生实际操作能力和专业技能将提升30%以上。</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auto"/>
                <w:sz w:val="24"/>
                <w:highlight w:val="none"/>
              </w:rPr>
            </w:pPr>
            <w:r>
              <w:rPr>
                <w:rFonts w:hint="eastAsia" w:ascii="宋体" w:hAnsi="宋体" w:cs="宋体"/>
                <w:color w:val="auto"/>
                <w:sz w:val="24"/>
                <w:highlight w:val="none"/>
              </w:rPr>
              <w:t>2020年我校聘请校外教师及专家共计300余人次，共参与我校14714节课堂教学工作，完成了年初预计3000余课的课时，并及时足额发放专家课时费。为提升学生实际操作能力和专业技能提升，在专业在校教师及聘请专家共同参与下，初步建成了校企共育，工学结合的“双主体，双结合，分段能力递进”的人才培养模式；根据学生实习和学生自己参与就业的情况反馈，并与以往学生实习与就业情况对比，此模式下培养出的学生实际操作能力和展业技能提升明显。</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pPr>
          </w:p>
          <w:p>
            <w:pPr>
              <w:bidi w:val="0"/>
              <w:jc w:val="center"/>
              <w:rPr>
                <w:rFonts w:ascii="Calibri" w:hAnsi="Calibri" w:eastAsia="宋体" w:cs="Times New Roman"/>
                <w:color w:val="auto"/>
                <w:kern w:val="2"/>
                <w:sz w:val="21"/>
                <w:szCs w:val="24"/>
                <w:lang w:val="en-US" w:eastAsia="zh-CN" w:bidi="ar-SA"/>
              </w:rPr>
            </w:pPr>
            <w:r>
              <w:rPr>
                <w:rFonts w:hint="eastAsia" w:ascii="宋体" w:hAnsi="宋体" w:cs="宋体"/>
                <w:color w:val="auto"/>
                <w:sz w:val="24"/>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中职免学费应受助学生数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2500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2482</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51"/>
              </w:tabs>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专业课程建设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发放完成时间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成本控制达标率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经济效益指标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为经济社会发展提供技术技能型人才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1012</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职业教育受益学生</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3500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2734</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学生和家长抽样调查满意度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96</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4"/>
                <w:highlight w:val="none"/>
                <w:lang w:bidi="ar"/>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r>
    </w:tbl>
    <w:p>
      <w:pPr>
        <w:pStyle w:val="2"/>
        <w:rPr>
          <w:rFonts w:ascii="仿宋_GB2312" w:hAnsi="仿宋_GB2312" w:eastAsia="仿宋_GB2312" w:cs="仿宋_GB2312"/>
          <w:color w:val="auto"/>
          <w:sz w:val="32"/>
          <w:szCs w:val="32"/>
          <w:highlight w:val="none"/>
        </w:rPr>
      </w:pPr>
    </w:p>
    <w:p>
      <w:pPr>
        <w:spacing w:line="580" w:lineRule="exact"/>
        <w:ind w:left="630"/>
        <w:rPr>
          <w:rFonts w:hint="eastAsia" w:ascii="楷体_GB2312" w:hAnsi="楷体_GB2312" w:eastAsia="楷体_GB2312" w:cs="楷体_GB2312"/>
          <w:color w:val="auto"/>
          <w:sz w:val="32"/>
          <w:szCs w:val="32"/>
          <w:highlight w:val="none"/>
        </w:rPr>
      </w:pPr>
    </w:p>
    <w:p>
      <w:pPr>
        <w:spacing w:line="580" w:lineRule="exact"/>
        <w:ind w:left="630"/>
        <w:rPr>
          <w:rFonts w:hint="eastAsia" w:ascii="楷体_GB2312" w:hAnsi="楷体_GB2312" w:eastAsia="楷体_GB2312" w:cs="楷体_GB2312"/>
          <w:color w:val="auto"/>
          <w:sz w:val="32"/>
          <w:szCs w:val="32"/>
          <w:highlight w:val="none"/>
        </w:rPr>
      </w:pPr>
    </w:p>
    <w:p>
      <w:pPr>
        <w:spacing w:line="580" w:lineRule="exact"/>
        <w:ind w:left="630"/>
        <w:rPr>
          <w:rFonts w:hint="eastAsia" w:ascii="楷体_GB2312" w:hAnsi="楷体_GB2312" w:eastAsia="楷体_GB2312" w:cs="楷体_GB2312"/>
          <w:color w:val="auto"/>
          <w:sz w:val="32"/>
          <w:szCs w:val="32"/>
          <w:highlight w:val="none"/>
        </w:rPr>
      </w:pPr>
    </w:p>
    <w:p>
      <w:pPr>
        <w:spacing w:line="580" w:lineRule="exact"/>
        <w:ind w:left="630"/>
        <w:rPr>
          <w:rFonts w:hint="eastAsia" w:ascii="楷体_GB2312" w:hAnsi="楷体_GB2312" w:eastAsia="楷体_GB2312" w:cs="楷体_GB2312"/>
          <w:color w:val="auto"/>
          <w:sz w:val="32"/>
          <w:szCs w:val="32"/>
          <w:highlight w:val="none"/>
        </w:rPr>
      </w:pPr>
    </w:p>
    <w:p>
      <w:pPr>
        <w:spacing w:line="580" w:lineRule="exact"/>
        <w:ind w:left="630"/>
        <w:rPr>
          <w:rFonts w:hint="eastAsia" w:ascii="楷体_GB2312" w:hAnsi="楷体_GB2312" w:eastAsia="楷体_GB2312" w:cs="楷体_GB2312"/>
          <w:color w:val="auto"/>
          <w:sz w:val="32"/>
          <w:szCs w:val="32"/>
          <w:highlight w:val="none"/>
        </w:rPr>
      </w:pPr>
    </w:p>
    <w:p>
      <w:pPr>
        <w:spacing w:line="580" w:lineRule="exact"/>
        <w:ind w:left="630"/>
        <w:rPr>
          <w:rFonts w:hint="eastAsia" w:ascii="楷体_GB2312" w:hAnsi="楷体_GB2312" w:eastAsia="楷体_GB2312" w:cs="楷体_GB2312"/>
          <w:color w:val="auto"/>
          <w:sz w:val="32"/>
          <w:szCs w:val="32"/>
          <w:highlight w:val="none"/>
        </w:rPr>
      </w:pPr>
    </w:p>
    <w:p>
      <w:pPr>
        <w:spacing w:line="580" w:lineRule="exact"/>
        <w:ind w:left="630"/>
        <w:rPr>
          <w:rFonts w:hint="eastAsia" w:ascii="楷体_GB2312" w:hAnsi="楷体_GB2312" w:eastAsia="楷体_GB2312" w:cs="楷体_GB2312"/>
          <w:color w:val="auto"/>
          <w:sz w:val="32"/>
          <w:szCs w:val="32"/>
          <w:highlight w:val="none"/>
        </w:rPr>
      </w:pPr>
    </w:p>
    <w:p>
      <w:pPr>
        <w:spacing w:line="580" w:lineRule="exact"/>
        <w:rPr>
          <w:rFonts w:hint="eastAsia" w:ascii="楷体_GB2312" w:hAnsi="楷体_GB2312" w:eastAsia="楷体_GB2312" w:cs="楷体_GB2312"/>
          <w:color w:val="auto"/>
          <w:sz w:val="32"/>
          <w:szCs w:val="32"/>
          <w:highlight w:val="none"/>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color w:val="auto"/>
                <w:sz w:val="36"/>
                <w:szCs w:val="36"/>
                <w:highlight w:val="none"/>
              </w:rPr>
            </w:pPr>
            <w:r>
              <w:rPr>
                <w:rFonts w:hint="eastAsia" w:ascii="宋体" w:hAnsi="宋体" w:cs="宋体"/>
                <w:b/>
                <w:bCs/>
                <w:color w:val="auto"/>
                <w:kern w:val="0"/>
                <w:sz w:val="36"/>
                <w:szCs w:val="36"/>
                <w:highlight w:val="none"/>
                <w:lang w:bidi="ar"/>
              </w:rPr>
              <w:t>项目绩效目标完成情况表</w:t>
            </w:r>
            <w:r>
              <w:rPr>
                <w:rFonts w:hint="eastAsia" w:ascii="宋体" w:hAnsi="宋体" w:cs="宋体"/>
                <w:b/>
                <w:bCs/>
                <w:color w:val="auto"/>
                <w:kern w:val="0"/>
                <w:sz w:val="36"/>
                <w:szCs w:val="36"/>
                <w:highlight w:val="none"/>
                <w:lang w:bidi="ar"/>
              </w:rPr>
              <w:br w:type="textWrapping"/>
            </w:r>
            <w:r>
              <w:rPr>
                <w:rFonts w:hint="eastAsia" w:ascii="宋体" w:hAnsi="宋体" w:cs="宋体"/>
                <w:color w:val="auto"/>
                <w:kern w:val="0"/>
                <w:sz w:val="36"/>
                <w:szCs w:val="36"/>
                <w:highlight w:val="none"/>
                <w:lang w:bidi="ar"/>
              </w:rPr>
              <w:t>(20</w:t>
            </w:r>
            <w:r>
              <w:rPr>
                <w:rFonts w:hint="eastAsia" w:ascii="宋体" w:hAnsi="宋体" w:cs="宋体"/>
                <w:color w:val="auto"/>
                <w:kern w:val="0"/>
                <w:sz w:val="36"/>
                <w:szCs w:val="36"/>
                <w:highlight w:val="none"/>
                <w:lang w:val="en-US" w:eastAsia="zh-CN" w:bidi="ar"/>
              </w:rPr>
              <w:t>20</w:t>
            </w:r>
            <w:r>
              <w:rPr>
                <w:rFonts w:hint="eastAsia" w:ascii="宋体" w:hAnsi="宋体" w:cs="宋体"/>
                <w:color w:val="auto"/>
                <w:kern w:val="0"/>
                <w:sz w:val="36"/>
                <w:szCs w:val="36"/>
                <w:highlight w:val="none"/>
                <w:lang w:bidi="ar"/>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两校区消防工程</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四川商务职业学院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150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145.13</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130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130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15.13</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auto"/>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auto"/>
                <w:sz w:val="24"/>
                <w:highlight w:val="none"/>
              </w:rPr>
            </w:pPr>
            <w:r>
              <w:rPr>
                <w:rFonts w:hint="eastAsia" w:ascii="宋体" w:hAnsi="宋体" w:cs="宋体"/>
                <w:color w:val="auto"/>
                <w:sz w:val="24"/>
                <w:highlight w:val="none"/>
              </w:rPr>
              <w:t>改善现有消防条件，消除安全隐患，安装消防智能控制系统及配套设备，提高校区消防预警能力，一旦发生火警，降低人员死伤率，增加人员逃生时间，降低人员密集区域危险程度，防患于未然，确保校区近6000名师生的人身安全、财产安全。</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auto"/>
                <w:sz w:val="24"/>
                <w:highlight w:val="none"/>
              </w:rPr>
            </w:pPr>
            <w:r>
              <w:rPr>
                <w:rFonts w:hint="eastAsia" w:ascii="宋体" w:hAnsi="宋体" w:cs="宋体"/>
                <w:color w:val="auto"/>
                <w:sz w:val="24"/>
                <w:highlight w:val="none"/>
              </w:rPr>
              <w:t>所有项目在规定时间全部完成质量合格，保证了两校区6000多师生食堂消防安全，师生满意度达到85%。</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pPr>
          </w:p>
          <w:p>
            <w:pPr>
              <w:bidi w:val="0"/>
              <w:jc w:val="center"/>
              <w:rPr>
                <w:rFonts w:ascii="Calibri" w:hAnsi="Calibri" w:eastAsia="宋体" w:cs="Times New Roman"/>
                <w:color w:val="auto"/>
                <w:kern w:val="2"/>
                <w:sz w:val="21"/>
                <w:szCs w:val="24"/>
                <w:lang w:val="en-US" w:eastAsia="zh-CN" w:bidi="ar-SA"/>
              </w:rPr>
            </w:pPr>
            <w:r>
              <w:rPr>
                <w:rFonts w:hint="eastAsia" w:ascii="宋体" w:hAnsi="宋体" w:cs="宋体"/>
                <w:color w:val="auto"/>
                <w:sz w:val="24"/>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智能疏散系统主机</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239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default"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完成了两校区食堂灶台灭火设备17套、雾化喷嘴112个、温度探测器12个、不锈管（16*0.8）680米、疏散指示灯85套、线路7449.8米、烟感12套、温感125套、手动报警器17个、声光报警器16个、消防广播34个、应急灯120套、主机联动设备1套等</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51"/>
              </w:tabs>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应急照明灯具</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1500</w:t>
            </w:r>
          </w:p>
        </w:tc>
        <w:tc>
          <w:tcPr>
            <w:tcW w:w="2392"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配套电源柜</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16</w:t>
            </w:r>
          </w:p>
        </w:tc>
        <w:tc>
          <w:tcPr>
            <w:tcW w:w="2392"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配套配电箱</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83</w:t>
            </w:r>
          </w:p>
        </w:tc>
        <w:tc>
          <w:tcPr>
            <w:tcW w:w="239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达到国家消防验收标准</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合格</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合格</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完成时间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2020年11月</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2020年11月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改造后可使用时间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10年</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10年</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eastAsia="zh-CN"/>
              </w:rPr>
              <w:t>师生满意度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≥85%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≥85%</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4"/>
                <w:highlight w:val="none"/>
                <w:lang w:bidi="ar"/>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r>
    </w:tbl>
    <w:p/>
    <w:p>
      <w:pPr>
        <w:spacing w:line="580" w:lineRule="exact"/>
        <w:ind w:left="630"/>
        <w:rPr>
          <w:rFonts w:hint="eastAsia" w:ascii="楷体_GB2312" w:hAnsi="楷体_GB2312" w:eastAsia="楷体_GB2312" w:cs="楷体_GB2312"/>
          <w:color w:val="auto"/>
          <w:sz w:val="32"/>
          <w:szCs w:val="32"/>
          <w:highlight w:val="none"/>
        </w:rPr>
      </w:pPr>
    </w:p>
    <w:p>
      <w:pPr>
        <w:spacing w:line="580" w:lineRule="exact"/>
        <w:ind w:left="630"/>
        <w:rPr>
          <w:rFonts w:hint="eastAsia" w:ascii="楷体_GB2312" w:hAnsi="楷体_GB2312" w:eastAsia="楷体_GB2312" w:cs="楷体_GB2312"/>
          <w:color w:val="auto"/>
          <w:sz w:val="32"/>
          <w:szCs w:val="32"/>
          <w:highlight w:val="none"/>
        </w:rPr>
      </w:pPr>
    </w:p>
    <w:p>
      <w:pPr>
        <w:spacing w:line="580" w:lineRule="exact"/>
        <w:ind w:left="630"/>
        <w:rPr>
          <w:rFonts w:hint="eastAsia" w:ascii="楷体_GB2312" w:hAnsi="楷体_GB2312" w:eastAsia="楷体_GB2312" w:cs="楷体_GB2312"/>
          <w:color w:val="auto"/>
          <w:sz w:val="32"/>
          <w:szCs w:val="32"/>
          <w:highlight w:val="none"/>
        </w:rPr>
      </w:pPr>
    </w:p>
    <w:p>
      <w:pPr>
        <w:spacing w:line="580" w:lineRule="exact"/>
        <w:ind w:left="630"/>
        <w:rPr>
          <w:rFonts w:hint="eastAsia" w:ascii="楷体_GB2312" w:hAnsi="楷体_GB2312" w:eastAsia="楷体_GB2312" w:cs="楷体_GB2312"/>
          <w:color w:val="auto"/>
          <w:sz w:val="32"/>
          <w:szCs w:val="32"/>
          <w:highlight w:val="none"/>
        </w:rPr>
      </w:pPr>
    </w:p>
    <w:p>
      <w:pPr>
        <w:spacing w:line="580" w:lineRule="exact"/>
        <w:ind w:left="630"/>
        <w:rPr>
          <w:rFonts w:hint="eastAsia" w:ascii="楷体_GB2312" w:hAnsi="楷体_GB2312" w:eastAsia="楷体_GB2312" w:cs="楷体_GB2312"/>
          <w:color w:val="auto"/>
          <w:sz w:val="32"/>
          <w:szCs w:val="32"/>
          <w:highlight w:val="none"/>
        </w:rPr>
      </w:pPr>
    </w:p>
    <w:p>
      <w:pPr>
        <w:spacing w:line="580" w:lineRule="exact"/>
        <w:ind w:left="630"/>
        <w:rPr>
          <w:rFonts w:hint="eastAsia" w:ascii="楷体_GB2312" w:hAnsi="楷体_GB2312" w:eastAsia="楷体_GB2312" w:cs="楷体_GB2312"/>
          <w:color w:val="auto"/>
          <w:sz w:val="32"/>
          <w:szCs w:val="32"/>
          <w:highlight w:val="none"/>
        </w:rPr>
      </w:pPr>
    </w:p>
    <w:p>
      <w:pPr>
        <w:spacing w:line="580" w:lineRule="exact"/>
        <w:ind w:left="630"/>
        <w:rPr>
          <w:rFonts w:hint="eastAsia" w:ascii="楷体_GB2312" w:hAnsi="楷体_GB2312" w:eastAsia="楷体_GB2312" w:cs="楷体_GB2312"/>
          <w:color w:val="auto"/>
          <w:sz w:val="32"/>
          <w:szCs w:val="32"/>
          <w:highlight w:val="none"/>
        </w:rPr>
      </w:pPr>
    </w:p>
    <w:p>
      <w:pPr>
        <w:spacing w:line="580" w:lineRule="exact"/>
        <w:ind w:left="630"/>
        <w:rPr>
          <w:rFonts w:hint="eastAsia" w:ascii="楷体_GB2312" w:hAnsi="楷体_GB2312" w:eastAsia="楷体_GB2312" w:cs="楷体_GB2312"/>
          <w:color w:val="auto"/>
          <w:sz w:val="32"/>
          <w:szCs w:val="32"/>
          <w:highlight w:val="none"/>
        </w:rPr>
      </w:pPr>
    </w:p>
    <w:p>
      <w:pPr>
        <w:spacing w:line="580" w:lineRule="exact"/>
        <w:ind w:left="630"/>
        <w:rPr>
          <w:rFonts w:hint="eastAsia" w:ascii="楷体_GB2312" w:hAnsi="楷体_GB2312" w:eastAsia="楷体_GB2312" w:cs="楷体_GB2312"/>
          <w:color w:val="auto"/>
          <w:sz w:val="32"/>
          <w:szCs w:val="32"/>
          <w:highlight w:val="none"/>
        </w:rPr>
      </w:pPr>
    </w:p>
    <w:p>
      <w:pPr>
        <w:spacing w:line="580" w:lineRule="exact"/>
        <w:ind w:left="630"/>
        <w:rPr>
          <w:rFonts w:hint="eastAsia" w:ascii="楷体_GB2312" w:hAnsi="楷体_GB2312" w:eastAsia="楷体_GB2312" w:cs="楷体_GB2312"/>
          <w:color w:val="auto"/>
          <w:sz w:val="32"/>
          <w:szCs w:val="32"/>
          <w:highlight w:val="none"/>
        </w:rPr>
      </w:pPr>
    </w:p>
    <w:p>
      <w:pPr>
        <w:spacing w:line="580" w:lineRule="exact"/>
        <w:ind w:left="630"/>
        <w:rPr>
          <w:rFonts w:hint="eastAsia" w:ascii="楷体_GB2312" w:hAnsi="楷体_GB2312" w:eastAsia="楷体_GB2312" w:cs="楷体_GB2312"/>
          <w:color w:val="auto"/>
          <w:sz w:val="32"/>
          <w:szCs w:val="32"/>
          <w:highlight w:val="none"/>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color w:val="auto"/>
                <w:sz w:val="36"/>
                <w:szCs w:val="36"/>
                <w:highlight w:val="none"/>
              </w:rPr>
            </w:pPr>
            <w:r>
              <w:rPr>
                <w:rFonts w:hint="eastAsia" w:ascii="宋体" w:hAnsi="宋体" w:cs="宋体"/>
                <w:b/>
                <w:bCs/>
                <w:color w:val="auto"/>
                <w:kern w:val="0"/>
                <w:sz w:val="36"/>
                <w:szCs w:val="36"/>
                <w:highlight w:val="none"/>
                <w:lang w:bidi="ar"/>
              </w:rPr>
              <w:t>项目绩效目标完成情况表</w:t>
            </w:r>
            <w:r>
              <w:rPr>
                <w:rFonts w:hint="eastAsia" w:ascii="宋体" w:hAnsi="宋体" w:cs="宋体"/>
                <w:b/>
                <w:bCs/>
                <w:color w:val="auto"/>
                <w:kern w:val="0"/>
                <w:sz w:val="36"/>
                <w:szCs w:val="36"/>
                <w:highlight w:val="none"/>
                <w:lang w:bidi="ar"/>
              </w:rPr>
              <w:br w:type="textWrapping"/>
            </w:r>
            <w:r>
              <w:rPr>
                <w:rFonts w:hint="eastAsia" w:ascii="宋体" w:hAnsi="宋体" w:cs="宋体"/>
                <w:color w:val="auto"/>
                <w:kern w:val="0"/>
                <w:sz w:val="36"/>
                <w:szCs w:val="36"/>
                <w:highlight w:val="none"/>
                <w:lang w:bidi="ar"/>
              </w:rPr>
              <w:t>(20</w:t>
            </w:r>
            <w:r>
              <w:rPr>
                <w:rFonts w:hint="eastAsia" w:ascii="宋体" w:hAnsi="宋体" w:cs="宋体"/>
                <w:color w:val="auto"/>
                <w:kern w:val="0"/>
                <w:sz w:val="36"/>
                <w:szCs w:val="36"/>
                <w:highlight w:val="none"/>
                <w:lang w:val="en-US" w:eastAsia="zh-CN" w:bidi="ar"/>
              </w:rPr>
              <w:t>20</w:t>
            </w:r>
            <w:r>
              <w:rPr>
                <w:rFonts w:hint="eastAsia" w:ascii="宋体" w:hAnsi="宋体" w:cs="宋体"/>
                <w:color w:val="auto"/>
                <w:kern w:val="0"/>
                <w:sz w:val="36"/>
                <w:szCs w:val="36"/>
                <w:highlight w:val="none"/>
                <w:lang w:bidi="ar"/>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两校区综合维修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四川商务职业学院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75.8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75.8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auto"/>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auto"/>
                <w:sz w:val="24"/>
                <w:highlight w:val="none"/>
              </w:rPr>
            </w:pPr>
            <w:r>
              <w:rPr>
                <w:rFonts w:hint="eastAsia" w:ascii="宋体" w:hAnsi="宋体" w:cs="宋体"/>
                <w:color w:val="auto"/>
                <w:sz w:val="24"/>
                <w:highlight w:val="none"/>
              </w:rPr>
              <w:t>和盛校区教学楼实训楼等沉降缝整治，提高校园照明度，消除安全隐患，文家校区危险房屋修补，值班室改造，更换校区老化线路，学生公寓加装配电箱，恢复其功能性，消除安全隐患，确保全院师生人身安全。</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auto"/>
                <w:sz w:val="24"/>
                <w:highlight w:val="none"/>
              </w:rPr>
            </w:pPr>
            <w:r>
              <w:rPr>
                <w:rFonts w:hint="eastAsia" w:ascii="宋体" w:hAnsi="宋体" w:cs="宋体"/>
                <w:color w:val="auto"/>
                <w:sz w:val="24"/>
                <w:highlight w:val="none"/>
              </w:rPr>
              <w:t>完成了文家校区2000米的供电线路更换，新装配电柜一台，10套值班室（隔离房）改造（粉刷面积2600㎡）拆除了教学楼顶铁架、老木工房、东区食堂彩钢棚、东区锅炉房及设备等有严重安全隐患的建筑和设备，保证了文家校区供电线路安全运行，改善了值班人员和隔离室住宿条件。完成了和盛校区4个多功能厅的天沟更换和部分改造，教学楼地面沉降伸缩缝的拆除、安装，消除了教学楼漏水现象，同时新装6米单挑灯25套。所有项目在规定时间全部完成质量合格。确保了全院1万多师生的校园环境安全</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pPr>
          </w:p>
          <w:p>
            <w:pPr>
              <w:bidi w:val="0"/>
              <w:jc w:val="center"/>
              <w:rPr>
                <w:rFonts w:ascii="Calibri" w:hAnsi="Calibri" w:eastAsia="宋体" w:cs="Times New Roman"/>
                <w:color w:val="auto"/>
                <w:kern w:val="2"/>
                <w:sz w:val="21"/>
                <w:szCs w:val="24"/>
                <w:lang w:val="en-US" w:eastAsia="zh-CN" w:bidi="ar-SA"/>
              </w:rPr>
            </w:pPr>
            <w:r>
              <w:rPr>
                <w:rFonts w:hint="eastAsia" w:ascii="宋体" w:hAnsi="宋体" w:cs="宋体"/>
                <w:color w:val="auto"/>
                <w:sz w:val="24"/>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维修校区沉降缝长度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685</w:t>
            </w:r>
          </w:p>
        </w:tc>
        <w:tc>
          <w:tcPr>
            <w:tcW w:w="239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宋体" w:hAnsi="宋体" w:eastAsia="宋体" w:cs="宋体"/>
                <w:color w:val="auto"/>
                <w:sz w:val="24"/>
                <w:highlight w:val="none"/>
                <w:lang w:val="en-US" w:eastAsia="zh-CN"/>
              </w:rPr>
            </w:pPr>
            <w:r>
              <w:rPr>
                <w:rFonts w:hint="eastAsia"/>
              </w:rPr>
              <w:t>完成了2000米的供电线路更换，新装配电柜一台，10套值班室（隔离房）改造（粉刷面积2600㎡）拆除了教学楼顶铁架、老木工房、东区食堂彩钢棚、东区锅炉房及设备等。完成了和盛校区4个多功能厅的天沟更换和部分改造，教学楼地面沉降伸缩缝的拆除、安装，新装6米单挑灯25套。</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351"/>
              </w:tabs>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更换校区老化线路长度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2100</w:t>
            </w:r>
          </w:p>
        </w:tc>
        <w:tc>
          <w:tcPr>
            <w:tcW w:w="2392"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学生公寓配电箱数量</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638</w:t>
            </w:r>
          </w:p>
        </w:tc>
        <w:tc>
          <w:tcPr>
            <w:tcW w:w="2392"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值班室改造数量</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239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坚固度和安全性</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良好</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良好</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完成时间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2020年10月</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2020年10月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修缮后可使用时间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5年</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5年</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eastAsia="zh-CN"/>
              </w:rPr>
              <w:t>师生满意度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≥85%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《=85%</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4"/>
                <w:highlight w:val="none"/>
                <w:lang w:bidi="ar"/>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r>
    </w:tbl>
    <w:p>
      <w:pPr>
        <w:spacing w:line="580" w:lineRule="exact"/>
        <w:ind w:left="630"/>
        <w:rPr>
          <w:rFonts w:hint="eastAsia" w:ascii="楷体_GB2312" w:hAnsi="楷体_GB2312" w:eastAsia="楷体_GB2312" w:cs="楷体_GB2312"/>
          <w:color w:val="auto"/>
          <w:sz w:val="32"/>
          <w:szCs w:val="32"/>
          <w:highlight w:val="none"/>
        </w:rPr>
      </w:pPr>
    </w:p>
    <w:p>
      <w:pPr>
        <w:pStyle w:val="2"/>
        <w:rPr>
          <w:rFonts w:hint="eastAsia" w:ascii="楷体_GB2312" w:hAnsi="楷体_GB2312" w:eastAsia="楷体_GB2312" w:cs="楷体_GB2312"/>
          <w:color w:val="auto"/>
          <w:sz w:val="32"/>
          <w:szCs w:val="32"/>
          <w:highlight w:val="none"/>
        </w:rPr>
      </w:pPr>
    </w:p>
    <w:p>
      <w:pPr>
        <w:pStyle w:val="2"/>
        <w:rPr>
          <w:rFonts w:hint="eastAsia" w:ascii="楷体_GB2312" w:hAnsi="楷体_GB2312" w:eastAsia="楷体_GB2312" w:cs="楷体_GB2312"/>
          <w:color w:val="auto"/>
          <w:sz w:val="32"/>
          <w:szCs w:val="32"/>
          <w:highlight w:val="none"/>
        </w:rPr>
      </w:pPr>
    </w:p>
    <w:p>
      <w:pPr>
        <w:pStyle w:val="2"/>
        <w:rPr>
          <w:rFonts w:hint="eastAsia" w:ascii="楷体_GB2312" w:hAnsi="楷体_GB2312" w:eastAsia="楷体_GB2312" w:cs="楷体_GB2312"/>
          <w:color w:val="auto"/>
          <w:sz w:val="32"/>
          <w:szCs w:val="32"/>
          <w:highlight w:val="none"/>
        </w:rPr>
      </w:pPr>
    </w:p>
    <w:p>
      <w:pPr>
        <w:pStyle w:val="2"/>
        <w:rPr>
          <w:rFonts w:hint="eastAsia" w:ascii="楷体_GB2312" w:hAnsi="楷体_GB2312" w:eastAsia="楷体_GB2312" w:cs="楷体_GB2312"/>
          <w:color w:val="auto"/>
          <w:sz w:val="32"/>
          <w:szCs w:val="32"/>
          <w:highlight w:val="none"/>
        </w:rPr>
      </w:pPr>
    </w:p>
    <w:p>
      <w:pPr>
        <w:pStyle w:val="2"/>
        <w:rPr>
          <w:rFonts w:hint="eastAsia" w:ascii="楷体_GB2312" w:hAnsi="楷体_GB2312" w:eastAsia="楷体_GB2312" w:cs="楷体_GB2312"/>
          <w:color w:val="auto"/>
          <w:sz w:val="32"/>
          <w:szCs w:val="32"/>
          <w:highlight w:val="none"/>
        </w:rPr>
      </w:pPr>
    </w:p>
    <w:p>
      <w:pPr>
        <w:pStyle w:val="2"/>
        <w:rPr>
          <w:rFonts w:hint="eastAsia" w:ascii="楷体_GB2312" w:hAnsi="楷体_GB2312" w:eastAsia="楷体_GB2312" w:cs="楷体_GB2312"/>
          <w:color w:val="auto"/>
          <w:sz w:val="32"/>
          <w:szCs w:val="32"/>
          <w:highlight w:val="none"/>
        </w:rPr>
      </w:pPr>
    </w:p>
    <w:p>
      <w:pPr>
        <w:pStyle w:val="2"/>
        <w:rPr>
          <w:rFonts w:hint="eastAsia" w:ascii="楷体_GB2312" w:hAnsi="楷体_GB2312" w:eastAsia="楷体_GB2312" w:cs="楷体_GB2312"/>
          <w:color w:val="auto"/>
          <w:sz w:val="32"/>
          <w:szCs w:val="32"/>
          <w:highlight w:val="none"/>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color w:val="auto"/>
                <w:sz w:val="36"/>
                <w:szCs w:val="36"/>
                <w:highlight w:val="none"/>
              </w:rPr>
            </w:pPr>
            <w:r>
              <w:rPr>
                <w:rFonts w:hint="eastAsia" w:ascii="宋体" w:hAnsi="宋体" w:cs="宋体"/>
                <w:b/>
                <w:bCs/>
                <w:color w:val="auto"/>
                <w:kern w:val="0"/>
                <w:sz w:val="36"/>
                <w:szCs w:val="36"/>
                <w:highlight w:val="none"/>
                <w:lang w:bidi="ar"/>
              </w:rPr>
              <w:t>项目绩效目标完成情况表</w:t>
            </w:r>
            <w:r>
              <w:rPr>
                <w:rFonts w:hint="eastAsia" w:ascii="宋体" w:hAnsi="宋体" w:cs="宋体"/>
                <w:b/>
                <w:bCs/>
                <w:color w:val="auto"/>
                <w:kern w:val="0"/>
                <w:sz w:val="36"/>
                <w:szCs w:val="36"/>
                <w:highlight w:val="none"/>
                <w:lang w:bidi="ar"/>
              </w:rPr>
              <w:br w:type="textWrapping"/>
            </w:r>
            <w:r>
              <w:rPr>
                <w:rFonts w:hint="eastAsia" w:ascii="宋体" w:hAnsi="宋体" w:cs="宋体"/>
                <w:color w:val="auto"/>
                <w:kern w:val="0"/>
                <w:sz w:val="36"/>
                <w:szCs w:val="36"/>
                <w:highlight w:val="none"/>
                <w:lang w:bidi="ar"/>
              </w:rPr>
              <w:t>(20</w:t>
            </w:r>
            <w:r>
              <w:rPr>
                <w:rFonts w:hint="eastAsia" w:ascii="宋体" w:hAnsi="宋体" w:cs="宋体"/>
                <w:color w:val="auto"/>
                <w:kern w:val="0"/>
                <w:sz w:val="36"/>
                <w:szCs w:val="36"/>
                <w:highlight w:val="none"/>
                <w:lang w:val="en-US" w:eastAsia="zh-CN" w:bidi="ar"/>
              </w:rPr>
              <w:t>20</w:t>
            </w:r>
            <w:r>
              <w:rPr>
                <w:rFonts w:hint="eastAsia" w:ascii="宋体" w:hAnsi="宋体" w:cs="宋体"/>
                <w:color w:val="auto"/>
                <w:kern w:val="0"/>
                <w:sz w:val="36"/>
                <w:szCs w:val="36"/>
                <w:highlight w:val="none"/>
                <w:lang w:bidi="ar"/>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年学生资助经费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四川商务职业学院</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1123</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1123</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1123</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1123</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auto"/>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auto"/>
                <w:sz w:val="24"/>
                <w:highlight w:val="none"/>
              </w:rPr>
            </w:pPr>
            <w:r>
              <w:rPr>
                <w:rFonts w:hint="eastAsia" w:ascii="宋体" w:hAnsi="宋体" w:cs="宋体"/>
                <w:color w:val="auto"/>
                <w:sz w:val="24"/>
                <w:highlight w:val="none"/>
              </w:rPr>
              <w:t>解决学院大约4000多人*2500元、我贫困助学生的生活费，极大地缓解了农村贫困学生的困难，体现了党和国家对贫困大学生的关心。</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auto"/>
                <w:sz w:val="24"/>
                <w:highlight w:val="none"/>
              </w:rPr>
            </w:pPr>
            <w:r>
              <w:rPr>
                <w:rFonts w:hint="eastAsia" w:ascii="宋体" w:hAnsi="宋体" w:cs="宋体"/>
                <w:color w:val="auto"/>
                <w:sz w:val="24"/>
                <w:highlight w:val="none"/>
              </w:rPr>
              <w:t>已按国家政策完成了2020年国家助学金的发放，2020年春季助学金按月发放，每月发放学生人数3419人，秋季按学期发放，发放学生人数2797人。发放国家励志奖学金279人，国家奖学金8人，缓解了困难学生的学习和生活上的经济压力。</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pPr>
          </w:p>
          <w:p>
            <w:pPr>
              <w:bidi w:val="0"/>
              <w:jc w:val="center"/>
              <w:rPr>
                <w:rFonts w:ascii="Calibri" w:hAnsi="Calibri" w:eastAsia="宋体" w:cs="Times New Roman"/>
                <w:color w:val="auto"/>
                <w:kern w:val="2"/>
                <w:sz w:val="21"/>
                <w:szCs w:val="24"/>
                <w:lang w:val="en-US" w:eastAsia="zh-CN" w:bidi="ar-SA"/>
              </w:rPr>
            </w:pPr>
            <w:r>
              <w:rPr>
                <w:rFonts w:hint="eastAsia" w:ascii="宋体" w:hAnsi="宋体" w:cs="宋体"/>
                <w:color w:val="auto"/>
                <w:sz w:val="24"/>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受惠学生人次</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》4000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6503</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按时发放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12月之前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已在12月前发放完成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社会</w:t>
            </w:r>
            <w:r>
              <w:rPr>
                <w:rFonts w:hint="eastAsia" w:ascii="宋体" w:hAnsi="宋体" w:cs="宋体"/>
                <w:color w:val="auto"/>
                <w:kern w:val="0"/>
                <w:sz w:val="24"/>
                <w:highlight w:val="none"/>
                <w:lang w:bidi="ar"/>
              </w:rPr>
              <w:t>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学生认可度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良好</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良好</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评审期间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一学年</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一学年</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kern w:val="0"/>
                <w:sz w:val="24"/>
                <w:szCs w:val="24"/>
                <w:highlight w:val="none"/>
                <w:lang w:val="en-US" w:eastAsia="zh-CN" w:bidi="ar"/>
              </w:rPr>
            </w:pPr>
            <w:r>
              <w:rPr>
                <w:rFonts w:hint="eastAsia" w:ascii="宋体" w:hAnsi="宋体" w:cs="宋体"/>
                <w:color w:val="auto"/>
                <w:kern w:val="0"/>
                <w:sz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eastAsia="zh-CN"/>
              </w:rPr>
              <w:t>师生满意度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》=95%</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sz w:val="24"/>
                <w:highlight w:val="none"/>
                <w:lang w:val="en-US" w:eastAsia="zh-CN"/>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highlight w:val="none"/>
                <w:lang w:val="en-US" w:eastAsia="zh-CN" w:bidi="ar-SA"/>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kern w:val="2"/>
                <w:sz w:val="24"/>
                <w:szCs w:val="24"/>
                <w:highlight w:val="none"/>
                <w:lang w:val="en-US" w:eastAsia="zh-CN" w:bidi="ar-SA"/>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4"/>
                <w:szCs w:val="24"/>
                <w:highlight w:val="none"/>
                <w:lang w:val="en-US" w:eastAsia="zh-CN" w:bidi="ar-SA"/>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2"/>
                <w:sz w:val="24"/>
                <w:szCs w:val="24"/>
                <w:highlight w:val="none"/>
                <w:lang w:val="en-US" w:eastAsia="zh-CN" w:bidi="ar-SA"/>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4"/>
                <w:highlight w:val="none"/>
                <w:lang w:bidi="ar"/>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4"/>
                <w:highlight w:val="none"/>
              </w:rPr>
            </w:pPr>
          </w:p>
        </w:tc>
      </w:tr>
    </w:tbl>
    <w:p>
      <w:pPr>
        <w:pStyle w:val="2"/>
        <w:rPr>
          <w:rFonts w:hint="eastAsia" w:ascii="楷体_GB2312" w:hAnsi="楷体_GB2312" w:eastAsia="楷体_GB2312" w:cs="楷体_GB2312"/>
          <w:color w:val="auto"/>
          <w:sz w:val="32"/>
          <w:szCs w:val="32"/>
          <w:highlight w:val="none"/>
        </w:rPr>
      </w:pP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2.部门绩效评价结果。</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本部门按要求对20</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年部门整体支出绩效评价情况开展自评，《202</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年</w:t>
      </w:r>
      <w:r>
        <w:rPr>
          <w:rFonts w:hint="eastAsia" w:ascii="仿宋_GB2312" w:hAnsi="仿宋" w:eastAsia="仿宋_GB2312" w:cs="仿宋"/>
          <w:sz w:val="32"/>
          <w:szCs w:val="32"/>
          <w:lang w:eastAsia="zh-CN"/>
        </w:rPr>
        <w:t>四</w:t>
      </w:r>
      <w:r>
        <w:rPr>
          <w:rFonts w:hint="eastAsia" w:ascii="仿宋_GB2312" w:hAnsi="仿宋_GB2312" w:eastAsia="仿宋_GB2312" w:cs="仿宋_GB2312"/>
          <w:color w:val="auto"/>
          <w:sz w:val="32"/>
          <w:szCs w:val="32"/>
          <w:highlight w:val="none"/>
          <w:lang w:eastAsia="zh-CN"/>
        </w:rPr>
        <w:t>川省商务厅</w:t>
      </w:r>
      <w:r>
        <w:rPr>
          <w:rFonts w:hint="eastAsia" w:ascii="仿宋_GB2312" w:hAnsi="仿宋_GB2312" w:eastAsia="仿宋_GB2312" w:cs="仿宋_GB2312"/>
          <w:color w:val="auto"/>
          <w:sz w:val="32"/>
          <w:szCs w:val="32"/>
          <w:highlight w:val="none"/>
        </w:rPr>
        <w:t>部门整体支出绩效评价报告》</w:t>
      </w:r>
      <w:r>
        <w:rPr>
          <w:rFonts w:hint="eastAsia" w:ascii="仿宋_GB2312" w:hAnsi="仿宋" w:eastAsia="仿宋_GB2312" w:cs="仿宋"/>
          <w:sz w:val="32"/>
          <w:szCs w:val="32"/>
        </w:rPr>
        <w:t>见附件（附件1）。</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本部门自行组</w:t>
      </w:r>
      <w:r>
        <w:rPr>
          <w:rFonts w:hint="eastAsia" w:ascii="仿宋_GB2312" w:hAnsi="仿宋" w:eastAsia="仿宋_GB2312" w:cs="仿宋"/>
          <w:sz w:val="32"/>
          <w:szCs w:val="32"/>
          <w:lang w:eastAsia="zh-CN"/>
        </w:rPr>
        <w:t>织对</w:t>
      </w:r>
      <w:r>
        <w:rPr>
          <w:rFonts w:hint="default" w:ascii="仿宋_GB2312" w:hAnsi="仿宋" w:eastAsia="仿宋_GB2312" w:cs="仿宋"/>
          <w:sz w:val="32"/>
          <w:szCs w:val="32"/>
          <w:lang w:val="en-US" w:eastAsia="zh-CN"/>
        </w:rPr>
        <w:t>内贸流通服务业发展资金</w:t>
      </w:r>
      <w:r>
        <w:rPr>
          <w:rFonts w:hint="eastAsia" w:ascii="仿宋_GB2312" w:hAnsi="仿宋" w:eastAsia="仿宋_GB2312" w:cs="仿宋"/>
          <w:sz w:val="32"/>
          <w:szCs w:val="32"/>
          <w:lang w:eastAsia="zh-CN"/>
        </w:rPr>
        <w:t>专</w:t>
      </w:r>
      <w:r>
        <w:rPr>
          <w:rFonts w:hint="eastAsia" w:ascii="仿宋_GB2312" w:hAnsi="仿宋" w:eastAsia="仿宋_GB2312" w:cs="仿宋"/>
          <w:sz w:val="32"/>
          <w:szCs w:val="32"/>
        </w:rPr>
        <w:t>项</w:t>
      </w:r>
      <w:r>
        <w:rPr>
          <w:rFonts w:hint="eastAsia" w:ascii="仿宋_GB2312" w:hAnsi="仿宋" w:eastAsia="仿宋_GB2312" w:cs="仿宋"/>
          <w:sz w:val="32"/>
          <w:szCs w:val="32"/>
          <w:lang w:eastAsia="zh-CN"/>
        </w:rPr>
        <w:t>预算</w:t>
      </w:r>
      <w:r>
        <w:rPr>
          <w:rFonts w:hint="eastAsia" w:ascii="仿宋_GB2312" w:hAnsi="仿宋" w:eastAsia="仿宋_GB2312" w:cs="仿宋"/>
          <w:sz w:val="32"/>
          <w:szCs w:val="32"/>
        </w:rPr>
        <w:t>项目、商务事业运行补助经费项目</w:t>
      </w:r>
      <w:r>
        <w:rPr>
          <w:rFonts w:hint="eastAsia" w:ascii="仿宋_GB2312" w:hAnsi="仿宋" w:eastAsia="仿宋_GB2312" w:cs="仿宋"/>
          <w:sz w:val="32"/>
          <w:szCs w:val="32"/>
          <w:lang w:eastAsia="zh-CN"/>
        </w:rPr>
        <w:t>等</w:t>
      </w:r>
      <w:r>
        <w:rPr>
          <w:rFonts w:hint="eastAsia" w:ascii="仿宋_GB2312" w:hAnsi="仿宋" w:eastAsia="仿宋_GB2312" w:cs="仿宋"/>
          <w:sz w:val="32"/>
          <w:szCs w:val="32"/>
          <w:lang w:val="en-US" w:eastAsia="zh-CN"/>
        </w:rPr>
        <w:t>5个</w:t>
      </w:r>
      <w:r>
        <w:rPr>
          <w:rFonts w:hint="eastAsia" w:ascii="仿宋_GB2312" w:hAnsi="仿宋" w:eastAsia="仿宋_GB2312" w:cs="仿宋"/>
          <w:sz w:val="32"/>
          <w:szCs w:val="32"/>
        </w:rPr>
        <w:t>部门预算项目开展了绩效评价，</w:t>
      </w:r>
      <w:r>
        <w:rPr>
          <w:rFonts w:hint="eastAsia" w:ascii="仿宋_GB2312" w:hAnsi="仿宋" w:eastAsia="仿宋_GB2312" w:cs="仿宋"/>
          <w:sz w:val="32"/>
          <w:szCs w:val="32"/>
          <w:lang w:val="en-US" w:eastAsia="zh-CN"/>
        </w:rPr>
        <w:t>《2020年</w:t>
      </w:r>
      <w:r>
        <w:rPr>
          <w:rFonts w:hint="default" w:ascii="仿宋_GB2312" w:hAnsi="仿宋" w:eastAsia="仿宋_GB2312" w:cs="仿宋"/>
          <w:sz w:val="32"/>
          <w:szCs w:val="32"/>
          <w:lang w:val="en-US" w:eastAsia="zh-CN"/>
        </w:rPr>
        <w:t>内贸流通服务业发展资金</w:t>
      </w:r>
      <w:r>
        <w:rPr>
          <w:rFonts w:hint="eastAsia" w:ascii="仿宋_GB2312" w:hAnsi="仿宋" w:eastAsia="仿宋_GB2312" w:cs="仿宋"/>
          <w:sz w:val="32"/>
          <w:szCs w:val="32"/>
          <w:lang w:val="en-US" w:eastAsia="zh-CN"/>
        </w:rPr>
        <w:t>专项预算项目支出绩效自评报告》、《2020年部门预算项目支出绩效自评报告》见附件（附件2）（附件3）。</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5"/>
          <w:rFonts w:ascii="黑体" w:hAnsi="黑体" w:eastAsia="黑体"/>
          <w:b w:val="0"/>
          <w:color w:val="auto"/>
          <w:highlight w:val="none"/>
        </w:rPr>
      </w:pPr>
      <w:bookmarkStart w:id="99" w:name="_Toc113776490_WPSOffice_Level1"/>
      <w:bookmarkStart w:id="100" w:name="_Toc9435"/>
      <w:bookmarkStart w:id="101" w:name="_Toc15377225"/>
      <w:bookmarkStart w:id="102" w:name="_Toc1672773470_WPSOffice_Level1"/>
      <w:bookmarkStart w:id="103" w:name="_Toc15396613"/>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99"/>
      <w:bookmarkEnd w:id="100"/>
      <w:bookmarkEnd w:id="101"/>
      <w:bookmarkEnd w:id="102"/>
      <w:bookmarkEnd w:id="103"/>
    </w:p>
    <w:p>
      <w:pPr>
        <w:spacing w:line="600" w:lineRule="exact"/>
        <w:jc w:val="left"/>
        <w:rPr>
          <w:rFonts w:ascii="宋体"/>
          <w:b/>
          <w:color w:val="auto"/>
          <w:sz w:val="44"/>
          <w:szCs w:val="44"/>
          <w:highlight w:val="none"/>
        </w:rPr>
      </w:pPr>
    </w:p>
    <w:p>
      <w:pPr>
        <w:pStyle w:val="23"/>
        <w:spacing w:line="560" w:lineRule="exact"/>
        <w:ind w:firstLine="640" w:firstLineChars="200"/>
        <w:jc w:val="both"/>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spacing w:line="560" w:lineRule="exact"/>
        <w:ind w:firstLine="640" w:firstLineChars="200"/>
        <w:jc w:val="both"/>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w:t>
      </w:r>
      <w:r>
        <w:rPr>
          <w:rFonts w:hint="eastAsia" w:ascii="仿宋_GB2312" w:eastAsia="仿宋_GB2312"/>
          <w:sz w:val="32"/>
          <w:szCs w:val="32"/>
          <w:lang w:eastAsia="zh-CN"/>
        </w:rPr>
        <w:t>四川</w:t>
      </w:r>
      <w:r>
        <w:rPr>
          <w:rFonts w:hint="eastAsia" w:ascii="仿宋_GB2312" w:eastAsia="仿宋_GB2312"/>
          <w:sz w:val="32"/>
          <w:szCs w:val="32"/>
        </w:rPr>
        <w:t>商务职业学院等厅属院校教育收费</w:t>
      </w:r>
      <w:r>
        <w:rPr>
          <w:rFonts w:hint="eastAsia" w:ascii="仿宋_GB2312" w:eastAsia="仿宋_GB2312"/>
          <w:color w:val="auto"/>
          <w:sz w:val="32"/>
          <w:szCs w:val="32"/>
          <w:highlight w:val="none"/>
        </w:rPr>
        <w:t>等。</w:t>
      </w:r>
    </w:p>
    <w:p>
      <w:pPr>
        <w:pStyle w:val="23"/>
        <w:spacing w:line="560" w:lineRule="exact"/>
        <w:ind w:firstLine="640" w:firstLineChars="200"/>
        <w:jc w:val="both"/>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w:t>
      </w:r>
      <w:r>
        <w:rPr>
          <w:rFonts w:hint="eastAsia" w:ascii="仿宋_GB2312" w:eastAsia="仿宋_GB2312"/>
          <w:color w:val="auto"/>
          <w:sz w:val="32"/>
          <w:szCs w:val="32"/>
          <w:highlight w:val="none"/>
          <w:lang w:eastAsia="zh-CN"/>
        </w:rPr>
        <w:t>四川省商务发展中心经营收入等</w:t>
      </w:r>
      <w:r>
        <w:rPr>
          <w:rFonts w:hint="eastAsia" w:ascii="仿宋_GB2312" w:eastAsia="仿宋_GB2312"/>
          <w:color w:val="auto"/>
          <w:sz w:val="32"/>
          <w:szCs w:val="32"/>
          <w:highlight w:val="none"/>
        </w:rPr>
        <w:t>。</w:t>
      </w:r>
    </w:p>
    <w:p>
      <w:pPr>
        <w:pStyle w:val="23"/>
        <w:spacing w:line="560" w:lineRule="exact"/>
        <w:ind w:firstLine="640" w:firstLineChars="200"/>
        <w:jc w:val="both"/>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指利息收入、捐赠收入、固定资产出租收入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3"/>
        <w:spacing w:line="560" w:lineRule="exact"/>
        <w:ind w:firstLine="640" w:firstLineChars="200"/>
        <w:jc w:val="both"/>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3"/>
        <w:spacing w:line="560" w:lineRule="exact"/>
        <w:ind w:firstLine="640" w:firstLineChars="200"/>
        <w:jc w:val="both"/>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3"/>
        <w:spacing w:line="560" w:lineRule="exact"/>
        <w:ind w:firstLine="640" w:firstLineChars="200"/>
        <w:jc w:val="both"/>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3"/>
        <w:spacing w:line="560" w:lineRule="exact"/>
        <w:ind w:firstLine="640" w:firstLineChars="200"/>
        <w:jc w:val="both"/>
        <w:rPr>
          <w:rFonts w:hint="eastAsia" w:ascii="仿宋_GB2312" w:eastAsia="仿宋_GB2312"/>
          <w:color w:val="auto"/>
          <w:sz w:val="32"/>
          <w:szCs w:val="32"/>
          <w:highlight w:val="none"/>
        </w:rPr>
      </w:pPr>
      <w:r>
        <w:rPr>
          <w:rFonts w:ascii="仿宋_GB2312" w:eastAsia="仿宋_GB2312"/>
          <w:color w:val="auto"/>
          <w:sz w:val="32"/>
          <w:szCs w:val="32"/>
          <w:highlight w:val="none"/>
        </w:rPr>
        <w:t>8</w:t>
      </w:r>
      <w:r>
        <w:rPr>
          <w:rFonts w:hint="default" w:ascii="仿宋_GB2312" w:eastAsia="仿宋_GB2312"/>
          <w:color w:val="auto"/>
          <w:sz w:val="32"/>
          <w:szCs w:val="32"/>
          <w:highlight w:val="none"/>
          <w:lang w:val="en"/>
        </w:rPr>
        <w:t>.</w:t>
      </w:r>
      <w:r>
        <w:rPr>
          <w:rFonts w:hint="eastAsia" w:ascii="仿宋_GB2312" w:eastAsia="仿宋_GB2312"/>
          <w:color w:val="auto"/>
          <w:sz w:val="32"/>
          <w:szCs w:val="32"/>
          <w:highlight w:val="none"/>
        </w:rPr>
        <w:t>年末结转和结余：指单位按有关规定结转到下年或以后年度继续使用的资金。</w:t>
      </w:r>
    </w:p>
    <w:p>
      <w:pPr>
        <w:pStyle w:val="23"/>
        <w:spacing w:line="560" w:lineRule="exact"/>
        <w:ind w:firstLine="640" w:firstLineChars="200"/>
        <w:jc w:val="both"/>
        <w:rPr>
          <w:rFonts w:hint="eastAsia" w:ascii="仿宋_GB2312" w:eastAsia="仿宋_GB2312"/>
          <w:sz w:val="32"/>
          <w:szCs w:val="32"/>
          <w:highlight w:val="none"/>
          <w:lang w:eastAsia="zh-CN"/>
        </w:rPr>
      </w:pPr>
      <w:r>
        <w:rPr>
          <w:rFonts w:hint="eastAsia" w:ascii="仿宋_GB2312" w:eastAsia="仿宋_GB2312"/>
          <w:color w:val="auto"/>
          <w:sz w:val="32"/>
          <w:szCs w:val="32"/>
          <w:highlight w:val="none"/>
          <w:lang w:val="en-US" w:eastAsia="zh-CN"/>
        </w:rPr>
        <w:t>9.</w:t>
      </w:r>
      <w:r>
        <w:rPr>
          <w:rFonts w:ascii="仿宋_GB2312" w:eastAsia="仿宋_GB2312"/>
          <w:sz w:val="32"/>
          <w:szCs w:val="32"/>
          <w:lang w:eastAsia="zh-CN"/>
        </w:rPr>
        <w:t>一般公共服务支出（类）</w:t>
      </w:r>
      <w:r>
        <w:rPr>
          <w:rFonts w:hint="eastAsia" w:ascii="仿宋_GB2312" w:eastAsia="仿宋_GB2312"/>
          <w:sz w:val="32"/>
          <w:szCs w:val="32"/>
          <w:lang w:eastAsia="zh-CN"/>
        </w:rPr>
        <w:t>政府办公厅（室）及相关机构事务（款）其他政府办公厅（室）及相关机构事务支出（项）：指</w:t>
      </w:r>
      <w:r>
        <w:rPr>
          <w:rFonts w:hint="eastAsia" w:ascii="仿宋_GB2312" w:eastAsia="仿宋_GB2312"/>
          <w:sz w:val="32"/>
          <w:szCs w:val="32"/>
          <w:highlight w:val="none"/>
          <w:lang w:eastAsia="zh-CN"/>
        </w:rPr>
        <w:t>商务厅机关服务中心的项目支出。</w:t>
      </w:r>
    </w:p>
    <w:p>
      <w:pPr>
        <w:pStyle w:val="23"/>
        <w:spacing w:line="560" w:lineRule="exact"/>
        <w:ind w:firstLine="640" w:firstLineChars="200"/>
        <w:jc w:val="both"/>
        <w:rPr>
          <w:rFonts w:hint="default" w:ascii="仿宋_GB2312" w:eastAsia="仿宋_GB2312"/>
          <w:sz w:val="32"/>
          <w:szCs w:val="32"/>
          <w:highlight w:val="none"/>
          <w:lang w:val="en-US" w:eastAsia="zh-CN"/>
        </w:rPr>
      </w:pPr>
      <w:r>
        <w:rPr>
          <w:rFonts w:hint="eastAsia" w:ascii="仿宋_GB2312" w:hAnsi="仿宋_GB2312" w:eastAsia="仿宋_GB2312"/>
          <w:color w:val="000000"/>
          <w:sz w:val="32"/>
          <w:highlight w:val="none"/>
          <w:lang w:val="en-US" w:eastAsia="zh-CN"/>
        </w:rPr>
        <w:t>10</w:t>
      </w:r>
      <w:r>
        <w:rPr>
          <w:rFonts w:hint="default" w:ascii="仿宋_GB2312" w:hAnsi="仿宋_GB2312" w:eastAsia="仿宋_GB2312"/>
          <w:color w:val="000000"/>
          <w:sz w:val="32"/>
          <w:highlight w:val="none"/>
          <w:lang w:val="en" w:eastAsia="zh-CN"/>
        </w:rPr>
        <w:t>.</w:t>
      </w:r>
      <w:r>
        <w:rPr>
          <w:rFonts w:hint="eastAsia" w:ascii="仿宋_GB2312" w:hAnsi="仿宋_GB2312" w:eastAsia="仿宋_GB2312"/>
          <w:color w:val="000000"/>
          <w:sz w:val="32"/>
          <w:highlight w:val="none"/>
        </w:rPr>
        <w:t>一般公共服务支出（类）</w:t>
      </w:r>
      <w:r>
        <w:rPr>
          <w:rFonts w:hint="eastAsia" w:ascii="仿宋_GB2312" w:hAnsi="仿宋_GB2312" w:eastAsia="仿宋_GB2312"/>
          <w:color w:val="000000"/>
          <w:sz w:val="32"/>
          <w:highlight w:val="none"/>
          <w:lang w:eastAsia="zh-CN"/>
        </w:rPr>
        <w:t>发展与改革事务（款）行政运行（项）：</w:t>
      </w:r>
      <w:r>
        <w:rPr>
          <w:rFonts w:hint="eastAsia" w:ascii="仿宋_GB2312" w:eastAsia="仿宋_GB2312"/>
          <w:sz w:val="32"/>
          <w:szCs w:val="32"/>
          <w:lang w:eastAsia="zh-CN"/>
        </w:rPr>
        <w:t>指</w:t>
      </w:r>
      <w:r>
        <w:rPr>
          <w:rFonts w:hint="eastAsia" w:ascii="仿宋_GB2312" w:hAnsi="仿宋_GB2312" w:eastAsia="仿宋_GB2312"/>
          <w:color w:val="000000"/>
          <w:sz w:val="32"/>
          <w:highlight w:val="none"/>
          <w:lang w:eastAsia="zh-CN"/>
        </w:rPr>
        <w:t>商务厅机关的基本指出。</w:t>
      </w:r>
    </w:p>
    <w:p>
      <w:pPr>
        <w:pStyle w:val="23"/>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11</w:t>
      </w:r>
      <w:r>
        <w:rPr>
          <w:rFonts w:ascii="仿宋_GB2312" w:eastAsia="仿宋_GB2312"/>
          <w:sz w:val="32"/>
          <w:szCs w:val="32"/>
        </w:rPr>
        <w:t>.</w:t>
      </w:r>
      <w:r>
        <w:rPr>
          <w:rFonts w:ascii="仿宋_GB2312" w:eastAsia="仿宋_GB2312"/>
          <w:sz w:val="32"/>
          <w:szCs w:val="32"/>
          <w:lang w:eastAsia="zh-CN"/>
        </w:rPr>
        <w:t>一般公共服务支出（类）商贸事务（款）行政运行（项）：</w:t>
      </w:r>
      <w:r>
        <w:rPr>
          <w:rFonts w:hint="eastAsia" w:ascii="仿宋_GB2312" w:eastAsia="仿宋_GB2312"/>
          <w:sz w:val="32"/>
          <w:szCs w:val="32"/>
          <w:lang w:eastAsia="zh-CN"/>
        </w:rPr>
        <w:t>指商务厅机关的基本支出。</w:t>
      </w:r>
    </w:p>
    <w:p>
      <w:pPr>
        <w:pStyle w:val="23"/>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1</w:t>
      </w:r>
      <w:r>
        <w:rPr>
          <w:rFonts w:hint="eastAsia" w:ascii="仿宋_GB2312" w:eastAsia="仿宋_GB2312"/>
          <w:sz w:val="32"/>
          <w:szCs w:val="32"/>
          <w:lang w:val="en-US" w:eastAsia="zh-CN"/>
        </w:rPr>
        <w:t>2</w:t>
      </w:r>
      <w:r>
        <w:rPr>
          <w:rFonts w:ascii="仿宋_GB2312" w:eastAsia="仿宋_GB2312"/>
          <w:sz w:val="32"/>
          <w:szCs w:val="32"/>
          <w:lang w:eastAsia="zh-CN"/>
        </w:rPr>
        <w:t>.一般公共服务支出（类）商贸事务（款）一般行政管理事务（项）：指</w:t>
      </w:r>
      <w:r>
        <w:rPr>
          <w:rFonts w:hint="eastAsia" w:ascii="仿宋_GB2312" w:eastAsia="仿宋_GB2312"/>
          <w:sz w:val="32"/>
          <w:szCs w:val="32"/>
          <w:lang w:eastAsia="zh-CN"/>
        </w:rPr>
        <w:t>商务厅机关的基本支出及项目支出。</w:t>
      </w:r>
    </w:p>
    <w:p>
      <w:pPr>
        <w:pStyle w:val="23"/>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1</w:t>
      </w:r>
      <w:r>
        <w:rPr>
          <w:rFonts w:hint="eastAsia" w:ascii="仿宋_GB2312" w:eastAsia="仿宋_GB2312"/>
          <w:sz w:val="32"/>
          <w:szCs w:val="32"/>
          <w:lang w:val="en-US" w:eastAsia="zh-CN"/>
        </w:rPr>
        <w:t>3</w:t>
      </w:r>
      <w:r>
        <w:rPr>
          <w:rFonts w:ascii="仿宋_GB2312" w:eastAsia="仿宋_GB2312"/>
          <w:sz w:val="32"/>
          <w:szCs w:val="32"/>
          <w:lang w:eastAsia="zh-CN"/>
        </w:rPr>
        <w:t>.一般公共服务支出（类）商贸事务（款）机关服务（项）：指</w:t>
      </w:r>
      <w:r>
        <w:rPr>
          <w:rFonts w:hint="eastAsia" w:ascii="仿宋_GB2312" w:eastAsia="仿宋_GB2312"/>
          <w:sz w:val="32"/>
          <w:szCs w:val="32"/>
          <w:lang w:eastAsia="zh-CN"/>
        </w:rPr>
        <w:t>商务厅机关服务中心的基本支出及项目支出。</w:t>
      </w:r>
    </w:p>
    <w:p>
      <w:pPr>
        <w:pStyle w:val="23"/>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1</w:t>
      </w:r>
      <w:r>
        <w:rPr>
          <w:rFonts w:hint="eastAsia" w:ascii="仿宋_GB2312" w:eastAsia="仿宋_GB2312"/>
          <w:sz w:val="32"/>
          <w:szCs w:val="32"/>
          <w:lang w:val="en-US" w:eastAsia="zh-CN"/>
        </w:rPr>
        <w:t>4</w:t>
      </w:r>
      <w:r>
        <w:rPr>
          <w:rFonts w:ascii="仿宋_GB2312" w:eastAsia="仿宋_GB2312"/>
          <w:sz w:val="32"/>
          <w:szCs w:val="32"/>
          <w:lang w:eastAsia="zh-CN"/>
        </w:rPr>
        <w:t>.一般公共服务支出（类）商贸事务（款）事业运行（项）：指</w:t>
      </w:r>
      <w:r>
        <w:rPr>
          <w:rFonts w:hint="eastAsia" w:ascii="仿宋_GB2312" w:eastAsia="仿宋_GB2312"/>
          <w:sz w:val="32"/>
          <w:szCs w:val="32"/>
          <w:lang w:eastAsia="zh-CN"/>
        </w:rPr>
        <w:t>商务厅属事业单位的基本支出及项目支出。</w:t>
      </w:r>
    </w:p>
    <w:p>
      <w:pPr>
        <w:pStyle w:val="23"/>
        <w:spacing w:line="560" w:lineRule="exact"/>
        <w:ind w:firstLine="640" w:firstLineChars="200"/>
        <w:jc w:val="both"/>
        <w:rPr>
          <w:rFonts w:hint="eastAsia" w:ascii="仿宋_GB2312" w:eastAsia="仿宋_GB2312"/>
          <w:sz w:val="32"/>
          <w:szCs w:val="32"/>
          <w:lang w:eastAsia="zh-CN"/>
        </w:rPr>
      </w:pPr>
      <w:r>
        <w:rPr>
          <w:rFonts w:ascii="仿宋_GB2312" w:eastAsia="仿宋_GB2312"/>
          <w:sz w:val="32"/>
          <w:szCs w:val="32"/>
          <w:lang w:eastAsia="zh-CN"/>
        </w:rPr>
        <w:t>1</w:t>
      </w:r>
      <w:r>
        <w:rPr>
          <w:rFonts w:hint="eastAsia" w:ascii="仿宋_GB2312" w:eastAsia="仿宋_GB2312"/>
          <w:sz w:val="32"/>
          <w:szCs w:val="32"/>
          <w:lang w:val="en-US" w:eastAsia="zh-CN"/>
        </w:rPr>
        <w:t>5</w:t>
      </w:r>
      <w:r>
        <w:rPr>
          <w:rFonts w:ascii="仿宋_GB2312" w:eastAsia="仿宋_GB2312"/>
          <w:sz w:val="32"/>
          <w:szCs w:val="32"/>
          <w:lang w:eastAsia="zh-CN"/>
        </w:rPr>
        <w:t>.一般公共服务支出（类）商贸事务（款）其他商贸事务支出（项）：指</w:t>
      </w:r>
      <w:r>
        <w:rPr>
          <w:rFonts w:hint="eastAsia" w:ascii="仿宋_GB2312" w:eastAsia="仿宋_GB2312"/>
          <w:sz w:val="32"/>
          <w:szCs w:val="32"/>
          <w:lang w:eastAsia="zh-CN"/>
        </w:rPr>
        <w:t>商务厅用于</w:t>
      </w:r>
      <w:r>
        <w:rPr>
          <w:rFonts w:ascii="仿宋_GB2312" w:eastAsia="仿宋_GB2312"/>
          <w:sz w:val="32"/>
          <w:szCs w:val="32"/>
          <w:lang w:eastAsia="zh-CN"/>
        </w:rPr>
        <w:t>其他商贸事务</w:t>
      </w:r>
      <w:r>
        <w:rPr>
          <w:rFonts w:hint="eastAsia" w:ascii="仿宋_GB2312" w:eastAsia="仿宋_GB2312"/>
          <w:sz w:val="32"/>
          <w:szCs w:val="32"/>
          <w:lang w:eastAsia="zh-CN"/>
        </w:rPr>
        <w:t>的</w:t>
      </w:r>
      <w:r>
        <w:rPr>
          <w:rFonts w:ascii="仿宋_GB2312" w:eastAsia="仿宋_GB2312"/>
          <w:sz w:val="32"/>
          <w:szCs w:val="32"/>
          <w:lang w:eastAsia="zh-CN"/>
        </w:rPr>
        <w:t>支出</w:t>
      </w:r>
      <w:r>
        <w:rPr>
          <w:rFonts w:hint="eastAsia" w:ascii="仿宋_GB2312" w:eastAsia="仿宋_GB2312"/>
          <w:sz w:val="32"/>
          <w:szCs w:val="32"/>
          <w:lang w:eastAsia="zh-CN"/>
        </w:rPr>
        <w:t>。</w:t>
      </w:r>
    </w:p>
    <w:p>
      <w:pPr>
        <w:pStyle w:val="23"/>
        <w:spacing w:line="560" w:lineRule="exact"/>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16.</w:t>
      </w:r>
      <w:r>
        <w:rPr>
          <w:rFonts w:ascii="仿宋_GB2312" w:eastAsia="仿宋_GB2312"/>
          <w:sz w:val="32"/>
          <w:szCs w:val="32"/>
          <w:lang w:eastAsia="zh-CN"/>
        </w:rPr>
        <w:t>一般公共服务支出（类）</w:t>
      </w:r>
      <w:r>
        <w:rPr>
          <w:rFonts w:hint="eastAsia" w:ascii="仿宋_GB2312" w:eastAsia="仿宋_GB2312"/>
          <w:sz w:val="32"/>
          <w:szCs w:val="32"/>
          <w:lang w:eastAsia="zh-CN"/>
        </w:rPr>
        <w:t>组织事务（款）一般行政管理事务（项）：指商务厅机关其他支出。</w:t>
      </w:r>
    </w:p>
    <w:p>
      <w:pPr>
        <w:pStyle w:val="23"/>
        <w:spacing w:line="560" w:lineRule="exact"/>
        <w:ind w:firstLine="640" w:firstLineChars="200"/>
        <w:jc w:val="both"/>
        <w:rPr>
          <w:rFonts w:hint="eastAsia" w:ascii="仿宋_GB2312" w:eastAsia="仿宋_GB2312"/>
          <w:sz w:val="32"/>
          <w:szCs w:val="32"/>
          <w:lang w:eastAsia="zh-CN"/>
        </w:rPr>
      </w:pPr>
      <w:r>
        <w:rPr>
          <w:rFonts w:ascii="仿宋_GB2312" w:eastAsia="仿宋_GB2312"/>
          <w:sz w:val="32"/>
          <w:szCs w:val="32"/>
          <w:lang w:eastAsia="zh-CN"/>
        </w:rPr>
        <w:t>1</w:t>
      </w:r>
      <w:r>
        <w:rPr>
          <w:rFonts w:hint="eastAsia" w:ascii="仿宋_GB2312" w:eastAsia="仿宋_GB2312"/>
          <w:sz w:val="32"/>
          <w:szCs w:val="32"/>
          <w:lang w:val="en-US" w:eastAsia="zh-CN"/>
        </w:rPr>
        <w:t>7</w:t>
      </w:r>
      <w:r>
        <w:rPr>
          <w:rFonts w:ascii="仿宋_GB2312" w:eastAsia="仿宋_GB2312"/>
          <w:sz w:val="32"/>
          <w:szCs w:val="32"/>
          <w:lang w:eastAsia="zh-CN"/>
        </w:rPr>
        <w:t>.一般公共服务支出（类）</w:t>
      </w:r>
      <w:r>
        <w:rPr>
          <w:rFonts w:hint="eastAsia" w:ascii="仿宋_GB2312" w:eastAsia="仿宋_GB2312"/>
          <w:sz w:val="32"/>
          <w:szCs w:val="32"/>
          <w:lang w:eastAsia="zh-CN"/>
        </w:rPr>
        <w:t>市场监督管理事务</w:t>
      </w:r>
      <w:r>
        <w:rPr>
          <w:rFonts w:ascii="仿宋_GB2312" w:eastAsia="仿宋_GB2312"/>
          <w:sz w:val="32"/>
          <w:szCs w:val="32"/>
          <w:lang w:eastAsia="zh-CN"/>
        </w:rPr>
        <w:t>（款）其他</w:t>
      </w:r>
      <w:r>
        <w:rPr>
          <w:rFonts w:hint="eastAsia" w:ascii="仿宋_GB2312" w:eastAsia="仿宋_GB2312"/>
          <w:sz w:val="32"/>
          <w:szCs w:val="32"/>
          <w:lang w:eastAsia="zh-CN"/>
        </w:rPr>
        <w:t>市场监督管理事务</w:t>
      </w:r>
      <w:r>
        <w:rPr>
          <w:rFonts w:ascii="仿宋_GB2312" w:eastAsia="仿宋_GB2312"/>
          <w:sz w:val="32"/>
          <w:szCs w:val="32"/>
          <w:lang w:eastAsia="zh-CN"/>
        </w:rPr>
        <w:t>（项）：指</w:t>
      </w:r>
      <w:r>
        <w:rPr>
          <w:rFonts w:hint="eastAsia" w:ascii="仿宋_GB2312" w:eastAsia="仿宋_GB2312"/>
          <w:sz w:val="32"/>
          <w:szCs w:val="32"/>
          <w:lang w:eastAsia="zh-CN"/>
        </w:rPr>
        <w:t>商务厅机关</w:t>
      </w:r>
      <w:r>
        <w:rPr>
          <w:rFonts w:ascii="仿宋_GB2312" w:eastAsia="仿宋_GB2312"/>
          <w:sz w:val="32"/>
          <w:szCs w:val="32"/>
          <w:lang w:eastAsia="zh-CN"/>
        </w:rPr>
        <w:t>其他</w:t>
      </w:r>
      <w:r>
        <w:rPr>
          <w:rFonts w:hint="eastAsia" w:ascii="仿宋_GB2312" w:eastAsia="仿宋_GB2312"/>
          <w:sz w:val="32"/>
          <w:szCs w:val="32"/>
          <w:lang w:eastAsia="zh-CN"/>
        </w:rPr>
        <w:t>市场监督管理</w:t>
      </w:r>
      <w:r>
        <w:rPr>
          <w:rFonts w:ascii="仿宋_GB2312" w:eastAsia="仿宋_GB2312"/>
          <w:sz w:val="32"/>
          <w:szCs w:val="32"/>
          <w:lang w:eastAsia="zh-CN"/>
        </w:rPr>
        <w:t>事务支出</w:t>
      </w:r>
      <w:r>
        <w:rPr>
          <w:rFonts w:hint="eastAsia" w:ascii="仿宋_GB2312" w:eastAsia="仿宋_GB2312"/>
          <w:sz w:val="32"/>
          <w:szCs w:val="32"/>
          <w:lang w:eastAsia="zh-CN"/>
        </w:rPr>
        <w:t>。</w:t>
      </w:r>
    </w:p>
    <w:p>
      <w:pPr>
        <w:pStyle w:val="23"/>
        <w:spacing w:line="560" w:lineRule="exact"/>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18.</w:t>
      </w:r>
      <w:r>
        <w:rPr>
          <w:rFonts w:ascii="仿宋_GB2312" w:eastAsia="仿宋_GB2312"/>
          <w:sz w:val="32"/>
          <w:szCs w:val="32"/>
          <w:lang w:eastAsia="zh-CN"/>
        </w:rPr>
        <w:t>一般公共服务支出（类）</w:t>
      </w:r>
      <w:r>
        <w:rPr>
          <w:rFonts w:hint="eastAsia" w:ascii="仿宋_GB2312" w:eastAsia="仿宋_GB2312"/>
          <w:sz w:val="32"/>
          <w:szCs w:val="32"/>
          <w:lang w:eastAsia="zh-CN"/>
        </w:rPr>
        <w:t>其他一般公共服务支出</w:t>
      </w:r>
      <w:r>
        <w:rPr>
          <w:rFonts w:ascii="仿宋_GB2312" w:eastAsia="仿宋_GB2312"/>
          <w:sz w:val="32"/>
          <w:szCs w:val="32"/>
          <w:lang w:eastAsia="zh-CN"/>
        </w:rPr>
        <w:t>（款）</w:t>
      </w:r>
      <w:r>
        <w:rPr>
          <w:rFonts w:hint="eastAsia" w:ascii="仿宋_GB2312" w:eastAsia="仿宋_GB2312"/>
          <w:sz w:val="32"/>
          <w:szCs w:val="32"/>
          <w:lang w:eastAsia="zh-CN"/>
        </w:rPr>
        <w:t>其他一般公共服务支出</w:t>
      </w:r>
      <w:r>
        <w:rPr>
          <w:rFonts w:ascii="仿宋_GB2312" w:eastAsia="仿宋_GB2312"/>
          <w:sz w:val="32"/>
          <w:szCs w:val="32"/>
          <w:lang w:eastAsia="zh-CN"/>
        </w:rPr>
        <w:t>（项）：指</w:t>
      </w:r>
      <w:r>
        <w:rPr>
          <w:rFonts w:hint="eastAsia" w:ascii="仿宋_GB2312" w:eastAsia="仿宋_GB2312"/>
          <w:sz w:val="32"/>
          <w:szCs w:val="32"/>
          <w:lang w:eastAsia="zh-CN"/>
        </w:rPr>
        <w:t>商务厅机关车辆运行维护费、四川省商务厅机关服务中心大型修缮支出。</w:t>
      </w:r>
    </w:p>
    <w:p>
      <w:pPr>
        <w:pStyle w:val="23"/>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1</w:t>
      </w:r>
      <w:r>
        <w:rPr>
          <w:rFonts w:hint="eastAsia" w:ascii="仿宋_GB2312" w:eastAsia="仿宋_GB2312"/>
          <w:sz w:val="32"/>
          <w:szCs w:val="32"/>
          <w:lang w:val="en-US" w:eastAsia="zh-CN"/>
        </w:rPr>
        <w:t>9</w:t>
      </w:r>
      <w:r>
        <w:rPr>
          <w:rFonts w:ascii="仿宋_GB2312" w:eastAsia="仿宋_GB2312"/>
          <w:sz w:val="32"/>
          <w:szCs w:val="32"/>
          <w:lang w:eastAsia="zh-CN"/>
        </w:rPr>
        <w:t>.教育支出（类）职业教育（款）中专教育（项）：指</w:t>
      </w:r>
      <w:r>
        <w:rPr>
          <w:rFonts w:hint="eastAsia" w:ascii="仿宋_GB2312" w:eastAsia="仿宋_GB2312"/>
          <w:sz w:val="32"/>
          <w:szCs w:val="32"/>
          <w:lang w:eastAsia="zh-CN"/>
        </w:rPr>
        <w:t>四川省商务学校的基本支出及项目支出。</w:t>
      </w:r>
    </w:p>
    <w:p>
      <w:pPr>
        <w:pStyle w:val="23"/>
        <w:spacing w:line="560"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val="en-US" w:eastAsia="zh-CN"/>
        </w:rPr>
        <w:t>20</w:t>
      </w:r>
      <w:r>
        <w:rPr>
          <w:rFonts w:ascii="仿宋_GB2312" w:eastAsia="仿宋_GB2312"/>
          <w:sz w:val="32"/>
          <w:szCs w:val="32"/>
          <w:lang w:eastAsia="zh-CN"/>
        </w:rPr>
        <w:t>.教育支出（类）职业教育（款）高等职业教育（项）：指</w:t>
      </w:r>
      <w:r>
        <w:rPr>
          <w:rFonts w:hint="eastAsia" w:ascii="仿宋_GB2312" w:eastAsia="仿宋_GB2312"/>
          <w:sz w:val="32"/>
          <w:szCs w:val="32"/>
          <w:lang w:eastAsia="zh-CN"/>
        </w:rPr>
        <w:t>四川商务职业学院的基本支出及项目支出。</w:t>
      </w:r>
    </w:p>
    <w:p>
      <w:pPr>
        <w:pStyle w:val="23"/>
        <w:spacing w:line="560"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val="en-US" w:eastAsia="zh-CN"/>
        </w:rPr>
        <w:t>21</w:t>
      </w:r>
      <w:r>
        <w:rPr>
          <w:rFonts w:ascii="仿宋_GB2312" w:eastAsia="仿宋_GB2312"/>
          <w:sz w:val="32"/>
          <w:szCs w:val="32"/>
          <w:lang w:eastAsia="zh-CN"/>
        </w:rPr>
        <w:t>.教育支出（类）进修及培训（款）培训支出（项）：指</w:t>
      </w:r>
      <w:r>
        <w:rPr>
          <w:rFonts w:hint="eastAsia" w:ascii="仿宋_GB2312" w:eastAsia="仿宋_GB2312"/>
          <w:sz w:val="32"/>
          <w:szCs w:val="32"/>
          <w:lang w:eastAsia="zh-CN"/>
        </w:rPr>
        <w:t>商务厅安排的培训支出。</w:t>
      </w:r>
    </w:p>
    <w:p>
      <w:pPr>
        <w:pStyle w:val="23"/>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2</w:t>
      </w:r>
      <w:r>
        <w:rPr>
          <w:rFonts w:hint="eastAsia" w:ascii="仿宋_GB2312" w:eastAsia="仿宋_GB2312"/>
          <w:sz w:val="32"/>
          <w:szCs w:val="32"/>
          <w:lang w:val="en-US" w:eastAsia="zh-CN"/>
        </w:rPr>
        <w:t>2</w:t>
      </w:r>
      <w:r>
        <w:rPr>
          <w:rFonts w:ascii="仿宋_GB2312" w:eastAsia="仿宋_GB2312"/>
          <w:sz w:val="32"/>
          <w:szCs w:val="32"/>
          <w:lang w:eastAsia="zh-CN"/>
        </w:rPr>
        <w:t>.科学技术支出（类）应用研究（款）机构运行（项）：指</w:t>
      </w:r>
      <w:r>
        <w:rPr>
          <w:rFonts w:hint="eastAsia" w:ascii="仿宋_GB2312" w:eastAsia="仿宋_GB2312"/>
          <w:sz w:val="32"/>
          <w:szCs w:val="32"/>
          <w:lang w:eastAsia="zh-CN"/>
        </w:rPr>
        <w:t>四川省国际经济贸易研究所的基本支出。</w:t>
      </w:r>
    </w:p>
    <w:p>
      <w:pPr>
        <w:pStyle w:val="23"/>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2</w:t>
      </w:r>
      <w:r>
        <w:rPr>
          <w:rFonts w:hint="eastAsia" w:ascii="仿宋_GB2312" w:eastAsia="仿宋_GB2312"/>
          <w:sz w:val="32"/>
          <w:szCs w:val="32"/>
          <w:lang w:val="en-US" w:eastAsia="zh-CN"/>
        </w:rPr>
        <w:t>3</w:t>
      </w:r>
      <w:r>
        <w:rPr>
          <w:rFonts w:ascii="仿宋_GB2312" w:eastAsia="仿宋_GB2312"/>
          <w:sz w:val="32"/>
          <w:szCs w:val="32"/>
          <w:lang w:eastAsia="zh-CN"/>
        </w:rPr>
        <w:t>.科学技术支出（类）应用研究（款）社会公益研究（项）：指四川省国际经济贸易研究所</w:t>
      </w:r>
      <w:r>
        <w:rPr>
          <w:rFonts w:hint="eastAsia" w:ascii="仿宋_GB2312" w:eastAsia="仿宋_GB2312"/>
          <w:sz w:val="32"/>
          <w:szCs w:val="32"/>
          <w:lang w:eastAsia="zh-CN"/>
        </w:rPr>
        <w:t>从事社会公益研究支出。</w:t>
      </w:r>
    </w:p>
    <w:p>
      <w:pPr>
        <w:pStyle w:val="23"/>
        <w:spacing w:line="560" w:lineRule="exact"/>
        <w:ind w:firstLine="640" w:firstLineChars="200"/>
        <w:jc w:val="both"/>
        <w:rPr>
          <w:rFonts w:hint="eastAsia" w:ascii="仿宋_GB2312" w:eastAsia="仿宋_GB2312"/>
          <w:sz w:val="32"/>
          <w:szCs w:val="32"/>
          <w:lang w:eastAsia="zh-CN"/>
        </w:rPr>
      </w:pPr>
      <w:r>
        <w:rPr>
          <w:rFonts w:ascii="仿宋_GB2312" w:eastAsia="仿宋_GB2312"/>
          <w:sz w:val="32"/>
          <w:szCs w:val="32"/>
          <w:lang w:eastAsia="zh-CN"/>
        </w:rPr>
        <w:t>2</w:t>
      </w:r>
      <w:r>
        <w:rPr>
          <w:rFonts w:hint="eastAsia" w:ascii="仿宋_GB2312" w:eastAsia="仿宋_GB2312"/>
          <w:sz w:val="32"/>
          <w:szCs w:val="32"/>
          <w:lang w:val="en-US" w:eastAsia="zh-CN"/>
        </w:rPr>
        <w:t>4</w:t>
      </w:r>
      <w:r>
        <w:rPr>
          <w:rFonts w:ascii="仿宋_GB2312" w:eastAsia="仿宋_GB2312"/>
          <w:sz w:val="32"/>
          <w:szCs w:val="32"/>
          <w:lang w:eastAsia="zh-CN"/>
        </w:rPr>
        <w:t>.科学技术支出（类）技术研究与开发（款）</w:t>
      </w:r>
      <w:r>
        <w:rPr>
          <w:rFonts w:hint="eastAsia" w:ascii="仿宋_GB2312" w:eastAsia="仿宋_GB2312"/>
          <w:sz w:val="32"/>
          <w:szCs w:val="32"/>
          <w:lang w:eastAsia="zh-CN"/>
        </w:rPr>
        <w:t>其他</w:t>
      </w:r>
      <w:r>
        <w:rPr>
          <w:rFonts w:ascii="仿宋_GB2312" w:eastAsia="仿宋_GB2312"/>
          <w:sz w:val="32"/>
          <w:szCs w:val="32"/>
          <w:lang w:eastAsia="zh-CN"/>
        </w:rPr>
        <w:t>技术研究与开发</w:t>
      </w:r>
      <w:r>
        <w:rPr>
          <w:rFonts w:hint="eastAsia" w:ascii="仿宋_GB2312" w:eastAsia="仿宋_GB2312"/>
          <w:sz w:val="32"/>
          <w:szCs w:val="32"/>
          <w:lang w:eastAsia="zh-CN"/>
        </w:rPr>
        <w:t>支出</w:t>
      </w:r>
      <w:r>
        <w:rPr>
          <w:rFonts w:ascii="仿宋_GB2312" w:eastAsia="仿宋_GB2312"/>
          <w:sz w:val="32"/>
          <w:szCs w:val="32"/>
          <w:lang w:eastAsia="zh-CN"/>
        </w:rPr>
        <w:t>（项）：指</w:t>
      </w:r>
      <w:r>
        <w:rPr>
          <w:rFonts w:hint="eastAsia" w:ascii="仿宋_GB2312" w:eastAsia="仿宋_GB2312"/>
          <w:sz w:val="32"/>
          <w:szCs w:val="32"/>
          <w:lang w:eastAsia="zh-CN"/>
        </w:rPr>
        <w:t>四川省国际经济贸易研究所从事国际贸易经济方面专项科研支出。</w:t>
      </w:r>
    </w:p>
    <w:p>
      <w:pPr>
        <w:pStyle w:val="23"/>
        <w:spacing w:line="560" w:lineRule="exact"/>
        <w:ind w:firstLine="640" w:firstLineChars="200"/>
        <w:jc w:val="both"/>
        <w:rPr>
          <w:rFonts w:hint="eastAsia" w:ascii="仿宋_GB2312" w:eastAsia="仿宋_GB2312"/>
          <w:sz w:val="32"/>
          <w:szCs w:val="32"/>
          <w:lang w:eastAsia="zh-CN"/>
        </w:rPr>
      </w:pPr>
      <w:r>
        <w:rPr>
          <w:rFonts w:ascii="仿宋_GB2312" w:eastAsia="仿宋_GB2312"/>
          <w:sz w:val="32"/>
          <w:szCs w:val="32"/>
          <w:lang w:eastAsia="zh-CN"/>
        </w:rPr>
        <w:t>2</w:t>
      </w:r>
      <w:r>
        <w:rPr>
          <w:rFonts w:hint="eastAsia" w:ascii="仿宋_GB2312" w:eastAsia="仿宋_GB2312"/>
          <w:sz w:val="32"/>
          <w:szCs w:val="32"/>
          <w:lang w:val="en-US" w:eastAsia="zh-CN"/>
        </w:rPr>
        <w:t>5</w:t>
      </w:r>
      <w:r>
        <w:rPr>
          <w:rFonts w:ascii="仿宋_GB2312" w:eastAsia="仿宋_GB2312"/>
          <w:sz w:val="32"/>
          <w:szCs w:val="32"/>
          <w:lang w:eastAsia="zh-CN"/>
        </w:rPr>
        <w:t>.社会保障和就业支出（类）行政事业单位</w:t>
      </w:r>
      <w:r>
        <w:rPr>
          <w:rFonts w:hint="eastAsia" w:ascii="仿宋_GB2312" w:eastAsia="仿宋_GB2312"/>
          <w:sz w:val="32"/>
          <w:szCs w:val="32"/>
          <w:lang w:eastAsia="zh-CN"/>
        </w:rPr>
        <w:t>养老支出</w:t>
      </w:r>
      <w:r>
        <w:rPr>
          <w:rFonts w:ascii="仿宋_GB2312" w:eastAsia="仿宋_GB2312"/>
          <w:sz w:val="32"/>
          <w:szCs w:val="32"/>
          <w:lang w:eastAsia="zh-CN"/>
        </w:rPr>
        <w:t>（款）行政单位离退休（项）：指</w:t>
      </w:r>
      <w:r>
        <w:rPr>
          <w:rFonts w:hint="eastAsia" w:ascii="仿宋_GB2312" w:eastAsia="仿宋_GB2312"/>
          <w:sz w:val="32"/>
          <w:szCs w:val="32"/>
          <w:lang w:eastAsia="zh-CN"/>
        </w:rPr>
        <w:t>商务厅机关的</w:t>
      </w:r>
      <w:r>
        <w:rPr>
          <w:rFonts w:ascii="仿宋_GB2312" w:eastAsia="仿宋_GB2312"/>
          <w:sz w:val="32"/>
          <w:szCs w:val="32"/>
          <w:lang w:eastAsia="zh-CN"/>
        </w:rPr>
        <w:t>离退休</w:t>
      </w:r>
      <w:r>
        <w:rPr>
          <w:rFonts w:hint="eastAsia" w:ascii="仿宋_GB2312" w:eastAsia="仿宋_GB2312"/>
          <w:sz w:val="32"/>
          <w:szCs w:val="32"/>
          <w:lang w:eastAsia="zh-CN"/>
        </w:rPr>
        <w:t>经费支出。</w:t>
      </w:r>
    </w:p>
    <w:p>
      <w:pPr>
        <w:pStyle w:val="23"/>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2</w:t>
      </w:r>
      <w:r>
        <w:rPr>
          <w:rFonts w:hint="eastAsia" w:ascii="仿宋_GB2312" w:eastAsia="仿宋_GB2312"/>
          <w:sz w:val="32"/>
          <w:szCs w:val="32"/>
          <w:lang w:val="en-US" w:eastAsia="zh-CN"/>
        </w:rPr>
        <w:t>6</w:t>
      </w:r>
      <w:r>
        <w:rPr>
          <w:rFonts w:ascii="仿宋_GB2312" w:eastAsia="仿宋_GB2312"/>
          <w:sz w:val="32"/>
          <w:szCs w:val="32"/>
          <w:lang w:eastAsia="zh-CN"/>
        </w:rPr>
        <w:t>.社会保障和就业支出（类）行政事业单位</w:t>
      </w:r>
      <w:r>
        <w:rPr>
          <w:rFonts w:hint="eastAsia" w:ascii="仿宋_GB2312" w:eastAsia="仿宋_GB2312"/>
          <w:sz w:val="32"/>
          <w:szCs w:val="32"/>
          <w:lang w:eastAsia="zh-CN"/>
        </w:rPr>
        <w:t>养老支出</w:t>
      </w:r>
      <w:r>
        <w:rPr>
          <w:rFonts w:ascii="仿宋_GB2312" w:eastAsia="仿宋_GB2312"/>
          <w:sz w:val="32"/>
          <w:szCs w:val="32"/>
          <w:lang w:eastAsia="zh-CN"/>
        </w:rPr>
        <w:t>（款）事业单位离退休（项）：指</w:t>
      </w:r>
      <w:r>
        <w:rPr>
          <w:rFonts w:hint="eastAsia" w:ascii="仿宋_GB2312" w:eastAsia="仿宋_GB2312"/>
          <w:sz w:val="32"/>
          <w:szCs w:val="32"/>
          <w:lang w:eastAsia="zh-CN"/>
        </w:rPr>
        <w:t>商务厅下属事业</w:t>
      </w:r>
      <w:r>
        <w:rPr>
          <w:rFonts w:ascii="仿宋_GB2312" w:eastAsia="仿宋_GB2312"/>
          <w:sz w:val="32"/>
          <w:szCs w:val="32"/>
          <w:lang w:eastAsia="zh-CN"/>
        </w:rPr>
        <w:t>单位</w:t>
      </w:r>
      <w:r>
        <w:rPr>
          <w:rFonts w:hint="eastAsia" w:ascii="仿宋_GB2312" w:eastAsia="仿宋_GB2312"/>
          <w:sz w:val="32"/>
          <w:szCs w:val="32"/>
          <w:lang w:eastAsia="zh-CN"/>
        </w:rPr>
        <w:t>开展的</w:t>
      </w:r>
      <w:r>
        <w:rPr>
          <w:rFonts w:ascii="仿宋_GB2312" w:eastAsia="仿宋_GB2312"/>
          <w:sz w:val="32"/>
          <w:szCs w:val="32"/>
          <w:lang w:eastAsia="zh-CN"/>
        </w:rPr>
        <w:t>离退休</w:t>
      </w:r>
      <w:r>
        <w:rPr>
          <w:rFonts w:hint="eastAsia" w:ascii="仿宋_GB2312" w:eastAsia="仿宋_GB2312"/>
          <w:sz w:val="32"/>
          <w:szCs w:val="32"/>
          <w:lang w:eastAsia="zh-CN"/>
        </w:rPr>
        <w:t>经费支出。</w:t>
      </w:r>
    </w:p>
    <w:p>
      <w:pPr>
        <w:pStyle w:val="23"/>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2</w:t>
      </w:r>
      <w:r>
        <w:rPr>
          <w:rFonts w:hint="eastAsia" w:ascii="仿宋_GB2312" w:eastAsia="仿宋_GB2312"/>
          <w:sz w:val="32"/>
          <w:szCs w:val="32"/>
          <w:lang w:val="en-US" w:eastAsia="zh-CN"/>
        </w:rPr>
        <w:t>7</w:t>
      </w:r>
      <w:r>
        <w:rPr>
          <w:rFonts w:ascii="仿宋_GB2312" w:eastAsia="仿宋_GB2312"/>
          <w:sz w:val="32"/>
          <w:szCs w:val="32"/>
          <w:lang w:eastAsia="zh-CN"/>
        </w:rPr>
        <w:t>.社会保障和就业支出（类）行政事业单位</w:t>
      </w:r>
      <w:r>
        <w:rPr>
          <w:rFonts w:hint="eastAsia" w:ascii="仿宋_GB2312" w:eastAsia="仿宋_GB2312"/>
          <w:sz w:val="32"/>
          <w:szCs w:val="32"/>
          <w:lang w:eastAsia="zh-CN"/>
        </w:rPr>
        <w:t>养老支出</w:t>
      </w:r>
      <w:r>
        <w:rPr>
          <w:rFonts w:ascii="仿宋_GB2312" w:eastAsia="仿宋_GB2312"/>
          <w:sz w:val="32"/>
          <w:szCs w:val="32"/>
          <w:lang w:eastAsia="zh-CN"/>
        </w:rPr>
        <w:t>（款）机关事业单位基本养老保险缴费支出（项）：指</w:t>
      </w:r>
      <w:r>
        <w:rPr>
          <w:rFonts w:hint="eastAsia" w:ascii="仿宋_GB2312" w:eastAsia="仿宋_GB2312"/>
          <w:sz w:val="32"/>
          <w:szCs w:val="32"/>
          <w:lang w:eastAsia="zh-CN"/>
        </w:rPr>
        <w:t>商务厅机关和事业单位实施养老保险制度由单位缴纳的基本养老保险费支出。</w:t>
      </w:r>
    </w:p>
    <w:p>
      <w:pPr>
        <w:pStyle w:val="23"/>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2</w:t>
      </w:r>
      <w:r>
        <w:rPr>
          <w:rFonts w:hint="eastAsia" w:ascii="仿宋_GB2312" w:eastAsia="仿宋_GB2312"/>
          <w:sz w:val="32"/>
          <w:szCs w:val="32"/>
          <w:lang w:val="en-US" w:eastAsia="zh-CN"/>
        </w:rPr>
        <w:t>8</w:t>
      </w:r>
      <w:r>
        <w:rPr>
          <w:rFonts w:ascii="仿宋_GB2312" w:eastAsia="仿宋_GB2312"/>
          <w:sz w:val="32"/>
          <w:szCs w:val="32"/>
          <w:lang w:eastAsia="zh-CN"/>
        </w:rPr>
        <w:t>.社会保障和就业支出（类）行政事业单位</w:t>
      </w:r>
      <w:r>
        <w:rPr>
          <w:rFonts w:hint="eastAsia" w:ascii="仿宋_GB2312" w:eastAsia="仿宋_GB2312"/>
          <w:sz w:val="32"/>
          <w:szCs w:val="32"/>
          <w:lang w:eastAsia="zh-CN"/>
        </w:rPr>
        <w:t>养老支出</w:t>
      </w:r>
      <w:r>
        <w:rPr>
          <w:rFonts w:ascii="仿宋_GB2312" w:eastAsia="仿宋_GB2312"/>
          <w:sz w:val="32"/>
          <w:szCs w:val="32"/>
          <w:lang w:eastAsia="zh-CN"/>
        </w:rPr>
        <w:t>（款）机关事业单位职业年金缴费支出（项）：指</w:t>
      </w:r>
      <w:r>
        <w:rPr>
          <w:rFonts w:hint="eastAsia" w:ascii="仿宋_GB2312" w:eastAsia="仿宋_GB2312"/>
          <w:sz w:val="32"/>
          <w:szCs w:val="32"/>
          <w:lang w:eastAsia="zh-CN"/>
        </w:rPr>
        <w:t>商务厅机关和事业单位实施养老保险制度由单位实际缴纳的职业年金支出。</w:t>
      </w:r>
    </w:p>
    <w:p>
      <w:pPr>
        <w:pStyle w:val="23"/>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2</w:t>
      </w:r>
      <w:r>
        <w:rPr>
          <w:rFonts w:hint="eastAsia" w:ascii="仿宋_GB2312" w:eastAsia="仿宋_GB2312"/>
          <w:sz w:val="32"/>
          <w:szCs w:val="32"/>
          <w:lang w:val="en-US" w:eastAsia="zh-CN"/>
        </w:rPr>
        <w:t>9</w:t>
      </w:r>
      <w:r>
        <w:rPr>
          <w:rFonts w:ascii="仿宋_GB2312" w:eastAsia="仿宋_GB2312"/>
          <w:sz w:val="32"/>
          <w:szCs w:val="32"/>
          <w:lang w:eastAsia="zh-CN"/>
        </w:rPr>
        <w:t>.社会保障和就业支出（类）抚恤（款）死亡抚恤（项）：指</w:t>
      </w:r>
      <w:r>
        <w:rPr>
          <w:rFonts w:hint="eastAsia" w:ascii="仿宋_GB2312" w:eastAsia="仿宋_GB2312"/>
          <w:sz w:val="32"/>
          <w:szCs w:val="32"/>
          <w:lang w:eastAsia="zh-CN"/>
        </w:rPr>
        <w:t>按规定用于烈士和牺牲、病故人员家属的一次性和定期抚恤金及丧葬补助费。</w:t>
      </w:r>
    </w:p>
    <w:p>
      <w:pPr>
        <w:pStyle w:val="23"/>
        <w:spacing w:line="560"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val="en-US" w:eastAsia="zh-CN"/>
        </w:rPr>
        <w:t>30</w:t>
      </w:r>
      <w:r>
        <w:rPr>
          <w:rFonts w:ascii="仿宋_GB2312" w:eastAsia="仿宋_GB2312"/>
          <w:sz w:val="32"/>
          <w:szCs w:val="32"/>
          <w:lang w:eastAsia="zh-CN"/>
        </w:rPr>
        <w:t>.社会保障和就业支出（类）其他社会保障和就业支出（款）其他社会保障和就业支出（项）：指</w:t>
      </w:r>
      <w:r>
        <w:rPr>
          <w:rFonts w:hint="eastAsia" w:ascii="仿宋_GB2312" w:eastAsia="仿宋_GB2312"/>
          <w:sz w:val="32"/>
          <w:szCs w:val="32"/>
          <w:lang w:eastAsia="zh-CN"/>
        </w:rPr>
        <w:t>商务厅机关及下属事业单位其</w:t>
      </w:r>
      <w:r>
        <w:rPr>
          <w:rFonts w:ascii="仿宋_GB2312" w:eastAsia="仿宋_GB2312"/>
          <w:sz w:val="32"/>
          <w:szCs w:val="32"/>
          <w:lang w:eastAsia="zh-CN"/>
        </w:rPr>
        <w:t>他社会保障和就业支出</w:t>
      </w:r>
      <w:r>
        <w:rPr>
          <w:rFonts w:hint="eastAsia" w:ascii="仿宋_GB2312" w:eastAsia="仿宋_GB2312"/>
          <w:sz w:val="32"/>
          <w:szCs w:val="32"/>
          <w:lang w:eastAsia="zh-CN"/>
        </w:rPr>
        <w:t>。</w:t>
      </w:r>
    </w:p>
    <w:p>
      <w:pPr>
        <w:pStyle w:val="23"/>
        <w:spacing w:line="560"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val="en-US" w:eastAsia="zh-CN"/>
        </w:rPr>
        <w:t>31</w:t>
      </w:r>
      <w:r>
        <w:rPr>
          <w:rFonts w:ascii="仿宋_GB2312" w:eastAsia="仿宋_GB2312"/>
          <w:sz w:val="32"/>
          <w:szCs w:val="32"/>
          <w:lang w:eastAsia="zh-CN"/>
        </w:rPr>
        <w:t>.卫生</w:t>
      </w:r>
      <w:r>
        <w:rPr>
          <w:rFonts w:hint="eastAsia" w:ascii="仿宋_GB2312" w:eastAsia="仿宋_GB2312"/>
          <w:sz w:val="32"/>
          <w:szCs w:val="32"/>
          <w:lang w:eastAsia="zh-CN"/>
        </w:rPr>
        <w:t>健康</w:t>
      </w:r>
      <w:r>
        <w:rPr>
          <w:rFonts w:ascii="仿宋_GB2312" w:eastAsia="仿宋_GB2312"/>
          <w:sz w:val="32"/>
          <w:szCs w:val="32"/>
          <w:lang w:eastAsia="zh-CN"/>
        </w:rPr>
        <w:t>支出（类）行政事业单位医疗（款）行政单位医疗（项）：指</w:t>
      </w:r>
      <w:r>
        <w:rPr>
          <w:rFonts w:hint="eastAsia" w:ascii="仿宋_GB2312" w:eastAsia="仿宋_GB2312"/>
          <w:sz w:val="32"/>
          <w:szCs w:val="32"/>
          <w:lang w:eastAsia="zh-CN"/>
        </w:rPr>
        <w:t>商务厅机关基本医疗缴费。</w:t>
      </w:r>
    </w:p>
    <w:p>
      <w:pPr>
        <w:pStyle w:val="23"/>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3</w:t>
      </w:r>
      <w:r>
        <w:rPr>
          <w:rFonts w:hint="eastAsia" w:ascii="仿宋_GB2312" w:eastAsia="仿宋_GB2312"/>
          <w:sz w:val="32"/>
          <w:szCs w:val="32"/>
          <w:lang w:val="en-US" w:eastAsia="zh-CN"/>
        </w:rPr>
        <w:t>2</w:t>
      </w:r>
      <w:r>
        <w:rPr>
          <w:rFonts w:ascii="仿宋_GB2312" w:eastAsia="仿宋_GB2312"/>
          <w:sz w:val="32"/>
          <w:szCs w:val="32"/>
          <w:lang w:eastAsia="zh-CN"/>
        </w:rPr>
        <w:t>.卫生</w:t>
      </w:r>
      <w:r>
        <w:rPr>
          <w:rFonts w:hint="eastAsia" w:ascii="仿宋_GB2312" w:eastAsia="仿宋_GB2312"/>
          <w:sz w:val="32"/>
          <w:szCs w:val="32"/>
          <w:lang w:eastAsia="zh-CN"/>
        </w:rPr>
        <w:t>健康</w:t>
      </w:r>
      <w:r>
        <w:rPr>
          <w:rFonts w:ascii="仿宋_GB2312" w:eastAsia="仿宋_GB2312"/>
          <w:sz w:val="32"/>
          <w:szCs w:val="32"/>
          <w:lang w:eastAsia="zh-CN"/>
        </w:rPr>
        <w:t>支出（类）行政事业单位医疗（款）事业单位医疗（项）：指</w:t>
      </w:r>
      <w:r>
        <w:rPr>
          <w:rFonts w:hint="eastAsia" w:ascii="仿宋_GB2312" w:eastAsia="仿宋_GB2312"/>
          <w:sz w:val="32"/>
          <w:szCs w:val="32"/>
          <w:lang w:eastAsia="zh-CN"/>
        </w:rPr>
        <w:t>商务厅下属事业单位基本医疗保险缴费。</w:t>
      </w:r>
    </w:p>
    <w:p>
      <w:pPr>
        <w:pStyle w:val="23"/>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3</w:t>
      </w:r>
      <w:r>
        <w:rPr>
          <w:rFonts w:hint="eastAsia" w:ascii="仿宋_GB2312" w:eastAsia="仿宋_GB2312"/>
          <w:sz w:val="32"/>
          <w:szCs w:val="32"/>
          <w:lang w:val="en-US" w:eastAsia="zh-CN"/>
        </w:rPr>
        <w:t>3</w:t>
      </w:r>
      <w:r>
        <w:rPr>
          <w:rFonts w:ascii="仿宋_GB2312" w:eastAsia="仿宋_GB2312"/>
          <w:sz w:val="32"/>
          <w:szCs w:val="32"/>
          <w:lang w:eastAsia="zh-CN"/>
        </w:rPr>
        <w:t>.卫生</w:t>
      </w:r>
      <w:r>
        <w:rPr>
          <w:rFonts w:hint="eastAsia" w:ascii="仿宋_GB2312" w:eastAsia="仿宋_GB2312"/>
          <w:sz w:val="32"/>
          <w:szCs w:val="32"/>
          <w:lang w:eastAsia="zh-CN"/>
        </w:rPr>
        <w:t>健康</w:t>
      </w:r>
      <w:r>
        <w:rPr>
          <w:rFonts w:ascii="仿宋_GB2312" w:eastAsia="仿宋_GB2312"/>
          <w:sz w:val="32"/>
          <w:szCs w:val="32"/>
          <w:lang w:eastAsia="zh-CN"/>
        </w:rPr>
        <w:t>支出（类）行政事业单位医疗（款）公务员医疗补助（项）：指</w:t>
      </w:r>
      <w:r>
        <w:rPr>
          <w:rFonts w:hint="eastAsia" w:ascii="仿宋_GB2312" w:eastAsia="仿宋_GB2312"/>
          <w:sz w:val="32"/>
          <w:szCs w:val="32"/>
          <w:lang w:eastAsia="zh-CN"/>
        </w:rPr>
        <w:t>商务厅机关</w:t>
      </w:r>
      <w:r>
        <w:rPr>
          <w:rFonts w:ascii="仿宋_GB2312" w:eastAsia="仿宋_GB2312"/>
          <w:sz w:val="32"/>
          <w:szCs w:val="32"/>
          <w:lang w:eastAsia="zh-CN"/>
        </w:rPr>
        <w:t>公务员医疗补助</w:t>
      </w:r>
      <w:r>
        <w:rPr>
          <w:rFonts w:hint="eastAsia" w:ascii="仿宋_GB2312" w:eastAsia="仿宋_GB2312"/>
          <w:sz w:val="32"/>
          <w:szCs w:val="32"/>
          <w:lang w:eastAsia="zh-CN"/>
        </w:rPr>
        <w:t>经费。</w:t>
      </w:r>
    </w:p>
    <w:p>
      <w:pPr>
        <w:pStyle w:val="23"/>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3</w:t>
      </w:r>
      <w:r>
        <w:rPr>
          <w:rFonts w:hint="eastAsia" w:ascii="仿宋_GB2312" w:eastAsia="仿宋_GB2312"/>
          <w:sz w:val="32"/>
          <w:szCs w:val="32"/>
          <w:lang w:val="en-US" w:eastAsia="zh-CN"/>
        </w:rPr>
        <w:t>4</w:t>
      </w:r>
      <w:r>
        <w:rPr>
          <w:rFonts w:ascii="仿宋_GB2312" w:eastAsia="仿宋_GB2312"/>
          <w:sz w:val="32"/>
          <w:szCs w:val="32"/>
          <w:lang w:eastAsia="zh-CN"/>
        </w:rPr>
        <w:t>.商业服务业等支出（类）商业流通事务（款）其他商业流通事务支出（项）：指</w:t>
      </w:r>
      <w:r>
        <w:rPr>
          <w:rFonts w:hint="eastAsia" w:ascii="仿宋_GB2312" w:eastAsia="仿宋_GB2312"/>
          <w:sz w:val="32"/>
          <w:szCs w:val="32"/>
          <w:lang w:eastAsia="zh-CN"/>
        </w:rPr>
        <w:t>商务厅机关、四川商务职业学院、四川省商务学校的</w:t>
      </w:r>
      <w:r>
        <w:rPr>
          <w:rFonts w:ascii="仿宋_GB2312" w:eastAsia="仿宋_GB2312"/>
          <w:sz w:val="32"/>
          <w:szCs w:val="32"/>
          <w:lang w:eastAsia="zh-CN"/>
        </w:rPr>
        <w:t>其他商业流通事务支出</w:t>
      </w:r>
      <w:r>
        <w:rPr>
          <w:rFonts w:hint="eastAsia" w:ascii="仿宋_GB2312" w:eastAsia="仿宋_GB2312"/>
          <w:sz w:val="32"/>
          <w:szCs w:val="32"/>
          <w:lang w:eastAsia="zh-CN"/>
        </w:rPr>
        <w:t>。</w:t>
      </w:r>
    </w:p>
    <w:p>
      <w:pPr>
        <w:pStyle w:val="23"/>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3</w:t>
      </w:r>
      <w:r>
        <w:rPr>
          <w:rFonts w:hint="eastAsia" w:ascii="仿宋_GB2312" w:eastAsia="仿宋_GB2312"/>
          <w:sz w:val="32"/>
          <w:szCs w:val="32"/>
          <w:lang w:val="en-US" w:eastAsia="zh-CN"/>
        </w:rPr>
        <w:t>5</w:t>
      </w:r>
      <w:r>
        <w:rPr>
          <w:rFonts w:ascii="仿宋_GB2312" w:eastAsia="仿宋_GB2312"/>
          <w:sz w:val="32"/>
          <w:szCs w:val="32"/>
          <w:lang w:eastAsia="zh-CN"/>
        </w:rPr>
        <w:t>.商业服务业等支出（类）涉外发展服务支出（款）其他涉外发展服务支出（项）：指</w:t>
      </w:r>
      <w:r>
        <w:rPr>
          <w:rFonts w:hint="eastAsia" w:ascii="仿宋_GB2312" w:eastAsia="仿宋_GB2312"/>
          <w:sz w:val="32"/>
          <w:szCs w:val="32"/>
          <w:lang w:eastAsia="zh-CN"/>
        </w:rPr>
        <w:t>商务厅机关的</w:t>
      </w:r>
      <w:r>
        <w:rPr>
          <w:rFonts w:ascii="仿宋_GB2312" w:eastAsia="仿宋_GB2312"/>
          <w:sz w:val="32"/>
          <w:szCs w:val="32"/>
          <w:lang w:eastAsia="zh-CN"/>
        </w:rPr>
        <w:t>其他涉外发展服务支出</w:t>
      </w:r>
      <w:r>
        <w:rPr>
          <w:rFonts w:hint="eastAsia" w:ascii="仿宋_GB2312" w:eastAsia="仿宋_GB2312"/>
          <w:sz w:val="32"/>
          <w:szCs w:val="32"/>
          <w:lang w:eastAsia="zh-CN"/>
        </w:rPr>
        <w:t>。</w:t>
      </w:r>
    </w:p>
    <w:p>
      <w:pPr>
        <w:pStyle w:val="23"/>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3</w:t>
      </w:r>
      <w:r>
        <w:rPr>
          <w:rFonts w:hint="eastAsia" w:ascii="仿宋_GB2312" w:eastAsia="仿宋_GB2312"/>
          <w:sz w:val="32"/>
          <w:szCs w:val="32"/>
          <w:lang w:val="en-US" w:eastAsia="zh-CN"/>
        </w:rPr>
        <w:t>6</w:t>
      </w:r>
      <w:r>
        <w:rPr>
          <w:rFonts w:ascii="仿宋_GB2312" w:eastAsia="仿宋_GB2312"/>
          <w:sz w:val="32"/>
          <w:szCs w:val="32"/>
          <w:lang w:eastAsia="zh-CN"/>
        </w:rPr>
        <w:t>.商业服务业等支出（类）其他商业服务业等支出（款）其他商业服务业等支出（项）：指</w:t>
      </w:r>
      <w:r>
        <w:rPr>
          <w:rFonts w:hint="eastAsia" w:ascii="仿宋_GB2312" w:eastAsia="仿宋_GB2312"/>
          <w:sz w:val="32"/>
          <w:szCs w:val="32"/>
          <w:lang w:eastAsia="zh-CN"/>
        </w:rPr>
        <w:t>商务厅机关的</w:t>
      </w:r>
      <w:r>
        <w:rPr>
          <w:rFonts w:ascii="仿宋_GB2312" w:eastAsia="仿宋_GB2312"/>
          <w:sz w:val="32"/>
          <w:szCs w:val="32"/>
          <w:lang w:eastAsia="zh-CN"/>
        </w:rPr>
        <w:t>其他商业服务业等支出</w:t>
      </w:r>
      <w:r>
        <w:rPr>
          <w:rFonts w:hint="eastAsia" w:ascii="仿宋_GB2312" w:eastAsia="仿宋_GB2312"/>
          <w:sz w:val="32"/>
          <w:szCs w:val="32"/>
          <w:lang w:eastAsia="zh-CN"/>
        </w:rPr>
        <w:t>。</w:t>
      </w:r>
    </w:p>
    <w:p>
      <w:pPr>
        <w:pStyle w:val="23"/>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3</w:t>
      </w:r>
      <w:r>
        <w:rPr>
          <w:rFonts w:hint="eastAsia" w:ascii="仿宋_GB2312" w:eastAsia="仿宋_GB2312"/>
          <w:sz w:val="32"/>
          <w:szCs w:val="32"/>
          <w:lang w:val="en-US" w:eastAsia="zh-CN"/>
        </w:rPr>
        <w:t>7</w:t>
      </w:r>
      <w:r>
        <w:rPr>
          <w:rFonts w:ascii="仿宋_GB2312" w:eastAsia="仿宋_GB2312"/>
          <w:sz w:val="32"/>
          <w:szCs w:val="32"/>
          <w:lang w:eastAsia="zh-CN"/>
        </w:rPr>
        <w:t>.住房保障支出（类）住房改革支出（款）住房公积金（项）：指</w:t>
      </w:r>
      <w:r>
        <w:rPr>
          <w:rFonts w:hint="eastAsia" w:ascii="仿宋_GB2312" w:eastAsia="仿宋_GB2312"/>
          <w:sz w:val="32"/>
          <w:szCs w:val="32"/>
          <w:lang w:eastAsia="zh-CN"/>
        </w:rPr>
        <w:t>商务厅机关及下属事业单位按照人力资源和社会保障以及财政部门规定的基本工资和津贴补贴以及规定的比例为职工缴纳的住房公积金。</w:t>
      </w:r>
    </w:p>
    <w:p>
      <w:pPr>
        <w:pStyle w:val="23"/>
        <w:spacing w:line="560" w:lineRule="exact"/>
        <w:ind w:firstLine="640" w:firstLineChars="200"/>
        <w:jc w:val="both"/>
        <w:rPr>
          <w:rFonts w:hint="eastAsia" w:ascii="仿宋_GB2312" w:eastAsia="仿宋_GB2312"/>
          <w:sz w:val="32"/>
          <w:szCs w:val="32"/>
          <w:lang w:eastAsia="zh-CN"/>
        </w:rPr>
      </w:pPr>
      <w:r>
        <w:rPr>
          <w:rFonts w:ascii="仿宋_GB2312" w:eastAsia="仿宋_GB2312"/>
          <w:sz w:val="32"/>
          <w:szCs w:val="32"/>
          <w:lang w:eastAsia="zh-CN"/>
        </w:rPr>
        <w:t>3</w:t>
      </w:r>
      <w:r>
        <w:rPr>
          <w:rFonts w:hint="eastAsia" w:ascii="仿宋_GB2312" w:eastAsia="仿宋_GB2312"/>
          <w:sz w:val="32"/>
          <w:szCs w:val="32"/>
          <w:lang w:val="en-US" w:eastAsia="zh-CN"/>
        </w:rPr>
        <w:t>8</w:t>
      </w:r>
      <w:r>
        <w:rPr>
          <w:rFonts w:ascii="仿宋_GB2312" w:eastAsia="仿宋_GB2312"/>
          <w:sz w:val="32"/>
          <w:szCs w:val="32"/>
          <w:lang w:eastAsia="zh-CN"/>
        </w:rPr>
        <w:t>.住房保障支出（类）住房改革支出（款）购房补贴（项）：指</w:t>
      </w:r>
      <w:r>
        <w:rPr>
          <w:rFonts w:hint="eastAsia" w:ascii="仿宋_GB2312" w:eastAsia="仿宋_GB2312"/>
          <w:sz w:val="32"/>
          <w:szCs w:val="32"/>
          <w:lang w:eastAsia="zh-CN"/>
        </w:rPr>
        <w:t>商务厅机关及下属事业单位按照房改政策规定向符合条件职工（含离退休人员）用于购买住房的补贴。</w:t>
      </w:r>
    </w:p>
    <w:p>
      <w:pPr>
        <w:pStyle w:val="23"/>
        <w:spacing w:line="560" w:lineRule="exact"/>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39.灾害防治及应急管理支出（类）应急管理事务（款）安全监管（项）：指商务厅机关的安全监管其他支出。</w:t>
      </w:r>
    </w:p>
    <w:p>
      <w:pPr>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41</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42</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3"/>
        <w:spacing w:line="56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44</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hint="eastAsia" w:ascii="黑体" w:hAnsi="黑体" w:eastAsia="黑体"/>
          <w:b w:val="0"/>
          <w:color w:val="auto"/>
          <w:highlight w:val="none"/>
          <w:lang w:eastAsia="zh-CN"/>
        </w:rPr>
      </w:pPr>
      <w:bookmarkStart w:id="104" w:name="_Toc15377226"/>
      <w:r>
        <w:rPr>
          <w:rFonts w:ascii="宋体"/>
          <w:b/>
          <w:color w:val="auto"/>
          <w:sz w:val="44"/>
          <w:szCs w:val="44"/>
          <w:highlight w:val="none"/>
        </w:rPr>
        <w:br w:type="page"/>
      </w:r>
      <w:bookmarkStart w:id="105" w:name="_Toc376169246_WPSOffice_Level1"/>
      <w:bookmarkStart w:id="106" w:name="_Toc27"/>
      <w:bookmarkStart w:id="107" w:name="_Toc15396614"/>
      <w:bookmarkStart w:id="108" w:name="_Toc1005723878_WPSOffice_Level1"/>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105"/>
      <w:bookmarkEnd w:id="106"/>
      <w:bookmarkEnd w:id="107"/>
      <w:bookmarkEnd w:id="108"/>
    </w:p>
    <w:p>
      <w:pPr>
        <w:spacing w:line="600" w:lineRule="exact"/>
        <w:jc w:val="left"/>
        <w:outlineLvl w:val="1"/>
        <w:rPr>
          <w:rFonts w:hint="eastAsia" w:ascii="黑体" w:hAnsi="黑体" w:eastAsia="黑体" w:cs="黑体"/>
          <w:color w:val="auto"/>
          <w:sz w:val="32"/>
          <w:szCs w:val="32"/>
          <w:highlight w:val="none"/>
        </w:rPr>
      </w:pPr>
      <w:bookmarkStart w:id="109" w:name="_Toc19987"/>
      <w:r>
        <w:rPr>
          <w:rFonts w:hint="eastAsia" w:ascii="黑体" w:hAnsi="黑体" w:eastAsia="黑体" w:cs="黑体"/>
          <w:color w:val="auto"/>
          <w:sz w:val="32"/>
          <w:szCs w:val="32"/>
          <w:highlight w:val="none"/>
        </w:rPr>
        <w:t>附件1</w:t>
      </w:r>
      <w:bookmarkEnd w:id="109"/>
    </w:p>
    <w:p>
      <w:pPr>
        <w:pStyle w:val="2"/>
      </w:pPr>
    </w:p>
    <w:p>
      <w:pPr>
        <w:spacing w:line="600" w:lineRule="exact"/>
        <w:jc w:val="center"/>
        <w:rPr>
          <w:rFonts w:hint="eastAsia" w:ascii="方正小标宋简体" w:hAnsi="宋体" w:eastAsia="方正小标宋简体"/>
          <w:color w:val="auto"/>
          <w:kern w:val="0"/>
          <w:sz w:val="40"/>
          <w:szCs w:val="44"/>
          <w:highlight w:val="none"/>
        </w:rPr>
      </w:pPr>
      <w:bookmarkStart w:id="110" w:name="_Toc446888574_WPSOffice_Level2"/>
      <w:bookmarkStart w:id="111" w:name="_Toc124248601_WPSOffice_Level2"/>
      <w:r>
        <w:rPr>
          <w:rFonts w:hint="eastAsia" w:ascii="方正小标宋简体" w:hAnsi="宋体" w:eastAsia="方正小标宋简体" w:cs="Times New Roman"/>
          <w:color w:val="auto"/>
          <w:kern w:val="0"/>
          <w:sz w:val="40"/>
          <w:szCs w:val="44"/>
          <w:highlight w:val="none"/>
          <w:lang w:eastAsia="zh-CN"/>
        </w:rPr>
        <w:t>202</w:t>
      </w:r>
      <w:r>
        <w:rPr>
          <w:rFonts w:hint="eastAsia" w:ascii="方正小标宋简体" w:hAnsi="宋体" w:eastAsia="方正小标宋简体" w:cs="Times New Roman"/>
          <w:color w:val="auto"/>
          <w:kern w:val="0"/>
          <w:sz w:val="40"/>
          <w:szCs w:val="44"/>
          <w:highlight w:val="none"/>
          <w:lang w:val="en-US" w:eastAsia="zh-CN"/>
        </w:rPr>
        <w:t>0</w:t>
      </w:r>
      <w:r>
        <w:rPr>
          <w:rFonts w:hint="eastAsia" w:ascii="方正小标宋简体" w:hAnsi="宋体" w:eastAsia="方正小标宋简体" w:cs="Times New Roman"/>
          <w:color w:val="auto"/>
          <w:kern w:val="0"/>
          <w:sz w:val="40"/>
          <w:szCs w:val="44"/>
          <w:highlight w:val="none"/>
          <w:lang w:eastAsia="zh-CN"/>
        </w:rPr>
        <w:t>年四川</w:t>
      </w:r>
      <w:r>
        <w:rPr>
          <w:rFonts w:hint="eastAsia" w:ascii="方正小标宋简体" w:hAnsi="宋体" w:eastAsia="方正小标宋简体"/>
          <w:color w:val="auto"/>
          <w:kern w:val="0"/>
          <w:sz w:val="40"/>
          <w:szCs w:val="44"/>
          <w:highlight w:val="none"/>
          <w:lang w:eastAsia="zh-CN"/>
        </w:rPr>
        <w:t>省商务厅</w:t>
      </w:r>
      <w:r>
        <w:rPr>
          <w:rFonts w:hint="eastAsia" w:ascii="方正小标宋简体" w:hAnsi="宋体" w:eastAsia="方正小标宋简体"/>
          <w:color w:val="auto"/>
          <w:kern w:val="0"/>
          <w:sz w:val="40"/>
          <w:szCs w:val="44"/>
          <w:highlight w:val="none"/>
        </w:rPr>
        <w:t>部门整体支出</w:t>
      </w:r>
      <w:bookmarkEnd w:id="110"/>
      <w:bookmarkEnd w:id="111"/>
    </w:p>
    <w:p>
      <w:pPr>
        <w:spacing w:line="600" w:lineRule="exact"/>
        <w:jc w:val="center"/>
        <w:rPr>
          <w:rFonts w:ascii="方正小标宋简体" w:hAnsi="宋体" w:eastAsia="方正小标宋简体"/>
          <w:color w:val="FF0000"/>
          <w:kern w:val="0"/>
          <w:sz w:val="40"/>
          <w:szCs w:val="44"/>
          <w:highlight w:val="none"/>
          <w:lang w:val="zh-CN"/>
        </w:rPr>
      </w:pPr>
      <w:bookmarkStart w:id="112" w:name="_Toc1033328044_WPSOffice_Level2"/>
      <w:bookmarkStart w:id="113" w:name="_Toc1070593486_WPSOffice_Level2"/>
      <w:r>
        <w:rPr>
          <w:rFonts w:hint="eastAsia" w:ascii="方正小标宋简体" w:hAnsi="宋体" w:eastAsia="方正小标宋简体"/>
          <w:color w:val="auto"/>
          <w:kern w:val="0"/>
          <w:sz w:val="40"/>
          <w:szCs w:val="44"/>
          <w:highlight w:val="none"/>
        </w:rPr>
        <w:t>绩效评价报告</w:t>
      </w:r>
      <w:bookmarkEnd w:id="112"/>
      <w:bookmarkEnd w:id="113"/>
    </w:p>
    <w:p>
      <w:pPr>
        <w:widowControl/>
        <w:spacing w:line="580" w:lineRule="exact"/>
        <w:ind w:firstLine="1600" w:firstLineChars="500"/>
        <w:contextualSpacing/>
        <w:jc w:val="both"/>
        <w:rPr>
          <w:rFonts w:ascii="仿宋_GB2312" w:hAnsi="宋体" w:eastAsia="仿宋_GB2312"/>
          <w:color w:val="auto"/>
          <w:sz w:val="32"/>
          <w:szCs w:val="32"/>
          <w:highlight w:val="none"/>
          <w:shd w:val="clear" w:color="auto" w:fill="FFFFFF"/>
        </w:rPr>
      </w:pPr>
      <w:r>
        <w:rPr>
          <w:rFonts w:hint="eastAsia" w:ascii="仿宋_GB2312" w:hAnsi="宋体" w:eastAsia="仿宋_GB2312"/>
          <w:color w:val="auto"/>
          <w:sz w:val="32"/>
          <w:szCs w:val="32"/>
          <w:highlight w:val="none"/>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auto"/>
          <w:kern w:val="0"/>
          <w:sz w:val="24"/>
          <w:szCs w:val="32"/>
          <w:highlight w:val="none"/>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auto"/>
          <w:kern w:val="0"/>
          <w:sz w:val="32"/>
          <w:szCs w:val="32"/>
          <w:highlight w:val="none"/>
          <w:shd w:val="clear" w:color="auto" w:fill="FFFFFF"/>
          <w:lang w:val="zh-CN"/>
        </w:rPr>
      </w:pPr>
      <w:bookmarkStart w:id="114" w:name="_Toc156423678_WPSOffice_Level2"/>
      <w:bookmarkStart w:id="115" w:name="_Toc121554802_WPSOffice_Level2"/>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bookmarkEnd w:id="114"/>
      <w:bookmarkEnd w:id="115"/>
    </w:p>
    <w:p>
      <w:pPr>
        <w:spacing w:line="560" w:lineRule="exact"/>
        <w:ind w:firstLine="642" w:firstLineChars="200"/>
        <w:jc w:val="both"/>
        <w:rPr>
          <w:rFonts w:hint="eastAsia" w:ascii="仿宋_GB2312" w:hAnsi="仿宋" w:eastAsia="仿宋_GB2312" w:cs="仿宋"/>
          <w:sz w:val="32"/>
          <w:szCs w:val="32"/>
        </w:rPr>
      </w:pPr>
      <w:r>
        <w:rPr>
          <w:rFonts w:hint="eastAsia" w:ascii="楷体_GB2312" w:hAnsi="楷体_GB2312" w:eastAsia="楷体_GB2312" w:cs="楷体_GB2312"/>
          <w:b/>
          <w:bCs/>
          <w:color w:val="auto"/>
          <w:kern w:val="0"/>
          <w:sz w:val="32"/>
          <w:szCs w:val="32"/>
          <w:highlight w:val="none"/>
          <w:shd w:val="clear" w:color="auto" w:fill="FFFFFF"/>
          <w:lang w:val="zh-CN"/>
        </w:rPr>
        <w:t>（一）机构组成。</w:t>
      </w:r>
      <w:r>
        <w:rPr>
          <w:rFonts w:hint="eastAsia" w:ascii="仿宋_GB2312" w:hAnsi="仿宋" w:eastAsia="仿宋_GB2312" w:cs="仿宋"/>
          <w:sz w:val="32"/>
          <w:szCs w:val="32"/>
        </w:rPr>
        <w:t>商务厅下属二级预算单位7个，包括：四川省商务厅机关及下属6个事业单位（四川省商务厅机关服务中心、四川省商务厅信息中心、四川商务职业学院、四川省商务学校、四川省商务发展事务中心、四川省国际经济贸易研究所）。</w:t>
      </w:r>
    </w:p>
    <w:p>
      <w:pPr>
        <w:spacing w:line="560" w:lineRule="exact"/>
        <w:ind w:firstLine="640" w:firstLineChars="200"/>
        <w:jc w:val="both"/>
        <w:rPr>
          <w:rFonts w:ascii="仿宋_GB2312" w:hAnsi="宋体" w:eastAsia="仿宋_GB2312" w:cs="宋体"/>
          <w:color w:val="auto"/>
          <w:kern w:val="0"/>
          <w:sz w:val="32"/>
          <w:szCs w:val="32"/>
          <w:highlight w:val="none"/>
          <w:shd w:val="clear" w:color="auto" w:fill="FFFFFF"/>
          <w:lang w:val="zh-CN"/>
        </w:rPr>
      </w:pPr>
      <w:r>
        <w:rPr>
          <w:rFonts w:hint="eastAsia" w:ascii="仿宋_GB2312" w:hAnsi="仿宋" w:eastAsia="仿宋_GB2312" w:cs="仿宋"/>
          <w:sz w:val="32"/>
          <w:szCs w:val="32"/>
        </w:rPr>
        <w:t>厅机关内设处室25个：办公室、综合处、法规与贸易救济处、行政审批处、服务业发展协调处、市场秩序处、市场体系建设处、流通业发展处、市场运行与消费促进处、国际经贸关系处、对外贸易运行处、对外贸易发展处、服务贸易与商贸服务业处、产业处、对外经济合作处、电子商务与信息化处、财务处、审计处、综信处、创新处、协调处、人事教育处、离退休工作人员办公室、商业离退休人员工作处、物资离退休人员工作处。</w:t>
      </w:r>
    </w:p>
    <w:p>
      <w:pPr>
        <w:spacing w:line="560" w:lineRule="exact"/>
        <w:ind w:firstLine="642" w:firstLineChars="200"/>
        <w:jc w:val="both"/>
        <w:rPr>
          <w:rFonts w:ascii="仿宋_GB2312" w:hAnsi="宋体" w:eastAsia="仿宋_GB2312" w:cs="宋体"/>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（二）机构职能。</w:t>
      </w:r>
      <w:r>
        <w:rPr>
          <w:rFonts w:hint="eastAsia" w:ascii="仿宋_GB2312" w:hAnsi="仿宋" w:eastAsia="仿宋_GB2312" w:cs="仿宋"/>
          <w:sz w:val="32"/>
          <w:szCs w:val="32"/>
        </w:rPr>
        <w:t>根据《中共四川省委四川省人民政府关于印发〈四川省人民政府机构改革方案〉的通知》（川委发〔2018〕26号）规定，商务厅职能主要是贯彻落实国家有关国内外贸易、外商投资和国际合作的法律、法规和方针、政策，拟订全省内外贸易、外商投资和对外经济合作的法规、规章和实施细则，制定全省商务发展规划、计划并组织实施。按要求承担全省服务业发展工作中组织实施的协调职责，推进流通产业结构调整，加快第三方物流发展，指导流通企业改革、商贸服务业和社区、商业发展，提出促进商贸企业发展的政策建议，推进流通标准化和连锁经营、商业特许经营、物流配送、电子商务等现代流通方式的发展等十五项主要职责。</w:t>
      </w:r>
    </w:p>
    <w:p>
      <w:pPr>
        <w:spacing w:line="560" w:lineRule="exact"/>
        <w:ind w:firstLine="642" w:firstLineChars="200"/>
        <w:jc w:val="both"/>
        <w:rPr>
          <w:rFonts w:ascii="仿宋_GB2312" w:hAnsi="宋体" w:eastAsia="仿宋_GB2312" w:cs="宋体"/>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（三）人员概况。</w:t>
      </w:r>
      <w:r>
        <w:rPr>
          <w:rFonts w:hint="eastAsia" w:ascii="仿宋_GB2312" w:hAnsi="仿宋" w:eastAsia="仿宋_GB2312" w:cs="仿宋"/>
          <w:sz w:val="32"/>
          <w:szCs w:val="32"/>
        </w:rPr>
        <w:t>商务厅总编制1205名，其中行政编制176名，参照公务员法管理的事业编制0名，其他事业编制1029名。人员总数784人，其中：在职人员770人、离休人员14人。</w:t>
      </w:r>
    </w:p>
    <w:p>
      <w:pPr>
        <w:widowControl/>
        <w:adjustRightInd w:val="0"/>
        <w:snapToGrid w:val="0"/>
        <w:spacing w:line="580" w:lineRule="exact"/>
        <w:ind w:firstLine="640" w:firstLineChars="200"/>
        <w:contextualSpacing/>
        <w:jc w:val="both"/>
        <w:rPr>
          <w:rFonts w:ascii="黑体" w:hAnsi="宋体" w:eastAsia="黑体" w:cs="宋体"/>
          <w:color w:val="auto"/>
          <w:kern w:val="0"/>
          <w:sz w:val="32"/>
          <w:szCs w:val="32"/>
          <w:highlight w:val="none"/>
          <w:shd w:val="clear" w:color="auto" w:fill="FFFFFF"/>
        </w:rPr>
      </w:pPr>
      <w:bookmarkStart w:id="116" w:name="_Toc474431084_WPSOffice_Level2"/>
      <w:bookmarkStart w:id="117" w:name="_Toc428351622_WPSOffice_Level2"/>
      <w:r>
        <w:rPr>
          <w:rFonts w:hint="eastAsia" w:ascii="黑体" w:hAnsi="宋体" w:eastAsia="黑体" w:cs="宋体"/>
          <w:color w:val="auto"/>
          <w:kern w:val="0"/>
          <w:sz w:val="32"/>
          <w:szCs w:val="32"/>
          <w:highlight w:val="none"/>
          <w:shd w:val="clear" w:color="auto" w:fill="FFFFFF"/>
        </w:rPr>
        <w:t>二、部门财政资金收支情况</w:t>
      </w:r>
      <w:bookmarkEnd w:id="116"/>
      <w:bookmarkEnd w:id="117"/>
    </w:p>
    <w:p>
      <w:pPr>
        <w:spacing w:line="560" w:lineRule="exact"/>
        <w:ind w:firstLine="642" w:firstLineChars="200"/>
        <w:jc w:val="both"/>
        <w:rPr>
          <w:rFonts w:ascii="仿宋_GB2312" w:hAnsi="宋体" w:eastAsia="仿宋_GB2312" w:cs="宋体"/>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（一）部门财政资金收入情况。</w:t>
      </w:r>
      <w:r>
        <w:rPr>
          <w:rFonts w:hint="eastAsia" w:ascii="仿宋_GB2312" w:hAnsi="仿宋" w:eastAsia="仿宋_GB2312" w:cs="仿宋"/>
          <w:sz w:val="32"/>
          <w:szCs w:val="32"/>
        </w:rPr>
        <w:t>2020年商务厅决算收入总额为50,749.34万元，其中：本年收入42,940.11万元（一般公共预算财政拨款收入38,105.69万元、事业收入3,913.79万元、经营收入</w:t>
      </w:r>
      <w:r>
        <w:rPr>
          <w:rFonts w:hint="eastAsia" w:ascii="仿宋_GB2312" w:hAnsi="仿宋" w:eastAsia="仿宋_GB2312" w:cs="仿宋"/>
          <w:sz w:val="32"/>
          <w:szCs w:val="32"/>
          <w:lang w:val="en-US" w:eastAsia="zh-CN"/>
        </w:rPr>
        <w:t>775.03</w:t>
      </w:r>
      <w:r>
        <w:rPr>
          <w:rFonts w:hint="eastAsia" w:ascii="仿宋_GB2312" w:hAnsi="仿宋" w:eastAsia="仿宋_GB2312" w:cs="仿宋"/>
          <w:sz w:val="32"/>
          <w:szCs w:val="32"/>
        </w:rPr>
        <w:t>万元、其他收入</w:t>
      </w:r>
      <w:r>
        <w:rPr>
          <w:rFonts w:hint="eastAsia" w:ascii="仿宋_GB2312" w:hAnsi="仿宋" w:eastAsia="仿宋_GB2312" w:cs="仿宋"/>
          <w:sz w:val="32"/>
          <w:szCs w:val="32"/>
          <w:lang w:val="en-US" w:eastAsia="zh-CN"/>
        </w:rPr>
        <w:t>145.6</w:t>
      </w:r>
      <w:r>
        <w:rPr>
          <w:rFonts w:hint="eastAsia" w:ascii="仿宋_GB2312" w:hAnsi="仿宋" w:eastAsia="仿宋_GB2312" w:cs="仿宋"/>
          <w:sz w:val="32"/>
          <w:szCs w:val="32"/>
        </w:rPr>
        <w:t>万元）、使用非财政拨款结余863.98万元、年初结转和结余6,945.25万元。</w:t>
      </w:r>
    </w:p>
    <w:p>
      <w:pPr>
        <w:spacing w:line="560" w:lineRule="exact"/>
        <w:ind w:firstLine="642" w:firstLineChars="200"/>
        <w:jc w:val="both"/>
        <w:rPr>
          <w:rFonts w:ascii="仿宋_GB2312" w:hAnsi="宋体" w:eastAsia="仿宋_GB2312" w:cs="宋体"/>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（二）部门财政资金支出情况。</w:t>
      </w:r>
      <w:r>
        <w:rPr>
          <w:rFonts w:hint="eastAsia" w:ascii="仿宋_GB2312" w:hAnsi="仿宋" w:eastAsia="仿宋_GB2312" w:cs="仿宋"/>
          <w:sz w:val="32"/>
          <w:szCs w:val="32"/>
        </w:rPr>
        <w:t>2020年商务厅决算支出总额为50,749.34万元，其中：人员支出16,815.94万元，日常公用支出3,254.16万元，项目支出22,985.06万元，经营支出762.92万元。结余分配5.02万元，年末结转结余6,926.24万元。</w:t>
      </w:r>
    </w:p>
    <w:p>
      <w:pPr>
        <w:widowControl/>
        <w:adjustRightInd w:val="0"/>
        <w:snapToGrid w:val="0"/>
        <w:spacing w:line="580" w:lineRule="exact"/>
        <w:ind w:firstLine="640" w:firstLineChars="200"/>
        <w:contextualSpacing/>
        <w:jc w:val="both"/>
        <w:rPr>
          <w:rFonts w:hint="eastAsia" w:ascii="黑体" w:hAnsi="宋体" w:eastAsia="黑体" w:cs="宋体"/>
          <w:color w:val="auto"/>
          <w:kern w:val="0"/>
          <w:sz w:val="32"/>
          <w:szCs w:val="32"/>
          <w:highlight w:val="none"/>
          <w:shd w:val="clear" w:color="auto" w:fill="FFFFFF"/>
        </w:rPr>
      </w:pPr>
      <w:bookmarkStart w:id="118" w:name="_Toc664737400_WPSOffice_Level2"/>
      <w:bookmarkStart w:id="119" w:name="_Toc289121277_WPSOffice_Level2"/>
      <w:r>
        <w:rPr>
          <w:rFonts w:hint="eastAsia" w:ascii="黑体" w:hAnsi="宋体" w:eastAsia="黑体" w:cs="宋体"/>
          <w:color w:val="auto"/>
          <w:kern w:val="0"/>
          <w:sz w:val="32"/>
          <w:szCs w:val="32"/>
          <w:highlight w:val="none"/>
          <w:shd w:val="clear" w:color="auto" w:fill="FFFFFF"/>
        </w:rPr>
        <w:t>三、部门整体预算绩效管理情况</w:t>
      </w:r>
      <w:bookmarkEnd w:id="118"/>
      <w:bookmarkEnd w:id="119"/>
    </w:p>
    <w:p>
      <w:pPr>
        <w:widowControl/>
        <w:adjustRightInd w:val="0"/>
        <w:snapToGrid w:val="0"/>
        <w:spacing w:line="580" w:lineRule="exact"/>
        <w:ind w:firstLine="642" w:firstLineChars="200"/>
        <w:contextualSpacing/>
        <w:jc w:val="both"/>
        <w:rPr>
          <w:rFonts w:hint="eastAsia" w:ascii="仿宋_GB2312" w:hAnsi="仿宋" w:eastAsia="仿宋_GB2312" w:cs="仿宋"/>
          <w:sz w:val="32"/>
          <w:szCs w:val="32"/>
        </w:rPr>
      </w:pPr>
      <w:r>
        <w:rPr>
          <w:rFonts w:hint="eastAsia" w:ascii="楷体_GB2312" w:hAnsi="楷体_GB2312" w:eastAsia="楷体_GB2312" w:cs="楷体_GB2312"/>
          <w:b/>
          <w:bCs/>
          <w:color w:val="auto"/>
          <w:kern w:val="0"/>
          <w:sz w:val="32"/>
          <w:szCs w:val="32"/>
          <w:highlight w:val="none"/>
          <w:shd w:val="clear" w:color="auto" w:fill="FFFFFF"/>
          <w:lang w:val="zh-CN"/>
        </w:rPr>
        <w:t>（一）部门预算管理。</w:t>
      </w:r>
      <w:r>
        <w:rPr>
          <w:rFonts w:hint="eastAsia" w:ascii="仿宋_GB2312" w:hAnsi="仿宋" w:eastAsia="仿宋_GB2312" w:cs="仿宋"/>
          <w:sz w:val="32"/>
          <w:szCs w:val="32"/>
        </w:rPr>
        <w:t>我厅部门预算制定的目标任务与国家政策法规、单位职能职责及中长期规划相符。目标任务制定明确，能较全面反映单位目标和预期效益，目标任务的制定合理可行，符合客观实际并能在一定期限内如期实现。我厅预算编制严格按照“一上一下，二上二下”的流程，逐级编制、汇总上报，坚持重点项目优先保障原则，依据年度工作任务测算部门预算经费。分工明确，各司其职。业务处室负责对项目进行测算并拟定绩效目标，财务处负责对基本支出公用经费及通用项目进行测算，并汇总各处室提出的预算建议及绩效目标，形成预算草案按程序报厅党组审定。绩效目标是预算编制的前提和基础，我厅按照“费随事定”的原则编制部门预算整体支出绩效目标，100万元以上专用项目均按要求编制了绩效目标。从项目完成、项目效益、满意度等方面设置绩效指标，综合反映项目预期完成的数量、成本、时效、质量，预期达到的社会效益、经济效益、生态效益、可持续影响以及服务对象满意度等情况，切实加强部门预算管理。</w:t>
      </w:r>
    </w:p>
    <w:p>
      <w:pPr>
        <w:widowControl/>
        <w:adjustRightInd w:val="0"/>
        <w:snapToGrid w:val="0"/>
        <w:spacing w:line="580" w:lineRule="exact"/>
        <w:ind w:firstLine="642" w:firstLineChars="200"/>
        <w:contextualSpacing/>
        <w:jc w:val="both"/>
        <w:rPr>
          <w:rFonts w:hint="eastAsia" w:ascii="仿宋_GB2312" w:hAnsi="仿宋" w:eastAsia="仿宋_GB2312" w:cs="仿宋"/>
          <w:sz w:val="32"/>
          <w:szCs w:val="32"/>
        </w:rPr>
      </w:pPr>
      <w:r>
        <w:rPr>
          <w:rFonts w:hint="eastAsia" w:ascii="楷体_GB2312" w:hAnsi="楷体_GB2312" w:eastAsia="楷体_GB2312" w:cs="楷体_GB2312"/>
          <w:b/>
          <w:bCs/>
          <w:color w:val="auto"/>
          <w:kern w:val="0"/>
          <w:sz w:val="32"/>
          <w:szCs w:val="32"/>
          <w:highlight w:val="none"/>
          <w:shd w:val="clear" w:color="auto" w:fill="FFFFFF"/>
          <w:lang w:val="zh-CN"/>
        </w:rPr>
        <w:t>（二）结果应用情况。</w:t>
      </w:r>
      <w:r>
        <w:rPr>
          <w:rFonts w:hint="eastAsia" w:ascii="仿宋_GB2312" w:hAnsi="仿宋" w:eastAsia="仿宋_GB2312" w:cs="仿宋"/>
          <w:sz w:val="32"/>
          <w:szCs w:val="32"/>
        </w:rPr>
        <w:t>根据《财政厅关于印送2020年省级财政绩效评价报告和做好绩效评价问题整改及结果运用的函》中关于预算绩效管理工作存在的问题，对涉及我厅的财政绩效管理工作问题认真整改落实。同时，严格按照财政厅要求，组织厅机关和厅属事业单位认真开展绩效监控，对2020年预算绩效情况进行深入分析，根据发现的问题，提出相应整改措施及意见建议。将预算绩效结果纳入对内部处室和下级商务主管部门年度工作的考核体系，作为干部选拔任用、公务员考核的重要参考，以考核促履职尽责和干事创业。强化绩效管理监督问责，对绩效监控、绩效评估评价结果弄虚作假，或预算执行与绩效目标严重背离的部门和单位及其责任人，按相关规定和程序进行追责问责，以责任追究促责任落实和工作成效。</w:t>
      </w:r>
    </w:p>
    <w:p>
      <w:pPr>
        <w:widowControl/>
        <w:adjustRightInd w:val="0"/>
        <w:snapToGrid w:val="0"/>
        <w:spacing w:line="580" w:lineRule="exact"/>
        <w:ind w:firstLine="640" w:firstLineChars="200"/>
        <w:contextualSpacing/>
        <w:jc w:val="both"/>
        <w:rPr>
          <w:rFonts w:ascii="黑体" w:hAnsi="宋体" w:eastAsia="黑体" w:cs="宋体"/>
          <w:color w:val="auto"/>
          <w:kern w:val="0"/>
          <w:sz w:val="32"/>
          <w:szCs w:val="32"/>
          <w:highlight w:val="none"/>
          <w:shd w:val="clear" w:color="auto" w:fill="FFFFFF"/>
        </w:rPr>
      </w:pPr>
      <w:bookmarkStart w:id="120" w:name="_Toc1136380378_WPSOffice_Level2"/>
      <w:bookmarkStart w:id="121" w:name="_Toc1899335364_WPSOffice_Level2"/>
      <w:r>
        <w:rPr>
          <w:rFonts w:hint="eastAsia" w:ascii="黑体" w:hAnsi="宋体" w:eastAsia="黑体" w:cs="宋体"/>
          <w:color w:val="auto"/>
          <w:kern w:val="0"/>
          <w:sz w:val="32"/>
          <w:szCs w:val="32"/>
          <w:highlight w:val="none"/>
          <w:shd w:val="clear" w:color="auto" w:fill="FFFFFF"/>
        </w:rPr>
        <w:t>四、评价结论及建议</w:t>
      </w:r>
      <w:bookmarkEnd w:id="120"/>
      <w:bookmarkEnd w:id="121"/>
    </w:p>
    <w:p>
      <w:pPr>
        <w:spacing w:line="560" w:lineRule="exact"/>
        <w:ind w:firstLine="642" w:firstLineChars="200"/>
        <w:jc w:val="both"/>
        <w:rPr>
          <w:rFonts w:ascii="仿宋_GB2312" w:hAnsi="宋体" w:eastAsia="仿宋_GB2312" w:cs="宋体"/>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（一）评价结论。</w:t>
      </w:r>
      <w:r>
        <w:rPr>
          <w:rFonts w:hint="eastAsia" w:ascii="仿宋_GB2312" w:hAnsi="仿宋" w:eastAsia="仿宋_GB2312" w:cs="仿宋"/>
          <w:sz w:val="32"/>
          <w:szCs w:val="32"/>
        </w:rPr>
        <w:t>从预算绩效管理过程管控体系、基础支撑体系、考核监督体系、推进预算改革等方面来看，我厅严格按照财政厅预算绩效管理有关要求，按时、按质编制完成部门预算、科学设置绩效目标，一次性通过绩效目标审查，当年待批复项目预控指标全部细化,及时按照财政厅要求进行绩效监控。节能降耗效果较好，严格执行“三公经费”、政府采购预算，资产管理规范，内控制度健全。及时公开预算和决算、依法接受财政监督，部门职责履行结果很好，服务对象较为满意。商务厅2020年部门整体绩效完成较好，除开专项预算管理50分及自评质量指标10分，商务厅自评得分37分</w:t>
      </w:r>
      <w:r>
        <w:rPr>
          <w:rFonts w:hint="eastAsia" w:ascii="仿宋_GB2312" w:hAnsi="仿宋" w:eastAsia="仿宋_GB2312" w:cs="仿宋"/>
          <w:sz w:val="32"/>
          <w:szCs w:val="32"/>
          <w:lang w:eastAsia="zh-CN"/>
        </w:rPr>
        <w:t>，专项预算管理自评</w:t>
      </w:r>
      <w:r>
        <w:rPr>
          <w:rFonts w:hint="eastAsia" w:ascii="仿宋_GB2312" w:hAnsi="仿宋" w:eastAsia="仿宋_GB2312" w:cs="仿宋"/>
          <w:sz w:val="32"/>
          <w:szCs w:val="32"/>
          <w:lang w:val="en-US" w:eastAsia="zh-CN"/>
        </w:rPr>
        <w:t>48分，总得分85分</w:t>
      </w:r>
      <w:r>
        <w:rPr>
          <w:rFonts w:hint="eastAsia" w:ascii="仿宋_GB2312" w:hAnsi="仿宋" w:eastAsia="仿宋_GB2312" w:cs="仿宋"/>
          <w:sz w:val="32"/>
          <w:szCs w:val="32"/>
        </w:rPr>
        <w:t>。</w:t>
      </w:r>
    </w:p>
    <w:p>
      <w:pPr>
        <w:spacing w:line="560" w:lineRule="exact"/>
        <w:ind w:firstLine="642" w:firstLineChars="200"/>
        <w:jc w:val="both"/>
        <w:rPr>
          <w:rFonts w:ascii="仿宋_GB2312" w:hAnsi="宋体" w:eastAsia="仿宋_GB2312" w:cs="宋体"/>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（二）存在问题。</w:t>
      </w:r>
      <w:r>
        <w:rPr>
          <w:rFonts w:hint="eastAsia" w:ascii="仿宋_GB2312" w:hAnsi="仿宋" w:eastAsia="仿宋_GB2312" w:cs="仿宋"/>
          <w:sz w:val="32"/>
          <w:szCs w:val="32"/>
        </w:rPr>
        <w:t>我厅预算绩效管理基础扎实、资金使用绩效较好，取得一定的成绩，主要得益于厅党组高度重视，把重大资金使用绩效评估纳入厅党组议事决策规则范围，把绩效目标事前评估、事中监控、事后评估纳入资金使用管理的全过程。同时，我厅建立了合理的工作机制，压实目标责任，强化绩效评估结果运用，把资金安排和绩效评估结果相结合，调动各方积极性。但是实际工作中仍存在一定的问题，主要表现在：一是部分项目绩效目标不便于细化和量化，导致绩效目标对支出缺乏刚性约束；二是部分项目临时安排，预算编制准备不充分，对项目需求，预期绩效不明确。三是绩效管理信息化手段落后，难以形成绩效管理大数据、实现精准和有效管控。四是绩效管理人员工作能力不足，对全面实施预算绩效管理认识不充分。</w:t>
      </w:r>
    </w:p>
    <w:p>
      <w:pPr>
        <w:spacing w:line="560" w:lineRule="exact"/>
        <w:ind w:firstLine="642" w:firstLineChars="200"/>
        <w:jc w:val="both"/>
        <w:rPr>
          <w:rFonts w:hint="eastAsia" w:ascii="仿宋_GB2312" w:hAnsi="仿宋" w:eastAsia="仿宋_GB2312" w:cs="仿宋"/>
          <w:sz w:val="32"/>
          <w:szCs w:val="32"/>
        </w:rPr>
      </w:pPr>
      <w:r>
        <w:rPr>
          <w:rFonts w:hint="eastAsia" w:ascii="楷体_GB2312" w:hAnsi="楷体_GB2312" w:eastAsia="楷体_GB2312" w:cs="楷体_GB2312"/>
          <w:b/>
          <w:bCs/>
          <w:color w:val="auto"/>
          <w:kern w:val="0"/>
          <w:sz w:val="32"/>
          <w:szCs w:val="32"/>
          <w:highlight w:val="none"/>
          <w:shd w:val="clear" w:color="auto" w:fill="FFFFFF"/>
          <w:lang w:val="zh-CN"/>
        </w:rPr>
        <w:t>（三）改进建议。</w:t>
      </w:r>
      <w:r>
        <w:rPr>
          <w:rFonts w:hint="eastAsia" w:ascii="仿宋_GB2312" w:hAnsi="仿宋" w:eastAsia="仿宋_GB2312" w:cs="仿宋"/>
          <w:sz w:val="32"/>
          <w:szCs w:val="32"/>
        </w:rPr>
        <w:t>一是成立商务厅预算绩效工作领导小组，厅主要领导任组长、分管财务的厅领导任副组长，其他分管业务的厅领导为成员。建立财务处牵头、相关处室各司其职、各负其责、协作配合的工作机制，着力形成处室联动、上下协同、层层抓落实的预算绩效管理工作格局。二是推进政策和项目自评全覆盖。三是强化绩效目标管理。把绩效目标作为项目实施的前置条件，提高资金使用的合理性和科学性。进一步推进绩效目标的明细化，强化目标编制的完整性和实用性，提高预算绩效目标的编制质量。四是在绩效监控管理方面，按财政要求开展预算执行的动态监控，中期评估、绩效跟踪监控管理等系列工作，对预算执行过程中发现的问题及时查找原因并落实整改，并在次年预算编制和执行时作为经验教训，引以为戒，逐步优化完善。</w:t>
      </w:r>
    </w:p>
    <w:p>
      <w:pPr>
        <w:widowControl/>
        <w:adjustRightInd w:val="0"/>
        <w:snapToGrid w:val="0"/>
        <w:spacing w:line="580" w:lineRule="exact"/>
        <w:ind w:firstLine="640" w:firstLineChars="200"/>
        <w:contextualSpacing/>
        <w:jc w:val="both"/>
        <w:rPr>
          <w:rFonts w:ascii="仿宋_GB2312" w:hAnsi="仿宋_GB2312" w:eastAsia="仿宋_GB2312" w:cs="仿宋_GB2312"/>
          <w:color w:val="auto"/>
          <w:sz w:val="32"/>
          <w:szCs w:val="32"/>
          <w:highlight w:val="none"/>
        </w:rPr>
      </w:pPr>
    </w:p>
    <w:p>
      <w:pPr>
        <w:spacing w:line="580" w:lineRule="exact"/>
        <w:rPr>
          <w:rFonts w:ascii="仿宋_GB2312" w:hAnsi="仿宋_GB2312" w:eastAsia="仿宋_GB2312" w:cs="仿宋_GB2312"/>
          <w:color w:val="auto"/>
          <w:sz w:val="32"/>
          <w:szCs w:val="32"/>
          <w:highlight w:val="none"/>
        </w:rPr>
      </w:pPr>
    </w:p>
    <w:p>
      <w:pPr>
        <w:spacing w:line="580" w:lineRule="exact"/>
        <w:outlineLvl w:val="1"/>
        <w:rPr>
          <w:rFonts w:ascii="仿宋_GB2312" w:hAnsi="仿宋_GB2312" w:eastAsia="仿宋_GB2312" w:cs="仿宋_GB2312"/>
          <w:color w:val="auto"/>
          <w:sz w:val="32"/>
          <w:szCs w:val="32"/>
          <w:highlight w:val="none"/>
        </w:rPr>
      </w:pPr>
      <w:bookmarkStart w:id="122" w:name="_Toc16821"/>
      <w:r>
        <w:rPr>
          <w:rFonts w:hint="eastAsia" w:ascii="黑体" w:hAnsi="黑体" w:eastAsia="黑体" w:cs="黑体"/>
          <w:color w:val="auto"/>
          <w:sz w:val="32"/>
          <w:szCs w:val="32"/>
          <w:highlight w:val="none"/>
        </w:rPr>
        <w:t>附件2</w:t>
      </w:r>
      <w:bookmarkEnd w:id="122"/>
    </w:p>
    <w:p>
      <w:pPr>
        <w:spacing w:line="580" w:lineRule="exact"/>
        <w:ind w:firstLine="640" w:firstLineChars="200"/>
        <w:rPr>
          <w:rFonts w:ascii="仿宋_GB2312" w:hAnsi="仿宋_GB2312" w:eastAsia="仿宋_GB2312" w:cs="仿宋_GB2312"/>
          <w:color w:val="auto"/>
          <w:sz w:val="32"/>
          <w:szCs w:val="32"/>
          <w:highlight w:val="none"/>
        </w:rPr>
      </w:pPr>
    </w:p>
    <w:p>
      <w:pPr>
        <w:spacing w:line="600" w:lineRule="exact"/>
        <w:jc w:val="center"/>
        <w:rPr>
          <w:rFonts w:hint="eastAsia" w:ascii="方正小标宋简体" w:hAnsi="宋体" w:eastAsia="方正小标宋简体" w:cs="Times New Roman"/>
          <w:color w:val="auto"/>
          <w:kern w:val="0"/>
          <w:sz w:val="40"/>
          <w:szCs w:val="44"/>
          <w:highlight w:val="none"/>
          <w:lang w:val="zh-CN"/>
        </w:rPr>
      </w:pPr>
      <w:bookmarkStart w:id="123" w:name="_Toc1712669274_WPSOffice_Level2"/>
      <w:bookmarkStart w:id="124" w:name="_Toc1890724910_WPSOffice_Level2"/>
      <w:r>
        <w:rPr>
          <w:rFonts w:hint="eastAsia" w:ascii="方正小标宋简体" w:hAnsi="宋体" w:eastAsia="方正小标宋简体" w:cs="Times New Roman"/>
          <w:color w:val="auto"/>
          <w:kern w:val="0"/>
          <w:sz w:val="40"/>
          <w:szCs w:val="44"/>
          <w:highlight w:val="none"/>
          <w:lang w:val="zh-CN"/>
        </w:rPr>
        <w:t>202</w:t>
      </w:r>
      <w:r>
        <w:rPr>
          <w:rFonts w:hint="eastAsia" w:ascii="方正小标宋简体" w:hAnsi="宋体" w:eastAsia="方正小标宋简体" w:cs="Times New Roman"/>
          <w:color w:val="auto"/>
          <w:kern w:val="0"/>
          <w:sz w:val="40"/>
          <w:szCs w:val="44"/>
          <w:highlight w:val="none"/>
          <w:lang w:val="en-US" w:eastAsia="zh-CN"/>
        </w:rPr>
        <w:t>0</w:t>
      </w:r>
      <w:r>
        <w:rPr>
          <w:rFonts w:hint="eastAsia" w:ascii="方正小标宋简体" w:hAnsi="宋体" w:eastAsia="方正小标宋简体" w:cs="Times New Roman"/>
          <w:color w:val="auto"/>
          <w:kern w:val="0"/>
          <w:sz w:val="40"/>
          <w:szCs w:val="44"/>
          <w:highlight w:val="none"/>
          <w:lang w:val="zh-CN"/>
        </w:rPr>
        <w:t>年内贸流通服务业发展资金专项预算项目支出绩效自评报告</w:t>
      </w:r>
      <w:bookmarkEnd w:id="123"/>
      <w:bookmarkEnd w:id="124"/>
    </w:p>
    <w:p>
      <w:pPr>
        <w:widowControl/>
        <w:spacing w:line="580" w:lineRule="exact"/>
        <w:ind w:firstLine="2880" w:firstLineChars="900"/>
        <w:contextualSpacing/>
        <w:jc w:val="both"/>
        <w:rPr>
          <w:rFonts w:hint="eastAsia" w:ascii="仿宋_GB2312" w:hAnsi="宋体" w:eastAsia="仿宋_GB2312" w:cs="Times New Roman"/>
          <w:color w:val="auto"/>
          <w:sz w:val="32"/>
          <w:szCs w:val="32"/>
          <w:highlight w:val="none"/>
          <w:shd w:val="clear" w:color="auto" w:fill="FFFFFF"/>
          <w:lang w:val="zh-CN"/>
        </w:rPr>
      </w:pPr>
      <w:r>
        <w:rPr>
          <w:rFonts w:hint="eastAsia" w:ascii="仿宋_GB2312" w:hAnsi="宋体" w:eastAsia="仿宋_GB2312" w:cs="Times New Roman"/>
          <w:color w:val="auto"/>
          <w:sz w:val="32"/>
          <w:szCs w:val="32"/>
          <w:highlight w:val="none"/>
          <w:shd w:val="clear" w:color="auto" w:fill="FFFFFF"/>
          <w:lang w:val="zh-CN"/>
        </w:rPr>
        <w:t>（主管部门自评）</w:t>
      </w:r>
    </w:p>
    <w:p>
      <w:pPr>
        <w:pStyle w:val="2"/>
        <w:rPr>
          <w:rFonts w:hint="eastAsia"/>
          <w:color w:val="auto"/>
          <w:highlight w:val="none"/>
          <w:lang w:val="zh-CN"/>
        </w:rPr>
      </w:pPr>
    </w:p>
    <w:p>
      <w:pPr>
        <w:adjustRightInd w:val="0"/>
        <w:snapToGrid w:val="0"/>
        <w:spacing w:line="600" w:lineRule="exact"/>
        <w:ind w:firstLine="640" w:firstLineChars="200"/>
        <w:rPr>
          <w:rFonts w:ascii="黑体" w:hAnsi="宋体" w:eastAsia="黑体"/>
          <w:color w:val="auto"/>
          <w:sz w:val="32"/>
          <w:szCs w:val="32"/>
          <w:highlight w:val="none"/>
          <w:lang w:val="zh-CN"/>
        </w:rPr>
      </w:pPr>
      <w:bookmarkStart w:id="125" w:name="_Toc392746311_WPSOffice_Level2"/>
      <w:bookmarkStart w:id="126" w:name="_Toc627014028_WPSOffice_Level2"/>
      <w:r>
        <w:rPr>
          <w:rFonts w:hint="eastAsia" w:ascii="黑体" w:hAnsi="宋体" w:eastAsia="黑体"/>
          <w:color w:val="auto"/>
          <w:sz w:val="32"/>
          <w:szCs w:val="32"/>
          <w:highlight w:val="none"/>
        </w:rPr>
        <w:t>一、</w:t>
      </w:r>
      <w:r>
        <w:rPr>
          <w:rFonts w:hint="eastAsia" w:ascii="黑体" w:hAnsi="宋体" w:eastAsia="黑体"/>
          <w:color w:val="auto"/>
          <w:sz w:val="32"/>
          <w:szCs w:val="32"/>
          <w:highlight w:val="none"/>
          <w:lang w:val="zh-CN"/>
        </w:rPr>
        <w:t>项目概况</w:t>
      </w:r>
      <w:bookmarkEnd w:id="125"/>
      <w:bookmarkEnd w:id="126"/>
    </w:p>
    <w:p>
      <w:pPr>
        <w:adjustRightInd w:val="0"/>
        <w:snapToGrid w:val="0"/>
        <w:spacing w:line="600" w:lineRule="exact"/>
        <w:ind w:firstLine="642" w:firstLineChars="200"/>
        <w:rPr>
          <w:rFonts w:ascii="楷体_GB2312" w:hAnsi="宋体" w:eastAsia="楷体_GB2312"/>
          <w:b/>
          <w:color w:val="auto"/>
          <w:sz w:val="32"/>
          <w:szCs w:val="32"/>
          <w:highlight w:val="none"/>
          <w:lang w:val="zh-CN"/>
        </w:rPr>
      </w:pPr>
      <w:r>
        <w:rPr>
          <w:rFonts w:hint="eastAsia" w:ascii="楷体_GB2312" w:hAnsi="宋体" w:eastAsia="楷体_GB2312"/>
          <w:b/>
          <w:color w:val="auto"/>
          <w:sz w:val="32"/>
          <w:szCs w:val="32"/>
          <w:highlight w:val="none"/>
          <w:lang w:val="zh-CN"/>
        </w:rPr>
        <w:t>（一）项目基本情况</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1.四川省商务厅管理职能</w:t>
      </w:r>
      <w:r>
        <w:rPr>
          <w:rFonts w:hint="eastAsia" w:ascii="仿宋_GB2312" w:hAnsi="宋体" w:eastAsia="仿宋_GB2312" w:cs="Times New Roman"/>
          <w:color w:val="auto"/>
          <w:sz w:val="32"/>
          <w:szCs w:val="32"/>
          <w:highlight w:val="none"/>
          <w:lang w:val="en-US" w:eastAsia="zh-CN"/>
        </w:rPr>
        <w:t>。</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根据《中共四川省委四川省人民政府关于印发〈四川省人民政府机构改革方案〉的通知》（川委发〔2018〕26号），四川省商务厅（简称商务厅）作为省政府工作部门，主要职能包括：围绕省委、省政府决策部署负责编制三年滚动支持项目规划和年度重点支持计划;商财政厅提出专项资金安排年度分配方案并按规定程序报批;建立专项资金绩效指标和标准体系;建立项目储备库、评审专家库，对专家、中介机构和项目单位实行负面清单管理;负责组织项目的申报和审查，提供专项资金分配所需的基础材料和数据;提出专项资金项目年度绩效目标报财政厅审核;组织开展专项资金绩效评价;按规定报告资金分配和使用绩效。</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根据《国务院办公厅关于印发完善促进消费体制机制实施方案（2018-2020年）》（国办发〔2018〕93号）、《四川省“十三五”服务业发展规划》（川府发〔2017〕23号）、《四川省促进家政服务员发展行动方案（2017-202</w:t>
      </w:r>
      <w:bookmarkStart w:id="251" w:name="_GoBack"/>
      <w:bookmarkEnd w:id="251"/>
      <w:r>
        <w:rPr>
          <w:rFonts w:hint="default" w:ascii="仿宋_GB2312" w:hAnsi="宋体" w:eastAsia="仿宋_GB2312" w:cs="Times New Roman"/>
          <w:color w:val="auto"/>
          <w:sz w:val="32"/>
          <w:szCs w:val="32"/>
          <w:highlight w:val="none"/>
          <w:lang w:val="en-US" w:eastAsia="zh-CN"/>
        </w:rPr>
        <w:t>0年）》（川办函〔2017〕107号）；以及省委十一届三次全会通过的《中共四川省委关于全面推动高质量发展的决定》等文件制度，省商务厅负责编制三年滚动支持项目规划和年度重点支持计划，提出专项资金安排年度分配方案并按规定报批；负责组织项目的申报和审查；组织开展专项资金绩效评价报告；按规定报告资金分配和使用绩效等项目管理工作。</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2.项目立项、资金申报的依据。</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2020年，为贯彻落实省委十一届三次、四次全会精神，推进“一干多支、五区协同”“四向拓展、全域开放”战略部署，促进内贸服务业发展，加快贸易强省建设，应对疫情缓解中小企业生产经营困难。省商务厅会同省财政厅，按照“集中财力办大事要事”的基本思路和“规划引领、突出重点、体现差异、强化绩效”的原则，以《关于2020年省级商务发展资金预算安排建议的请示》（川商内字〔2020〕43号），安排2020年内贸流通服务业发展资金63030万元，分别支持推动服务业高质量发展、扎实推进商务扶贫、支持开展惠民购车节暨汽车下乡活动、安排其他资金等四个方向。</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3.及时修订和完善了资金管理办法。</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为进一步加强和规范四川省省级内贸发展专项资金管理，推动我省内贸事业加快发展，提高财政资金使用绩效，省商务厅依据《中华人民共和国预算法》和《中共中央国务院关于全面实施预算绩效管理的意见》及时修订并出台了《省级内贸流通服务业发展专项资金管理办法》（川财建〔2019〕357号）文件，进一步明确了资金使用范围和职能职责，按照“集中财力办大事要事”基本思路进行分配管理，强化资金绩效管理和监督。</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4.资金分配的原则及考虑因素。</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根据“川财建〔2019〕357号”，专项资金按照“集中财力办大事要事”的基本思路进行分配管理，充分体现体现“规划引领、突出重点、体现差异、强化绩效”的安排原则，主要采用项目法、因素法和特定法进行分配，项目分配资金时主要依据当年预算规模、支持方向及工作基础等因素，设定权重进行测算及安排资金。采取的因素和权重分别为:财力系数（权重10%)，工作基础（权重15% )，税收系数（权重20%)，服务业增加值(权重20%),社会消费品零售总额增速(权重20% )，绩效考核结果（权重15% )。</w:t>
      </w:r>
    </w:p>
    <w:p>
      <w:pPr>
        <w:adjustRightInd w:val="0"/>
        <w:snapToGrid w:val="0"/>
        <w:spacing w:line="600" w:lineRule="exact"/>
        <w:ind w:firstLine="642" w:firstLineChars="200"/>
        <w:rPr>
          <w:rFonts w:ascii="楷体_GB2312" w:hAnsi="宋体" w:eastAsia="楷体_GB2312"/>
          <w:b/>
          <w:color w:val="auto"/>
          <w:sz w:val="32"/>
          <w:szCs w:val="32"/>
          <w:highlight w:val="none"/>
          <w:lang w:val="zh-CN"/>
        </w:rPr>
      </w:pPr>
      <w:r>
        <w:rPr>
          <w:rFonts w:hint="eastAsia" w:ascii="楷体_GB2312" w:hAnsi="宋体" w:eastAsia="楷体_GB2312"/>
          <w:b/>
          <w:color w:val="auto"/>
          <w:sz w:val="32"/>
          <w:szCs w:val="32"/>
          <w:highlight w:val="none"/>
          <w:lang w:val="zh-CN"/>
        </w:rPr>
        <w:t>（二）项目绩效目标</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1.项目主要内容。</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根据《四川商务厅四川省财政厅关于2020年省级商务发展资金预算安排建议的请示》（川商内字〔2020〕43号）文件，为贯彻落实“四向拓展、全域开放”战略部署，安排2020年内贸流通服务业发展资金63030万元。</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（1）推动服务业高质量发展展安排资金53900万元。</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①培育消费中心城市安排资金30000万元。支持成都建</w:t>
      </w:r>
    </w:p>
    <w:p>
      <w:pPr>
        <w:adjustRightInd w:val="0"/>
        <w:snapToGrid w:val="0"/>
        <w:spacing w:line="600" w:lineRule="exact"/>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设国际消费中心城市，推动德阳、绵阳等9个区域中心城市和成渝地区双城经济圈重要节点城市建设区域性消费中心城市。实施步行街改造提升三年行动计划，支持打造一批省级步行街。省级财政按规定连续3年对每个消费中心城市予以每年最高不超过3000万元的激励。</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②推动服务业集聚集群发展安排资金10000万元。实施现代服务业集聚发展工程，打造现代服务业高质量发展引领示范区，促进现代服务业集聚集群发展。2020年培育10个省级服务业集聚区创新发展示范区，对成功创建的地方政府，省级财政按规定一次性给予1000万元激励。</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③推进服务业强县建设安排资金10000万元。支持有条件的县(区)推动商文旅等产业融合发展，以及支持有条件的县(市、区）推动品质川货电商直播基地等新兴产业、新业态建设。省级财政按规定连续3年每年支持10个服务业强县，每个县不超过1000万元。</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④培育壮大市场主体安排资金3900万元。持续推进服务业“三百工程”建设，对纳入省级重点项目的，按规定享受相关优惠政策和省级招商引资重大项目激励奖补政策。对首次进入“中国服务业企业500强”的省内注册企业，省级财政按规定在相关专项资金中给予最高不超过300万元的一次性激励。支持“4+6重点产业发展、重大项目建设、市场主体和品牌培育。</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（2）扎实推进商务扶贫安排资金1700万元。</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①按照川脱贫发〔2020]8号文件要求,继续支持凉山州2020年计划脱贫的7个深度贫困县开展商贸流通脱贫奔康示范县建设安排资金1400万元，每县200万元。</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②按计划继续支持深度贫困县人才振兴工程，开展305名学生电子商务专业定向培养学历教育安排资金300万元。</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（3）支持开展惠民购车节暨汽车下乡活动安排资金5000万元。</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（4）安排其他资金2430万元。主要用于服务业大会会议经费、服务业统计监测体系建设及设备购置。以财政评审结果据实安排资金。</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2.项目绩效目标申报及审核情况。</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按照《四川省财政厅四川省商务厅关于印发《省级内贸流通服务业发展专项资金管理办法的通知》（川财建〔2019〕357号），专项资金具体绩效目标由各地区商务局负责制定，随立项相关资料报商务厅审批。省商务厅对各地申报项目方案，先行组织材料初审，对初审通过的项目方案提交专家评审，所有经专家评审符合条件的项目进行结果公示，结合专家评分及评审公示结果和年度资金规模会同财政厅提出资金分配建议方案，按规定程序报批后，申请拨付资金。</w:t>
      </w:r>
    </w:p>
    <w:p>
      <w:pPr>
        <w:adjustRightInd w:val="0"/>
        <w:snapToGrid w:val="0"/>
        <w:spacing w:line="600" w:lineRule="exact"/>
        <w:ind w:firstLine="642" w:firstLineChars="200"/>
        <w:rPr>
          <w:rFonts w:ascii="楷体_GB2312" w:hAnsi="宋体" w:eastAsia="楷体_GB2312"/>
          <w:b/>
          <w:color w:val="auto"/>
          <w:sz w:val="32"/>
          <w:szCs w:val="32"/>
          <w:highlight w:val="none"/>
          <w:lang w:val="zh-CN"/>
        </w:rPr>
      </w:pPr>
      <w:r>
        <w:rPr>
          <w:rFonts w:hint="eastAsia" w:ascii="楷体_GB2312" w:hAnsi="宋体" w:eastAsia="楷体_GB2312"/>
          <w:b/>
          <w:color w:val="auto"/>
          <w:sz w:val="32"/>
          <w:szCs w:val="32"/>
          <w:highlight w:val="none"/>
          <w:lang w:val="zh-CN"/>
        </w:rPr>
        <w:t>（三）项目自评步骤及方法</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根据《财政厅关于开展2021年部门、政策和项目支持绩效评价工作的通知》（川财绩〔2021〕6号）的相关要求，我厅组建2020年内贸发展资金专项绩效自评工作小组，按照资料收集汇总、数据提取分析、自评报告撰写三个阶段，科学运用比较法、数据分析法、因素分析法开展部门绩效自评工作。具体步骤如下：</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1.4月6日至4月9日，各地资金执行部门根据专项资金使用情况撰写专项资金执行报告并提交至厅财务处；</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2.4月12日至4月16日自评工作小组核查各地自评报告，提取有效数据，发现可能存在的问题；对专项资金从决策、管理、绩效等三个方面，内部控制和外部影响两个角度进行逻辑分析，建立符合项目实际情况的绩效评价指标体系；</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3.4月19至4月25日对资金使用效益评分，分析、检验项目资金的使用是否实现绩效目标，经过定量和定性分析形成评价结论初稿；</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4.4月26日至4月29日经过集体讨论修改后，形成最终绩效自评报告。</w:t>
      </w:r>
    </w:p>
    <w:p>
      <w:pPr>
        <w:adjustRightInd w:val="0"/>
        <w:snapToGrid w:val="0"/>
        <w:spacing w:line="600" w:lineRule="exact"/>
        <w:ind w:firstLine="640" w:firstLineChars="200"/>
        <w:rPr>
          <w:rFonts w:ascii="黑体" w:hAnsi="宋体" w:eastAsia="黑体"/>
          <w:color w:val="auto"/>
          <w:sz w:val="32"/>
          <w:szCs w:val="32"/>
          <w:highlight w:val="none"/>
        </w:rPr>
      </w:pPr>
      <w:bookmarkStart w:id="127" w:name="_Toc736434781_WPSOffice_Level2"/>
      <w:bookmarkStart w:id="128" w:name="_Toc1659923209_WPSOffice_Level2"/>
      <w:r>
        <w:rPr>
          <w:rFonts w:hint="eastAsia" w:ascii="黑体" w:hAnsi="宋体" w:eastAsia="黑体"/>
          <w:color w:val="auto"/>
          <w:sz w:val="32"/>
          <w:szCs w:val="32"/>
          <w:highlight w:val="none"/>
        </w:rPr>
        <w:t>二、项目资金申报及使用情况</w:t>
      </w:r>
      <w:bookmarkEnd w:id="127"/>
      <w:bookmarkEnd w:id="128"/>
    </w:p>
    <w:p>
      <w:pPr>
        <w:adjustRightInd w:val="0"/>
        <w:snapToGrid w:val="0"/>
        <w:spacing w:line="600" w:lineRule="exact"/>
        <w:ind w:firstLine="642" w:firstLineChars="200"/>
        <w:rPr>
          <w:rFonts w:ascii="楷体_GB2312" w:hAnsi="宋体" w:eastAsia="楷体_GB2312"/>
          <w:b/>
          <w:color w:val="auto"/>
          <w:sz w:val="32"/>
          <w:szCs w:val="32"/>
          <w:highlight w:val="none"/>
          <w:lang w:val="zh-CN"/>
        </w:rPr>
      </w:pPr>
      <w:r>
        <w:rPr>
          <w:rFonts w:hint="eastAsia" w:ascii="楷体_GB2312" w:hAnsi="宋体" w:eastAsia="楷体_GB2312"/>
          <w:b/>
          <w:color w:val="auto"/>
          <w:sz w:val="32"/>
          <w:szCs w:val="32"/>
          <w:highlight w:val="none"/>
          <w:lang w:val="zh-CN"/>
        </w:rPr>
        <w:t>（一）项目资金申报及批复情况</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商务厅为了2020年内贸流通服务业发展促进资金申报，四川省商务厅 四川省财政厅先后发布了《四川省消费中心城市培育方案（2020—2022年）》（川商财〔2020〕83号）、《四川省现代服务业集聚区培育方案( 2020—2022年)》、《四川省服务业强县（市、区)培育方案(2020-2022年)》和《四川省服务业“三百工程”培育方案( 2020-2022年)》（川商财〔2020〕86号）等文件。</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根据《四川商务厅四川省财政厅关于2020年省级商务发展资金预算安排建议的请示》（川商内字〔2020〕43号），我厅共申请安排专项资金63030万元，经云泽副省长同意后安排实施，项目预算数无调整，四川省财政厅分批次下达2020年内贸流通服务业促进发展资金。</w:t>
      </w:r>
    </w:p>
    <w:p>
      <w:pPr>
        <w:adjustRightInd w:val="0"/>
        <w:snapToGrid w:val="0"/>
        <w:spacing w:line="600" w:lineRule="exact"/>
        <w:ind w:firstLine="720"/>
        <w:rPr>
          <w:rFonts w:ascii="仿宋_GB2312" w:hAnsi="宋体" w:eastAsia="仿宋_GB2312"/>
          <w:color w:val="auto"/>
          <w:sz w:val="32"/>
          <w:szCs w:val="32"/>
          <w:highlight w:val="none"/>
          <w:lang w:val="zh-CN"/>
        </w:rPr>
      </w:pPr>
      <w:r>
        <w:rPr>
          <w:rFonts w:hint="eastAsia" w:ascii="楷体_GB2312" w:hAnsi="宋体" w:eastAsia="楷体_GB2312"/>
          <w:b/>
          <w:color w:val="auto"/>
          <w:sz w:val="32"/>
          <w:szCs w:val="32"/>
          <w:highlight w:val="none"/>
          <w:lang w:val="zh-CN"/>
        </w:rPr>
        <w:t>（二）资金计划、到位及使用情况</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2020年内贸流通服务业发展促进资金计划、到位及使用情况如下：</w:t>
      </w:r>
    </w:p>
    <w:p>
      <w:pPr>
        <w:adjustRightInd w:val="0"/>
        <w:snapToGrid w:val="0"/>
        <w:spacing w:line="600" w:lineRule="exact"/>
        <w:ind w:firstLine="720"/>
        <w:jc w:val="both"/>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1.</w:t>
      </w:r>
      <w:r>
        <w:rPr>
          <w:rFonts w:hint="default" w:ascii="仿宋_GB2312" w:hAnsi="宋体" w:eastAsia="仿宋_GB2312" w:cs="Times New Roman"/>
          <w:color w:val="auto"/>
          <w:sz w:val="32"/>
          <w:szCs w:val="32"/>
          <w:highlight w:val="none"/>
          <w:lang w:val="en-US" w:eastAsia="zh-CN"/>
        </w:rPr>
        <w:t>促进内贸流通服务业发展</w:t>
      </w:r>
      <w:r>
        <w:rPr>
          <w:rFonts w:hint="eastAsia" w:ascii="仿宋_GB2312" w:hAnsi="宋体" w:eastAsia="仿宋_GB2312" w:cs="Times New Roman"/>
          <w:color w:val="auto"/>
          <w:sz w:val="32"/>
          <w:szCs w:val="32"/>
          <w:highlight w:val="none"/>
          <w:lang w:val="en-US" w:eastAsia="zh-CN"/>
        </w:rPr>
        <w:t>项目。预算安排</w:t>
      </w:r>
      <w:r>
        <w:rPr>
          <w:rFonts w:hint="default" w:ascii="仿宋_GB2312" w:hAnsi="宋体" w:eastAsia="仿宋_GB2312" w:cs="Times New Roman"/>
          <w:color w:val="auto"/>
          <w:sz w:val="32"/>
          <w:szCs w:val="32"/>
          <w:highlight w:val="none"/>
          <w:lang w:val="en-US" w:eastAsia="zh-CN"/>
        </w:rPr>
        <w:t>63030</w:t>
      </w:r>
      <w:r>
        <w:rPr>
          <w:rFonts w:hint="eastAsia" w:ascii="仿宋_GB2312" w:hAnsi="宋体" w:eastAsia="仿宋_GB2312" w:cs="Times New Roman"/>
          <w:color w:val="auto"/>
          <w:sz w:val="32"/>
          <w:szCs w:val="32"/>
          <w:highlight w:val="none"/>
          <w:lang w:val="en-US" w:eastAsia="zh-CN"/>
        </w:rPr>
        <w:t>万元,已下达资金</w:t>
      </w:r>
      <w:r>
        <w:rPr>
          <w:rFonts w:hint="default" w:ascii="仿宋_GB2312" w:hAnsi="宋体" w:eastAsia="仿宋_GB2312" w:cs="Times New Roman"/>
          <w:color w:val="auto"/>
          <w:sz w:val="32"/>
          <w:szCs w:val="32"/>
          <w:highlight w:val="none"/>
          <w:lang w:val="en-US" w:eastAsia="zh-CN"/>
        </w:rPr>
        <w:t>48455.414</w:t>
      </w:r>
      <w:r>
        <w:rPr>
          <w:rFonts w:hint="eastAsia" w:ascii="仿宋_GB2312" w:hAnsi="宋体" w:eastAsia="仿宋_GB2312" w:cs="Times New Roman"/>
          <w:color w:val="auto"/>
          <w:sz w:val="32"/>
          <w:szCs w:val="32"/>
          <w:highlight w:val="none"/>
          <w:lang w:val="en-US" w:eastAsia="zh-CN"/>
        </w:rPr>
        <w:t>万元,预算执行进度</w:t>
      </w:r>
      <w:r>
        <w:rPr>
          <w:rFonts w:hint="default" w:ascii="仿宋_GB2312" w:hAnsi="宋体" w:eastAsia="仿宋_GB2312" w:cs="Times New Roman"/>
          <w:color w:val="auto"/>
          <w:sz w:val="32"/>
          <w:szCs w:val="32"/>
          <w:highlight w:val="none"/>
          <w:lang w:val="en-US" w:eastAsia="zh-CN"/>
        </w:rPr>
        <w:t>76.88%</w:t>
      </w:r>
      <w:r>
        <w:rPr>
          <w:rFonts w:hint="eastAsia" w:ascii="仿宋_GB2312" w:hAnsi="宋体" w:eastAsia="仿宋_GB2312" w:cs="Times New Roman"/>
          <w:color w:val="auto"/>
          <w:sz w:val="32"/>
          <w:szCs w:val="32"/>
          <w:highlight w:val="none"/>
          <w:lang w:val="en-US" w:eastAsia="zh-CN"/>
        </w:rPr>
        <w:t>,结余</w:t>
      </w:r>
      <w:r>
        <w:rPr>
          <w:rFonts w:hint="default" w:ascii="仿宋_GB2312" w:hAnsi="宋体" w:eastAsia="仿宋_GB2312" w:cs="Times New Roman"/>
          <w:color w:val="auto"/>
          <w:sz w:val="32"/>
          <w:szCs w:val="32"/>
          <w:highlight w:val="none"/>
          <w:lang w:val="en-US" w:eastAsia="zh-CN"/>
        </w:rPr>
        <w:t>14574.586</w:t>
      </w:r>
      <w:r>
        <w:rPr>
          <w:rFonts w:hint="eastAsia" w:ascii="仿宋_GB2312" w:hAnsi="宋体" w:eastAsia="仿宋_GB2312" w:cs="Times New Roman"/>
          <w:color w:val="auto"/>
          <w:sz w:val="32"/>
          <w:szCs w:val="32"/>
          <w:highlight w:val="none"/>
          <w:lang w:val="en-US" w:eastAsia="zh-CN"/>
        </w:rPr>
        <w:t>万元。</w:t>
      </w:r>
    </w:p>
    <w:p>
      <w:pPr>
        <w:adjustRightInd w:val="0"/>
        <w:snapToGrid w:val="0"/>
        <w:spacing w:line="600" w:lineRule="exact"/>
        <w:ind w:firstLine="720"/>
        <w:jc w:val="both"/>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2</w:t>
      </w:r>
      <w:r>
        <w:rPr>
          <w:rFonts w:hint="default" w:ascii="仿宋_GB2312" w:hAnsi="宋体" w:eastAsia="仿宋_GB2312" w:cs="Times New Roman"/>
          <w:color w:val="auto"/>
          <w:sz w:val="32"/>
          <w:szCs w:val="32"/>
          <w:highlight w:val="none"/>
          <w:lang w:val="en-US" w:eastAsia="zh-CN"/>
        </w:rPr>
        <w:t>.推动服务业高质量发展</w:t>
      </w:r>
      <w:r>
        <w:rPr>
          <w:rFonts w:hint="eastAsia" w:ascii="仿宋_GB2312" w:hAnsi="宋体" w:eastAsia="仿宋_GB2312" w:cs="Times New Roman"/>
          <w:color w:val="auto"/>
          <w:sz w:val="32"/>
          <w:szCs w:val="32"/>
          <w:highlight w:val="none"/>
          <w:lang w:val="en-US" w:eastAsia="zh-CN"/>
        </w:rPr>
        <w:t>项目。预算安排</w:t>
      </w:r>
      <w:r>
        <w:rPr>
          <w:rFonts w:hint="default" w:ascii="仿宋_GB2312" w:hAnsi="宋体" w:eastAsia="仿宋_GB2312" w:cs="Times New Roman"/>
          <w:color w:val="auto"/>
          <w:sz w:val="32"/>
          <w:szCs w:val="32"/>
          <w:highlight w:val="none"/>
          <w:lang w:val="en-US" w:eastAsia="zh-CN"/>
        </w:rPr>
        <w:t>53900</w:t>
      </w:r>
      <w:r>
        <w:rPr>
          <w:rFonts w:hint="eastAsia" w:ascii="仿宋_GB2312" w:hAnsi="宋体" w:eastAsia="仿宋_GB2312" w:cs="Times New Roman"/>
          <w:color w:val="auto"/>
          <w:sz w:val="32"/>
          <w:szCs w:val="32"/>
          <w:highlight w:val="none"/>
          <w:lang w:val="en-US" w:eastAsia="zh-CN"/>
        </w:rPr>
        <w:t>万元，已下达资金</w:t>
      </w:r>
      <w:r>
        <w:rPr>
          <w:rFonts w:hint="default" w:ascii="仿宋_GB2312" w:hAnsi="宋体" w:eastAsia="仿宋_GB2312" w:cs="Times New Roman"/>
          <w:color w:val="auto"/>
          <w:sz w:val="32"/>
          <w:szCs w:val="32"/>
          <w:highlight w:val="none"/>
          <w:lang w:val="en-US" w:eastAsia="zh-CN"/>
        </w:rPr>
        <w:t>44500</w:t>
      </w:r>
      <w:r>
        <w:rPr>
          <w:rFonts w:hint="eastAsia" w:ascii="仿宋_GB2312" w:hAnsi="宋体" w:eastAsia="仿宋_GB2312" w:cs="Times New Roman"/>
          <w:color w:val="auto"/>
          <w:sz w:val="32"/>
          <w:szCs w:val="32"/>
          <w:highlight w:val="none"/>
          <w:lang w:val="en-US" w:eastAsia="zh-CN"/>
        </w:rPr>
        <w:t>万元，预算执行进度</w:t>
      </w:r>
      <w:r>
        <w:rPr>
          <w:rFonts w:hint="default" w:ascii="仿宋_GB2312" w:hAnsi="宋体" w:eastAsia="仿宋_GB2312" w:cs="Times New Roman"/>
          <w:color w:val="auto"/>
          <w:sz w:val="32"/>
          <w:szCs w:val="32"/>
          <w:highlight w:val="none"/>
          <w:lang w:val="en-US" w:eastAsia="zh-CN"/>
        </w:rPr>
        <w:t>82.56%</w:t>
      </w:r>
      <w:r>
        <w:rPr>
          <w:rFonts w:hint="eastAsia" w:ascii="仿宋_GB2312" w:hAnsi="宋体" w:eastAsia="仿宋_GB2312" w:cs="Times New Roman"/>
          <w:color w:val="auto"/>
          <w:sz w:val="32"/>
          <w:szCs w:val="32"/>
          <w:highlight w:val="none"/>
          <w:lang w:val="en-US" w:eastAsia="zh-CN"/>
        </w:rPr>
        <w:t>，结余</w:t>
      </w:r>
      <w:r>
        <w:rPr>
          <w:rFonts w:hint="default" w:ascii="仿宋_GB2312" w:hAnsi="宋体" w:eastAsia="仿宋_GB2312" w:cs="Times New Roman"/>
          <w:color w:val="auto"/>
          <w:sz w:val="32"/>
          <w:szCs w:val="32"/>
          <w:highlight w:val="none"/>
          <w:lang w:val="en-US" w:eastAsia="zh-CN"/>
        </w:rPr>
        <w:t>9400</w:t>
      </w:r>
      <w:r>
        <w:rPr>
          <w:rFonts w:hint="eastAsia" w:ascii="仿宋_GB2312" w:hAnsi="宋体" w:eastAsia="仿宋_GB2312" w:cs="Times New Roman"/>
          <w:color w:val="auto"/>
          <w:sz w:val="32"/>
          <w:szCs w:val="32"/>
          <w:highlight w:val="none"/>
          <w:lang w:val="en-US" w:eastAsia="zh-CN"/>
        </w:rPr>
        <w:t>万元。</w:t>
      </w:r>
    </w:p>
    <w:p>
      <w:pPr>
        <w:adjustRightInd w:val="0"/>
        <w:snapToGrid w:val="0"/>
        <w:spacing w:line="600" w:lineRule="exact"/>
        <w:ind w:firstLine="640" w:firstLineChars="200"/>
        <w:jc w:val="both"/>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（1）</w:t>
      </w:r>
      <w:r>
        <w:rPr>
          <w:rFonts w:hint="default" w:ascii="仿宋_GB2312" w:hAnsi="宋体" w:eastAsia="仿宋_GB2312" w:cs="Times New Roman"/>
          <w:color w:val="auto"/>
          <w:sz w:val="32"/>
          <w:szCs w:val="32"/>
          <w:highlight w:val="none"/>
          <w:lang w:val="en-US" w:eastAsia="zh-CN"/>
        </w:rPr>
        <w:t>培育消费中心城市</w:t>
      </w:r>
      <w:r>
        <w:rPr>
          <w:rFonts w:hint="eastAsia" w:ascii="仿宋_GB2312" w:hAnsi="宋体" w:eastAsia="仿宋_GB2312" w:cs="Times New Roman"/>
          <w:color w:val="auto"/>
          <w:sz w:val="32"/>
          <w:szCs w:val="32"/>
          <w:highlight w:val="none"/>
          <w:lang w:val="en-US" w:eastAsia="zh-CN"/>
        </w:rPr>
        <w:t>项目。预算安排</w:t>
      </w:r>
      <w:r>
        <w:rPr>
          <w:rFonts w:hint="default" w:ascii="仿宋_GB2312" w:hAnsi="宋体" w:eastAsia="仿宋_GB2312" w:cs="Times New Roman"/>
          <w:color w:val="auto"/>
          <w:sz w:val="32"/>
          <w:szCs w:val="32"/>
          <w:highlight w:val="none"/>
          <w:lang w:val="en-US" w:eastAsia="zh-CN"/>
        </w:rPr>
        <w:t>30000</w:t>
      </w:r>
      <w:r>
        <w:rPr>
          <w:rFonts w:hint="eastAsia" w:ascii="仿宋_GB2312" w:hAnsi="宋体" w:eastAsia="仿宋_GB2312" w:cs="Times New Roman"/>
          <w:color w:val="auto"/>
          <w:sz w:val="32"/>
          <w:szCs w:val="32"/>
          <w:highlight w:val="none"/>
          <w:lang w:val="en-US" w:eastAsia="zh-CN"/>
        </w:rPr>
        <w:t>万元，已下达资金</w:t>
      </w:r>
      <w:r>
        <w:rPr>
          <w:rFonts w:hint="default" w:ascii="仿宋_GB2312" w:hAnsi="宋体" w:eastAsia="仿宋_GB2312" w:cs="Times New Roman"/>
          <w:color w:val="auto"/>
          <w:sz w:val="32"/>
          <w:szCs w:val="32"/>
          <w:highlight w:val="none"/>
          <w:lang w:val="en-US" w:eastAsia="zh-CN"/>
        </w:rPr>
        <w:t>24500</w:t>
      </w:r>
      <w:r>
        <w:rPr>
          <w:rFonts w:hint="eastAsia" w:ascii="仿宋_GB2312" w:hAnsi="宋体" w:eastAsia="仿宋_GB2312" w:cs="Times New Roman"/>
          <w:color w:val="auto"/>
          <w:sz w:val="32"/>
          <w:szCs w:val="32"/>
          <w:highlight w:val="none"/>
          <w:lang w:val="en-US" w:eastAsia="zh-CN"/>
        </w:rPr>
        <w:t>万元，预算执行进度</w:t>
      </w:r>
      <w:r>
        <w:rPr>
          <w:rFonts w:hint="default" w:ascii="仿宋_GB2312" w:hAnsi="宋体" w:eastAsia="仿宋_GB2312" w:cs="Times New Roman"/>
          <w:color w:val="auto"/>
          <w:sz w:val="32"/>
          <w:szCs w:val="32"/>
          <w:highlight w:val="none"/>
          <w:lang w:val="en-US" w:eastAsia="zh-CN"/>
        </w:rPr>
        <w:tab/>
      </w:r>
      <w:r>
        <w:rPr>
          <w:rFonts w:hint="default" w:ascii="仿宋_GB2312" w:hAnsi="宋体" w:eastAsia="仿宋_GB2312" w:cs="Times New Roman"/>
          <w:color w:val="auto"/>
          <w:sz w:val="32"/>
          <w:szCs w:val="32"/>
          <w:highlight w:val="none"/>
          <w:lang w:val="en-US" w:eastAsia="zh-CN"/>
        </w:rPr>
        <w:t>81.67%</w:t>
      </w:r>
      <w:r>
        <w:rPr>
          <w:rFonts w:hint="eastAsia" w:ascii="仿宋_GB2312" w:hAnsi="宋体" w:eastAsia="仿宋_GB2312" w:cs="Times New Roman"/>
          <w:color w:val="auto"/>
          <w:sz w:val="32"/>
          <w:szCs w:val="32"/>
          <w:highlight w:val="none"/>
          <w:lang w:val="en-US" w:eastAsia="zh-CN"/>
        </w:rPr>
        <w:t>，结余</w:t>
      </w:r>
      <w:r>
        <w:rPr>
          <w:rFonts w:hint="default" w:ascii="仿宋_GB2312" w:hAnsi="宋体" w:eastAsia="仿宋_GB2312" w:cs="Times New Roman"/>
          <w:color w:val="auto"/>
          <w:sz w:val="32"/>
          <w:szCs w:val="32"/>
          <w:highlight w:val="none"/>
          <w:lang w:val="en-US" w:eastAsia="zh-CN"/>
        </w:rPr>
        <w:t>5500</w:t>
      </w:r>
      <w:r>
        <w:rPr>
          <w:rFonts w:hint="eastAsia" w:ascii="仿宋_GB2312" w:hAnsi="宋体" w:eastAsia="仿宋_GB2312" w:cs="Times New Roman"/>
          <w:color w:val="auto"/>
          <w:sz w:val="32"/>
          <w:szCs w:val="32"/>
          <w:highlight w:val="none"/>
          <w:lang w:val="en-US" w:eastAsia="zh-CN"/>
        </w:rPr>
        <w:t>万元。</w:t>
      </w:r>
      <w:r>
        <w:rPr>
          <w:rFonts w:hint="default" w:ascii="仿宋_GB2312" w:hAnsi="宋体" w:eastAsia="仿宋_GB2312" w:cs="Times New Roman"/>
          <w:color w:val="auto"/>
          <w:sz w:val="32"/>
          <w:szCs w:val="32"/>
          <w:highlight w:val="none"/>
          <w:lang w:val="en-US" w:eastAsia="zh-CN"/>
        </w:rPr>
        <w:t xml:space="preserve"> </w:t>
      </w:r>
    </w:p>
    <w:p>
      <w:pPr>
        <w:adjustRightInd w:val="0"/>
        <w:snapToGrid w:val="0"/>
        <w:spacing w:line="600" w:lineRule="exact"/>
        <w:ind w:firstLine="640" w:firstLineChars="200"/>
        <w:jc w:val="both"/>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（2）</w:t>
      </w:r>
      <w:r>
        <w:rPr>
          <w:rFonts w:hint="default" w:ascii="仿宋_GB2312" w:hAnsi="宋体" w:eastAsia="仿宋_GB2312" w:cs="Times New Roman"/>
          <w:color w:val="auto"/>
          <w:sz w:val="32"/>
          <w:szCs w:val="32"/>
          <w:highlight w:val="none"/>
          <w:lang w:val="en-US" w:eastAsia="zh-CN"/>
        </w:rPr>
        <w:t>推动服务业集聚集群发展</w:t>
      </w:r>
      <w:r>
        <w:rPr>
          <w:rFonts w:hint="eastAsia" w:ascii="仿宋_GB2312" w:hAnsi="宋体" w:eastAsia="仿宋_GB2312" w:cs="Times New Roman"/>
          <w:color w:val="auto"/>
          <w:sz w:val="32"/>
          <w:szCs w:val="32"/>
          <w:highlight w:val="none"/>
          <w:lang w:val="en-US" w:eastAsia="zh-CN"/>
        </w:rPr>
        <w:t>项目。预算安排</w:t>
      </w:r>
      <w:r>
        <w:rPr>
          <w:rFonts w:hint="default" w:ascii="仿宋_GB2312" w:hAnsi="宋体" w:eastAsia="仿宋_GB2312" w:cs="Times New Roman"/>
          <w:color w:val="auto"/>
          <w:sz w:val="32"/>
          <w:szCs w:val="32"/>
          <w:highlight w:val="none"/>
          <w:lang w:val="en-US" w:eastAsia="zh-CN"/>
        </w:rPr>
        <w:t>10000</w:t>
      </w:r>
      <w:r>
        <w:rPr>
          <w:rFonts w:hint="eastAsia" w:ascii="仿宋_GB2312" w:hAnsi="宋体" w:eastAsia="仿宋_GB2312" w:cs="Times New Roman"/>
          <w:color w:val="auto"/>
          <w:sz w:val="32"/>
          <w:szCs w:val="32"/>
          <w:highlight w:val="none"/>
          <w:lang w:val="en-US" w:eastAsia="zh-CN"/>
        </w:rPr>
        <w:t>万元，已下达资金</w:t>
      </w:r>
      <w:r>
        <w:rPr>
          <w:rFonts w:hint="default" w:ascii="仿宋_GB2312" w:hAnsi="宋体" w:eastAsia="仿宋_GB2312" w:cs="Times New Roman"/>
          <w:color w:val="auto"/>
          <w:sz w:val="32"/>
          <w:szCs w:val="32"/>
          <w:highlight w:val="none"/>
          <w:lang w:val="en-US" w:eastAsia="zh-CN"/>
        </w:rPr>
        <w:t>10000</w:t>
      </w:r>
      <w:r>
        <w:rPr>
          <w:rFonts w:hint="eastAsia" w:ascii="仿宋_GB2312" w:hAnsi="宋体" w:eastAsia="仿宋_GB2312" w:cs="Times New Roman"/>
          <w:color w:val="auto"/>
          <w:sz w:val="32"/>
          <w:szCs w:val="32"/>
          <w:highlight w:val="none"/>
          <w:lang w:val="en-US" w:eastAsia="zh-CN"/>
        </w:rPr>
        <w:t>万元，预算执行进度</w:t>
      </w:r>
      <w:r>
        <w:rPr>
          <w:rFonts w:hint="default" w:ascii="仿宋_GB2312" w:hAnsi="宋体" w:eastAsia="仿宋_GB2312" w:cs="Times New Roman"/>
          <w:color w:val="auto"/>
          <w:sz w:val="32"/>
          <w:szCs w:val="32"/>
          <w:highlight w:val="none"/>
          <w:lang w:val="en-US" w:eastAsia="zh-CN"/>
        </w:rPr>
        <w:t>100%</w:t>
      </w:r>
      <w:r>
        <w:rPr>
          <w:rFonts w:hint="eastAsia" w:ascii="仿宋_GB2312" w:hAnsi="宋体" w:eastAsia="仿宋_GB2312" w:cs="Times New Roman"/>
          <w:color w:val="auto"/>
          <w:sz w:val="32"/>
          <w:szCs w:val="32"/>
          <w:highlight w:val="none"/>
          <w:lang w:val="en-US" w:eastAsia="zh-CN"/>
        </w:rPr>
        <w:t>，结余</w:t>
      </w:r>
      <w:r>
        <w:rPr>
          <w:rFonts w:hint="default" w:ascii="仿宋_GB2312" w:hAnsi="宋体" w:eastAsia="仿宋_GB2312" w:cs="Times New Roman"/>
          <w:color w:val="auto"/>
          <w:sz w:val="32"/>
          <w:szCs w:val="32"/>
          <w:highlight w:val="none"/>
          <w:lang w:val="en-US" w:eastAsia="zh-CN"/>
        </w:rPr>
        <w:t>0</w:t>
      </w:r>
      <w:r>
        <w:rPr>
          <w:rFonts w:hint="eastAsia" w:ascii="仿宋_GB2312" w:hAnsi="宋体" w:eastAsia="仿宋_GB2312" w:cs="Times New Roman"/>
          <w:color w:val="auto"/>
          <w:sz w:val="32"/>
          <w:szCs w:val="32"/>
          <w:highlight w:val="none"/>
          <w:lang w:val="en-US" w:eastAsia="zh-CN"/>
        </w:rPr>
        <w:t>万元。</w:t>
      </w:r>
      <w:r>
        <w:rPr>
          <w:rFonts w:hint="default" w:ascii="仿宋_GB2312" w:hAnsi="宋体" w:eastAsia="仿宋_GB2312" w:cs="Times New Roman"/>
          <w:color w:val="auto"/>
          <w:sz w:val="32"/>
          <w:szCs w:val="32"/>
          <w:highlight w:val="none"/>
          <w:lang w:val="en-US" w:eastAsia="zh-CN"/>
        </w:rPr>
        <w:t xml:space="preserve"> </w:t>
      </w:r>
    </w:p>
    <w:p>
      <w:pPr>
        <w:adjustRightInd w:val="0"/>
        <w:snapToGrid w:val="0"/>
        <w:spacing w:line="600" w:lineRule="exact"/>
        <w:ind w:firstLine="640" w:firstLineChars="200"/>
        <w:jc w:val="both"/>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（3）</w:t>
      </w:r>
      <w:r>
        <w:rPr>
          <w:rFonts w:hint="default" w:ascii="仿宋_GB2312" w:hAnsi="宋体" w:eastAsia="仿宋_GB2312" w:cs="Times New Roman"/>
          <w:color w:val="auto"/>
          <w:sz w:val="32"/>
          <w:szCs w:val="32"/>
          <w:highlight w:val="none"/>
          <w:lang w:val="en-US" w:eastAsia="zh-CN"/>
        </w:rPr>
        <w:t>推进服务业强县建设</w:t>
      </w:r>
      <w:r>
        <w:rPr>
          <w:rFonts w:hint="eastAsia" w:ascii="仿宋_GB2312" w:hAnsi="宋体" w:eastAsia="仿宋_GB2312" w:cs="Times New Roman"/>
          <w:color w:val="auto"/>
          <w:sz w:val="32"/>
          <w:szCs w:val="32"/>
          <w:highlight w:val="none"/>
          <w:lang w:val="en-US" w:eastAsia="zh-CN"/>
        </w:rPr>
        <w:t>项目。预算安排</w:t>
      </w:r>
      <w:r>
        <w:rPr>
          <w:rFonts w:hint="default" w:ascii="仿宋_GB2312" w:hAnsi="宋体" w:eastAsia="仿宋_GB2312" w:cs="Times New Roman"/>
          <w:color w:val="auto"/>
          <w:sz w:val="32"/>
          <w:szCs w:val="32"/>
          <w:highlight w:val="none"/>
          <w:lang w:val="en-US" w:eastAsia="zh-CN"/>
        </w:rPr>
        <w:t>10000</w:t>
      </w:r>
      <w:r>
        <w:rPr>
          <w:rFonts w:hint="eastAsia" w:ascii="仿宋_GB2312" w:hAnsi="宋体" w:eastAsia="仿宋_GB2312" w:cs="Times New Roman"/>
          <w:color w:val="auto"/>
          <w:sz w:val="32"/>
          <w:szCs w:val="32"/>
          <w:highlight w:val="none"/>
          <w:lang w:val="en-US" w:eastAsia="zh-CN"/>
        </w:rPr>
        <w:t>万元，已下达资金</w:t>
      </w:r>
      <w:r>
        <w:rPr>
          <w:rFonts w:hint="default" w:ascii="仿宋_GB2312" w:hAnsi="宋体" w:eastAsia="仿宋_GB2312" w:cs="Times New Roman"/>
          <w:color w:val="auto"/>
          <w:sz w:val="32"/>
          <w:szCs w:val="32"/>
          <w:highlight w:val="none"/>
          <w:lang w:val="en-US" w:eastAsia="zh-CN"/>
        </w:rPr>
        <w:t>10000</w:t>
      </w:r>
      <w:r>
        <w:rPr>
          <w:rFonts w:hint="eastAsia" w:ascii="仿宋_GB2312" w:hAnsi="宋体" w:eastAsia="仿宋_GB2312" w:cs="Times New Roman"/>
          <w:color w:val="auto"/>
          <w:sz w:val="32"/>
          <w:szCs w:val="32"/>
          <w:highlight w:val="none"/>
          <w:lang w:val="en-US" w:eastAsia="zh-CN"/>
        </w:rPr>
        <w:t>万元，预算执行进度</w:t>
      </w:r>
      <w:r>
        <w:rPr>
          <w:rFonts w:hint="default" w:ascii="仿宋_GB2312" w:hAnsi="宋体" w:eastAsia="仿宋_GB2312" w:cs="Times New Roman"/>
          <w:color w:val="auto"/>
          <w:sz w:val="32"/>
          <w:szCs w:val="32"/>
          <w:highlight w:val="none"/>
          <w:lang w:val="en-US" w:eastAsia="zh-CN"/>
        </w:rPr>
        <w:tab/>
      </w:r>
      <w:r>
        <w:rPr>
          <w:rFonts w:hint="default" w:ascii="仿宋_GB2312" w:hAnsi="宋体" w:eastAsia="仿宋_GB2312" w:cs="Times New Roman"/>
          <w:color w:val="auto"/>
          <w:sz w:val="32"/>
          <w:szCs w:val="32"/>
          <w:highlight w:val="none"/>
          <w:lang w:val="en-US" w:eastAsia="zh-CN"/>
        </w:rPr>
        <w:t>100%</w:t>
      </w:r>
      <w:r>
        <w:rPr>
          <w:rFonts w:hint="eastAsia" w:ascii="仿宋_GB2312" w:hAnsi="宋体" w:eastAsia="仿宋_GB2312" w:cs="Times New Roman"/>
          <w:color w:val="auto"/>
          <w:sz w:val="32"/>
          <w:szCs w:val="32"/>
          <w:highlight w:val="none"/>
          <w:lang w:val="en-US" w:eastAsia="zh-CN"/>
        </w:rPr>
        <w:t>，结余</w:t>
      </w:r>
      <w:r>
        <w:rPr>
          <w:rFonts w:hint="default" w:ascii="仿宋_GB2312" w:hAnsi="宋体" w:eastAsia="仿宋_GB2312" w:cs="Times New Roman"/>
          <w:color w:val="auto"/>
          <w:sz w:val="32"/>
          <w:szCs w:val="32"/>
          <w:highlight w:val="none"/>
          <w:lang w:val="en-US" w:eastAsia="zh-CN"/>
        </w:rPr>
        <w:tab/>
      </w:r>
      <w:r>
        <w:rPr>
          <w:rFonts w:hint="eastAsia" w:ascii="仿宋_GB2312" w:hAnsi="宋体" w:eastAsia="仿宋_GB2312" w:cs="Times New Roman"/>
          <w:color w:val="auto"/>
          <w:sz w:val="32"/>
          <w:szCs w:val="32"/>
          <w:highlight w:val="none"/>
          <w:lang w:val="en-US" w:eastAsia="zh-CN"/>
        </w:rPr>
        <w:t>0万元。</w:t>
      </w:r>
      <w:r>
        <w:rPr>
          <w:rFonts w:hint="default" w:ascii="仿宋_GB2312" w:hAnsi="宋体" w:eastAsia="仿宋_GB2312" w:cs="Times New Roman"/>
          <w:color w:val="auto"/>
          <w:sz w:val="32"/>
          <w:szCs w:val="32"/>
          <w:highlight w:val="none"/>
          <w:lang w:val="en-US" w:eastAsia="zh-CN"/>
        </w:rPr>
        <w:t xml:space="preserve"> </w:t>
      </w:r>
    </w:p>
    <w:p>
      <w:pPr>
        <w:adjustRightInd w:val="0"/>
        <w:snapToGrid w:val="0"/>
        <w:spacing w:line="600" w:lineRule="exact"/>
        <w:ind w:firstLine="640" w:firstLineChars="200"/>
        <w:jc w:val="both"/>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（4）</w:t>
      </w:r>
      <w:r>
        <w:rPr>
          <w:rFonts w:hint="default" w:ascii="仿宋_GB2312" w:hAnsi="宋体" w:eastAsia="仿宋_GB2312" w:cs="Times New Roman"/>
          <w:color w:val="auto"/>
          <w:sz w:val="32"/>
          <w:szCs w:val="32"/>
          <w:highlight w:val="none"/>
          <w:lang w:val="en-US" w:eastAsia="zh-CN"/>
        </w:rPr>
        <w:t>培育壮大市场主体</w:t>
      </w:r>
      <w:r>
        <w:rPr>
          <w:rFonts w:hint="eastAsia" w:ascii="仿宋_GB2312" w:hAnsi="宋体" w:eastAsia="仿宋_GB2312" w:cs="Times New Roman"/>
          <w:color w:val="auto"/>
          <w:sz w:val="32"/>
          <w:szCs w:val="32"/>
          <w:highlight w:val="none"/>
          <w:lang w:val="en-US" w:eastAsia="zh-CN"/>
        </w:rPr>
        <w:t>项目。预算安排</w:t>
      </w:r>
      <w:r>
        <w:rPr>
          <w:rFonts w:hint="default" w:ascii="仿宋_GB2312" w:hAnsi="宋体" w:eastAsia="仿宋_GB2312" w:cs="Times New Roman"/>
          <w:color w:val="auto"/>
          <w:sz w:val="32"/>
          <w:szCs w:val="32"/>
          <w:highlight w:val="none"/>
          <w:lang w:val="en-US" w:eastAsia="zh-CN"/>
        </w:rPr>
        <w:t>3900</w:t>
      </w:r>
      <w:r>
        <w:rPr>
          <w:rFonts w:hint="eastAsia" w:ascii="仿宋_GB2312" w:hAnsi="宋体" w:eastAsia="仿宋_GB2312" w:cs="Times New Roman"/>
          <w:color w:val="auto"/>
          <w:sz w:val="32"/>
          <w:szCs w:val="32"/>
          <w:highlight w:val="none"/>
          <w:lang w:val="en-US" w:eastAsia="zh-CN"/>
        </w:rPr>
        <w:t>万元，已下达资金</w:t>
      </w:r>
      <w:r>
        <w:rPr>
          <w:rFonts w:hint="default" w:ascii="仿宋_GB2312" w:hAnsi="宋体" w:eastAsia="仿宋_GB2312" w:cs="Times New Roman"/>
          <w:color w:val="auto"/>
          <w:sz w:val="32"/>
          <w:szCs w:val="32"/>
          <w:highlight w:val="none"/>
          <w:lang w:val="en-US" w:eastAsia="zh-CN"/>
        </w:rPr>
        <w:t>0</w:t>
      </w:r>
      <w:r>
        <w:rPr>
          <w:rFonts w:hint="eastAsia" w:ascii="仿宋_GB2312" w:hAnsi="宋体" w:eastAsia="仿宋_GB2312" w:cs="Times New Roman"/>
          <w:color w:val="auto"/>
          <w:sz w:val="32"/>
          <w:szCs w:val="32"/>
          <w:highlight w:val="none"/>
          <w:lang w:val="en-US" w:eastAsia="zh-CN"/>
        </w:rPr>
        <w:t>万元，预算执行进度</w:t>
      </w:r>
      <w:r>
        <w:rPr>
          <w:rFonts w:hint="default" w:ascii="仿宋_GB2312" w:hAnsi="宋体" w:eastAsia="仿宋_GB2312" w:cs="Times New Roman"/>
          <w:color w:val="auto"/>
          <w:sz w:val="32"/>
          <w:szCs w:val="32"/>
          <w:highlight w:val="none"/>
          <w:lang w:val="en-US" w:eastAsia="zh-CN"/>
        </w:rPr>
        <w:t>0%</w:t>
      </w:r>
      <w:r>
        <w:rPr>
          <w:rFonts w:hint="eastAsia" w:ascii="仿宋_GB2312" w:hAnsi="宋体" w:eastAsia="仿宋_GB2312" w:cs="Times New Roman"/>
          <w:color w:val="auto"/>
          <w:sz w:val="32"/>
          <w:szCs w:val="32"/>
          <w:highlight w:val="none"/>
          <w:lang w:val="en-US" w:eastAsia="zh-CN"/>
        </w:rPr>
        <w:t>，结余</w:t>
      </w:r>
      <w:r>
        <w:rPr>
          <w:rFonts w:hint="default" w:ascii="仿宋_GB2312" w:hAnsi="宋体" w:eastAsia="仿宋_GB2312" w:cs="Times New Roman"/>
          <w:color w:val="auto"/>
          <w:sz w:val="32"/>
          <w:szCs w:val="32"/>
          <w:highlight w:val="none"/>
          <w:lang w:val="en-US" w:eastAsia="zh-CN"/>
        </w:rPr>
        <w:t>3900</w:t>
      </w:r>
      <w:r>
        <w:rPr>
          <w:rFonts w:hint="eastAsia" w:ascii="仿宋_GB2312" w:hAnsi="宋体" w:eastAsia="仿宋_GB2312" w:cs="Times New Roman"/>
          <w:color w:val="auto"/>
          <w:sz w:val="32"/>
          <w:szCs w:val="32"/>
          <w:highlight w:val="none"/>
          <w:lang w:val="en-US" w:eastAsia="zh-CN"/>
        </w:rPr>
        <w:t>万元。</w:t>
      </w:r>
    </w:p>
    <w:p>
      <w:pPr>
        <w:adjustRightInd w:val="0"/>
        <w:snapToGrid w:val="0"/>
        <w:spacing w:line="600" w:lineRule="exact"/>
        <w:ind w:firstLine="640" w:firstLineChars="200"/>
        <w:jc w:val="both"/>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3</w:t>
      </w:r>
      <w:r>
        <w:rPr>
          <w:rFonts w:hint="default" w:ascii="仿宋_GB2312" w:hAnsi="宋体" w:eastAsia="仿宋_GB2312" w:cs="Times New Roman"/>
          <w:color w:val="auto"/>
          <w:sz w:val="32"/>
          <w:szCs w:val="32"/>
          <w:highlight w:val="none"/>
          <w:lang w:val="en-US" w:eastAsia="zh-CN"/>
        </w:rPr>
        <w:t>.扎实推进商务扶贫</w:t>
      </w:r>
      <w:r>
        <w:rPr>
          <w:rFonts w:hint="eastAsia" w:ascii="仿宋_GB2312" w:hAnsi="宋体" w:eastAsia="仿宋_GB2312" w:cs="Times New Roman"/>
          <w:color w:val="auto"/>
          <w:sz w:val="32"/>
          <w:szCs w:val="32"/>
          <w:highlight w:val="none"/>
          <w:lang w:val="en-US" w:eastAsia="zh-CN"/>
        </w:rPr>
        <w:t>项目。预算安排</w:t>
      </w:r>
      <w:r>
        <w:rPr>
          <w:rFonts w:hint="default" w:ascii="仿宋_GB2312" w:hAnsi="宋体" w:eastAsia="仿宋_GB2312" w:cs="Times New Roman"/>
          <w:color w:val="auto"/>
          <w:sz w:val="32"/>
          <w:szCs w:val="32"/>
          <w:highlight w:val="none"/>
          <w:lang w:val="en-US" w:eastAsia="zh-CN"/>
        </w:rPr>
        <w:t>1700</w:t>
      </w:r>
      <w:r>
        <w:rPr>
          <w:rFonts w:hint="eastAsia" w:ascii="仿宋_GB2312" w:hAnsi="宋体" w:eastAsia="仿宋_GB2312" w:cs="Times New Roman"/>
          <w:color w:val="auto"/>
          <w:sz w:val="32"/>
          <w:szCs w:val="32"/>
          <w:highlight w:val="none"/>
          <w:lang w:val="en-US" w:eastAsia="zh-CN"/>
        </w:rPr>
        <w:t>万元，已下达资金</w:t>
      </w:r>
      <w:r>
        <w:rPr>
          <w:rFonts w:hint="default" w:ascii="仿宋_GB2312" w:hAnsi="宋体" w:eastAsia="仿宋_GB2312" w:cs="Times New Roman"/>
          <w:color w:val="auto"/>
          <w:sz w:val="32"/>
          <w:szCs w:val="32"/>
          <w:highlight w:val="none"/>
          <w:lang w:val="en-US" w:eastAsia="zh-CN"/>
        </w:rPr>
        <w:t>1619.544</w:t>
      </w:r>
      <w:r>
        <w:rPr>
          <w:rFonts w:hint="eastAsia" w:ascii="仿宋_GB2312" w:hAnsi="宋体" w:eastAsia="仿宋_GB2312" w:cs="Times New Roman"/>
          <w:color w:val="auto"/>
          <w:sz w:val="32"/>
          <w:szCs w:val="32"/>
          <w:highlight w:val="none"/>
          <w:lang w:val="en-US" w:eastAsia="zh-CN"/>
        </w:rPr>
        <w:t>万元，预算执行进度</w:t>
      </w:r>
      <w:r>
        <w:rPr>
          <w:rFonts w:hint="default" w:ascii="仿宋_GB2312" w:hAnsi="宋体" w:eastAsia="仿宋_GB2312" w:cs="Times New Roman"/>
          <w:color w:val="auto"/>
          <w:sz w:val="32"/>
          <w:szCs w:val="32"/>
          <w:highlight w:val="none"/>
          <w:lang w:val="en-US" w:eastAsia="zh-CN"/>
        </w:rPr>
        <w:t>95.27%</w:t>
      </w:r>
      <w:r>
        <w:rPr>
          <w:rFonts w:hint="eastAsia" w:ascii="仿宋_GB2312" w:hAnsi="宋体" w:eastAsia="仿宋_GB2312" w:cs="Times New Roman"/>
          <w:color w:val="auto"/>
          <w:sz w:val="32"/>
          <w:szCs w:val="32"/>
          <w:highlight w:val="none"/>
          <w:lang w:val="en-US" w:eastAsia="zh-CN"/>
        </w:rPr>
        <w:t>，结余</w:t>
      </w:r>
      <w:r>
        <w:rPr>
          <w:rFonts w:hint="default" w:ascii="仿宋_GB2312" w:hAnsi="宋体" w:eastAsia="仿宋_GB2312" w:cs="Times New Roman"/>
          <w:color w:val="auto"/>
          <w:sz w:val="32"/>
          <w:szCs w:val="32"/>
          <w:highlight w:val="none"/>
          <w:lang w:val="en-US" w:eastAsia="zh-CN"/>
        </w:rPr>
        <w:t>80.46</w:t>
      </w:r>
      <w:r>
        <w:rPr>
          <w:rFonts w:hint="eastAsia" w:ascii="仿宋_GB2312" w:hAnsi="宋体" w:eastAsia="仿宋_GB2312" w:cs="Times New Roman"/>
          <w:color w:val="auto"/>
          <w:sz w:val="32"/>
          <w:szCs w:val="32"/>
          <w:highlight w:val="none"/>
          <w:lang w:val="en-US" w:eastAsia="zh-CN"/>
        </w:rPr>
        <w:t>万元。</w:t>
      </w:r>
      <w:r>
        <w:rPr>
          <w:rFonts w:hint="default" w:ascii="仿宋_GB2312" w:hAnsi="宋体" w:eastAsia="仿宋_GB2312" w:cs="Times New Roman"/>
          <w:color w:val="auto"/>
          <w:sz w:val="32"/>
          <w:szCs w:val="32"/>
          <w:highlight w:val="none"/>
          <w:lang w:val="en-US" w:eastAsia="zh-CN"/>
        </w:rPr>
        <w:t xml:space="preserve"> </w:t>
      </w:r>
    </w:p>
    <w:p>
      <w:pPr>
        <w:adjustRightInd w:val="0"/>
        <w:snapToGrid w:val="0"/>
        <w:spacing w:line="600" w:lineRule="exact"/>
        <w:ind w:firstLine="640" w:firstLineChars="200"/>
        <w:jc w:val="both"/>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4</w:t>
      </w:r>
      <w:r>
        <w:rPr>
          <w:rFonts w:hint="default" w:ascii="仿宋_GB2312" w:hAnsi="宋体" w:eastAsia="仿宋_GB2312" w:cs="Times New Roman"/>
          <w:color w:val="auto"/>
          <w:sz w:val="32"/>
          <w:szCs w:val="32"/>
          <w:highlight w:val="none"/>
          <w:lang w:val="en-US" w:eastAsia="zh-CN"/>
        </w:rPr>
        <w:t>.支持开展惠民购车节暨汽车下乡活动</w:t>
      </w:r>
      <w:r>
        <w:rPr>
          <w:rFonts w:hint="eastAsia" w:ascii="仿宋_GB2312" w:hAnsi="宋体" w:eastAsia="仿宋_GB2312" w:cs="Times New Roman"/>
          <w:color w:val="auto"/>
          <w:sz w:val="32"/>
          <w:szCs w:val="32"/>
          <w:highlight w:val="none"/>
          <w:lang w:val="en-US" w:eastAsia="zh-CN"/>
        </w:rPr>
        <w:t>项目。预算安排</w:t>
      </w:r>
      <w:r>
        <w:rPr>
          <w:rFonts w:hint="default" w:ascii="仿宋_GB2312" w:hAnsi="宋体" w:eastAsia="仿宋_GB2312" w:cs="Times New Roman"/>
          <w:color w:val="auto"/>
          <w:sz w:val="32"/>
          <w:szCs w:val="32"/>
          <w:highlight w:val="none"/>
          <w:lang w:val="en-US" w:eastAsia="zh-CN"/>
        </w:rPr>
        <w:t>5000</w:t>
      </w:r>
      <w:r>
        <w:rPr>
          <w:rFonts w:hint="eastAsia" w:ascii="仿宋_GB2312" w:hAnsi="宋体" w:eastAsia="仿宋_GB2312" w:cs="Times New Roman"/>
          <w:color w:val="auto"/>
          <w:sz w:val="32"/>
          <w:szCs w:val="32"/>
          <w:highlight w:val="none"/>
          <w:lang w:val="en-US" w:eastAsia="zh-CN"/>
        </w:rPr>
        <w:t>万元，已下达资金</w:t>
      </w:r>
      <w:r>
        <w:rPr>
          <w:rFonts w:hint="default" w:ascii="仿宋_GB2312" w:hAnsi="宋体" w:eastAsia="仿宋_GB2312" w:cs="Times New Roman"/>
          <w:color w:val="auto"/>
          <w:sz w:val="32"/>
          <w:szCs w:val="32"/>
          <w:highlight w:val="none"/>
          <w:lang w:val="en-US" w:eastAsia="zh-CN"/>
        </w:rPr>
        <w:t>0</w:t>
      </w:r>
      <w:r>
        <w:rPr>
          <w:rFonts w:hint="eastAsia" w:ascii="仿宋_GB2312" w:hAnsi="宋体" w:eastAsia="仿宋_GB2312" w:cs="Times New Roman"/>
          <w:color w:val="auto"/>
          <w:sz w:val="32"/>
          <w:szCs w:val="32"/>
          <w:highlight w:val="none"/>
          <w:lang w:val="en-US" w:eastAsia="zh-CN"/>
        </w:rPr>
        <w:t>万元，预算执行进度</w:t>
      </w:r>
      <w:r>
        <w:rPr>
          <w:rFonts w:hint="default" w:ascii="仿宋_GB2312" w:hAnsi="宋体" w:eastAsia="仿宋_GB2312" w:cs="Times New Roman"/>
          <w:color w:val="auto"/>
          <w:sz w:val="32"/>
          <w:szCs w:val="32"/>
          <w:highlight w:val="none"/>
          <w:lang w:val="en-US" w:eastAsia="zh-CN"/>
        </w:rPr>
        <w:t>0%</w:t>
      </w:r>
      <w:r>
        <w:rPr>
          <w:rFonts w:hint="eastAsia" w:ascii="仿宋_GB2312" w:hAnsi="宋体" w:eastAsia="仿宋_GB2312" w:cs="Times New Roman"/>
          <w:color w:val="auto"/>
          <w:sz w:val="32"/>
          <w:szCs w:val="32"/>
          <w:highlight w:val="none"/>
          <w:lang w:val="en-US" w:eastAsia="zh-CN"/>
        </w:rPr>
        <w:t>，结余</w:t>
      </w:r>
      <w:r>
        <w:rPr>
          <w:rFonts w:hint="default" w:ascii="仿宋_GB2312" w:hAnsi="宋体" w:eastAsia="仿宋_GB2312" w:cs="Times New Roman"/>
          <w:color w:val="auto"/>
          <w:sz w:val="32"/>
          <w:szCs w:val="32"/>
          <w:highlight w:val="none"/>
          <w:lang w:val="en-US" w:eastAsia="zh-CN"/>
        </w:rPr>
        <w:t>5000</w:t>
      </w:r>
      <w:r>
        <w:rPr>
          <w:rFonts w:hint="eastAsia" w:ascii="仿宋_GB2312" w:hAnsi="宋体" w:eastAsia="仿宋_GB2312" w:cs="Times New Roman"/>
          <w:color w:val="auto"/>
          <w:sz w:val="32"/>
          <w:szCs w:val="32"/>
          <w:highlight w:val="none"/>
          <w:lang w:val="en-US" w:eastAsia="zh-CN"/>
        </w:rPr>
        <w:t>万元。</w:t>
      </w:r>
      <w:r>
        <w:rPr>
          <w:rFonts w:hint="default" w:ascii="仿宋_GB2312" w:hAnsi="宋体" w:eastAsia="仿宋_GB2312" w:cs="Times New Roman"/>
          <w:color w:val="auto"/>
          <w:sz w:val="32"/>
          <w:szCs w:val="32"/>
          <w:highlight w:val="none"/>
          <w:lang w:val="en-US" w:eastAsia="zh-CN"/>
        </w:rPr>
        <w:t xml:space="preserve"> </w:t>
      </w:r>
    </w:p>
    <w:p>
      <w:pPr>
        <w:adjustRightInd w:val="0"/>
        <w:snapToGrid w:val="0"/>
        <w:spacing w:line="600" w:lineRule="exact"/>
        <w:ind w:firstLine="640" w:firstLineChars="200"/>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5</w:t>
      </w:r>
      <w:r>
        <w:rPr>
          <w:rFonts w:hint="default" w:ascii="仿宋_GB2312" w:hAnsi="宋体" w:eastAsia="仿宋_GB2312" w:cs="Times New Roman"/>
          <w:color w:val="auto"/>
          <w:sz w:val="32"/>
          <w:szCs w:val="32"/>
          <w:highlight w:val="none"/>
          <w:lang w:val="en-US" w:eastAsia="zh-CN"/>
        </w:rPr>
        <w:t>.安排其他资金</w:t>
      </w:r>
      <w:r>
        <w:rPr>
          <w:rFonts w:hint="eastAsia" w:ascii="仿宋_GB2312" w:hAnsi="宋体" w:eastAsia="仿宋_GB2312" w:cs="Times New Roman"/>
          <w:color w:val="auto"/>
          <w:sz w:val="32"/>
          <w:szCs w:val="32"/>
          <w:highlight w:val="none"/>
          <w:lang w:val="en-US" w:eastAsia="zh-CN"/>
        </w:rPr>
        <w:t>项目。</w:t>
      </w:r>
      <w:r>
        <w:rPr>
          <w:rFonts w:hint="default" w:ascii="仿宋_GB2312" w:hAnsi="宋体" w:eastAsia="仿宋_GB2312" w:cs="Times New Roman"/>
          <w:color w:val="auto"/>
          <w:sz w:val="32"/>
          <w:szCs w:val="32"/>
          <w:highlight w:val="none"/>
          <w:lang w:val="en-US" w:eastAsia="zh-CN"/>
        </w:rPr>
        <w:t>主要用于服务业大会会议经费、服务业统计监测体系建设及设备购置。以财政评审结果据实</w:t>
      </w:r>
      <w:r>
        <w:rPr>
          <w:rFonts w:hint="eastAsia" w:ascii="仿宋_GB2312" w:hAnsi="宋体" w:eastAsia="仿宋_GB2312" w:cs="Times New Roman"/>
          <w:color w:val="auto"/>
          <w:sz w:val="32"/>
          <w:szCs w:val="32"/>
          <w:highlight w:val="none"/>
          <w:lang w:val="en-US" w:eastAsia="zh-CN"/>
        </w:rPr>
        <w:t>支付。预算安排</w:t>
      </w:r>
      <w:r>
        <w:rPr>
          <w:rFonts w:hint="default" w:ascii="仿宋_GB2312" w:hAnsi="宋体" w:eastAsia="仿宋_GB2312" w:cs="Times New Roman"/>
          <w:color w:val="auto"/>
          <w:sz w:val="32"/>
          <w:szCs w:val="32"/>
          <w:highlight w:val="none"/>
          <w:lang w:val="en-US" w:eastAsia="zh-CN"/>
        </w:rPr>
        <w:t>2430</w:t>
      </w:r>
      <w:r>
        <w:rPr>
          <w:rFonts w:hint="eastAsia" w:ascii="仿宋_GB2312" w:hAnsi="宋体" w:eastAsia="仿宋_GB2312" w:cs="Times New Roman"/>
          <w:color w:val="auto"/>
          <w:sz w:val="32"/>
          <w:szCs w:val="32"/>
          <w:highlight w:val="none"/>
          <w:lang w:val="en-US" w:eastAsia="zh-CN"/>
        </w:rPr>
        <w:t>万元，已下达资金</w:t>
      </w:r>
      <w:r>
        <w:rPr>
          <w:rFonts w:hint="default" w:ascii="仿宋_GB2312" w:hAnsi="宋体" w:eastAsia="仿宋_GB2312" w:cs="Times New Roman"/>
          <w:color w:val="auto"/>
          <w:sz w:val="32"/>
          <w:szCs w:val="32"/>
          <w:highlight w:val="none"/>
          <w:lang w:val="en-US" w:eastAsia="zh-CN"/>
        </w:rPr>
        <w:t>2335.87</w:t>
      </w:r>
      <w:r>
        <w:rPr>
          <w:rFonts w:hint="eastAsia" w:ascii="仿宋_GB2312" w:hAnsi="宋体" w:eastAsia="仿宋_GB2312" w:cs="Times New Roman"/>
          <w:color w:val="auto"/>
          <w:sz w:val="32"/>
          <w:szCs w:val="32"/>
          <w:highlight w:val="none"/>
          <w:lang w:val="en-US" w:eastAsia="zh-CN"/>
        </w:rPr>
        <w:t>万元，预算执行进度</w:t>
      </w:r>
      <w:r>
        <w:rPr>
          <w:rFonts w:hint="default" w:ascii="仿宋_GB2312" w:hAnsi="宋体" w:eastAsia="仿宋_GB2312" w:cs="Times New Roman"/>
          <w:color w:val="auto"/>
          <w:sz w:val="32"/>
          <w:szCs w:val="32"/>
          <w:highlight w:val="none"/>
          <w:lang w:val="en-US" w:eastAsia="zh-CN"/>
        </w:rPr>
        <w:t>96.13%</w:t>
      </w:r>
      <w:r>
        <w:rPr>
          <w:rFonts w:hint="eastAsia" w:ascii="仿宋_GB2312" w:hAnsi="宋体" w:eastAsia="仿宋_GB2312" w:cs="Times New Roman"/>
          <w:color w:val="auto"/>
          <w:sz w:val="32"/>
          <w:szCs w:val="32"/>
          <w:highlight w:val="none"/>
          <w:lang w:val="en-US" w:eastAsia="zh-CN"/>
        </w:rPr>
        <w:t>，结余</w:t>
      </w:r>
      <w:r>
        <w:rPr>
          <w:rFonts w:hint="default" w:ascii="仿宋_GB2312" w:hAnsi="宋体" w:eastAsia="仿宋_GB2312" w:cs="Times New Roman"/>
          <w:color w:val="auto"/>
          <w:sz w:val="32"/>
          <w:szCs w:val="32"/>
          <w:highlight w:val="none"/>
          <w:lang w:val="en-US" w:eastAsia="zh-CN"/>
        </w:rPr>
        <w:t>94.13</w:t>
      </w:r>
      <w:r>
        <w:rPr>
          <w:rFonts w:hint="eastAsia" w:ascii="仿宋_GB2312" w:hAnsi="宋体" w:eastAsia="仿宋_GB2312" w:cs="Times New Roman"/>
          <w:color w:val="auto"/>
          <w:sz w:val="32"/>
          <w:szCs w:val="32"/>
          <w:highlight w:val="none"/>
          <w:lang w:val="en-US" w:eastAsia="zh-CN"/>
        </w:rPr>
        <w:t>万元。</w:t>
      </w:r>
      <w:r>
        <w:rPr>
          <w:rFonts w:hint="default" w:ascii="仿宋_GB2312" w:hAnsi="宋体" w:eastAsia="仿宋_GB2312" w:cs="Times New Roman"/>
          <w:color w:val="auto"/>
          <w:sz w:val="32"/>
          <w:szCs w:val="32"/>
          <w:highlight w:val="none"/>
          <w:lang w:val="en-US" w:eastAsia="zh-CN"/>
        </w:rPr>
        <w:t xml:space="preserve"> </w:t>
      </w:r>
    </w:p>
    <w:p>
      <w:pPr>
        <w:adjustRightInd w:val="0"/>
        <w:snapToGrid w:val="0"/>
        <w:spacing w:line="600" w:lineRule="exact"/>
        <w:ind w:firstLine="72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（1）服务业大会会议经费</w:t>
      </w:r>
      <w:r>
        <w:rPr>
          <w:rFonts w:hint="eastAsia" w:ascii="仿宋_GB2312" w:hAnsi="宋体" w:eastAsia="仿宋_GB2312" w:cs="Times New Roman"/>
          <w:color w:val="auto"/>
          <w:sz w:val="32"/>
          <w:szCs w:val="32"/>
          <w:highlight w:val="none"/>
          <w:lang w:val="en-US" w:eastAsia="zh-CN"/>
        </w:rPr>
        <w:t>。预算安排</w:t>
      </w:r>
      <w:r>
        <w:rPr>
          <w:rFonts w:hint="default" w:ascii="仿宋_GB2312" w:hAnsi="宋体" w:eastAsia="仿宋_GB2312" w:cs="Times New Roman"/>
          <w:color w:val="auto"/>
          <w:sz w:val="32"/>
          <w:szCs w:val="32"/>
          <w:highlight w:val="none"/>
          <w:lang w:val="en-US" w:eastAsia="zh-CN"/>
        </w:rPr>
        <w:t>1730</w:t>
      </w:r>
      <w:r>
        <w:rPr>
          <w:rFonts w:hint="eastAsia" w:ascii="仿宋_GB2312" w:hAnsi="宋体" w:eastAsia="仿宋_GB2312" w:cs="Times New Roman"/>
          <w:color w:val="auto"/>
          <w:sz w:val="32"/>
          <w:szCs w:val="32"/>
          <w:highlight w:val="none"/>
          <w:lang w:val="en-US" w:eastAsia="zh-CN"/>
        </w:rPr>
        <w:t>万元，已下达资金</w:t>
      </w:r>
      <w:r>
        <w:rPr>
          <w:rFonts w:hint="default" w:ascii="仿宋_GB2312" w:hAnsi="宋体" w:eastAsia="仿宋_GB2312" w:cs="Times New Roman"/>
          <w:color w:val="auto"/>
          <w:sz w:val="32"/>
          <w:szCs w:val="32"/>
          <w:highlight w:val="none"/>
          <w:lang w:val="en-US" w:eastAsia="zh-CN"/>
        </w:rPr>
        <w:t>1122.41</w:t>
      </w:r>
      <w:r>
        <w:rPr>
          <w:rFonts w:hint="eastAsia" w:ascii="仿宋_GB2312" w:hAnsi="宋体" w:eastAsia="仿宋_GB2312" w:cs="Times New Roman"/>
          <w:color w:val="auto"/>
          <w:sz w:val="32"/>
          <w:szCs w:val="32"/>
          <w:highlight w:val="none"/>
          <w:lang w:val="en-US" w:eastAsia="zh-CN"/>
        </w:rPr>
        <w:t>万元，预算执行进度</w:t>
      </w:r>
      <w:r>
        <w:rPr>
          <w:rFonts w:hint="default" w:ascii="仿宋_GB2312" w:hAnsi="宋体" w:eastAsia="仿宋_GB2312" w:cs="Times New Roman"/>
          <w:color w:val="auto"/>
          <w:sz w:val="32"/>
          <w:szCs w:val="32"/>
          <w:highlight w:val="none"/>
          <w:lang w:val="en-US" w:eastAsia="zh-CN"/>
        </w:rPr>
        <w:t>64.88%</w:t>
      </w:r>
      <w:r>
        <w:rPr>
          <w:rFonts w:hint="eastAsia" w:ascii="仿宋_GB2312" w:hAnsi="宋体" w:eastAsia="仿宋_GB2312" w:cs="Times New Roman"/>
          <w:color w:val="auto"/>
          <w:sz w:val="32"/>
          <w:szCs w:val="32"/>
          <w:highlight w:val="none"/>
          <w:lang w:val="en-US" w:eastAsia="zh-CN"/>
        </w:rPr>
        <w:t>，结余</w:t>
      </w:r>
      <w:r>
        <w:rPr>
          <w:rFonts w:hint="default" w:ascii="仿宋_GB2312" w:hAnsi="宋体" w:eastAsia="仿宋_GB2312" w:cs="Times New Roman"/>
          <w:color w:val="auto"/>
          <w:sz w:val="32"/>
          <w:szCs w:val="32"/>
          <w:highlight w:val="none"/>
          <w:lang w:val="en-US" w:eastAsia="zh-CN"/>
        </w:rPr>
        <w:t>607.59</w:t>
      </w:r>
      <w:r>
        <w:rPr>
          <w:rFonts w:hint="eastAsia" w:ascii="仿宋_GB2312" w:hAnsi="宋体" w:eastAsia="仿宋_GB2312" w:cs="Times New Roman"/>
          <w:color w:val="auto"/>
          <w:sz w:val="32"/>
          <w:szCs w:val="32"/>
          <w:highlight w:val="none"/>
          <w:lang w:val="en-US" w:eastAsia="zh-CN"/>
        </w:rPr>
        <w:t>万元。</w:t>
      </w:r>
      <w:r>
        <w:rPr>
          <w:rFonts w:hint="default" w:ascii="仿宋_GB2312" w:hAnsi="宋体" w:eastAsia="仿宋_GB2312" w:cs="Times New Roman"/>
          <w:color w:val="auto"/>
          <w:sz w:val="32"/>
          <w:szCs w:val="32"/>
          <w:highlight w:val="none"/>
          <w:lang w:val="en-US" w:eastAsia="zh-CN"/>
        </w:rPr>
        <w:t xml:space="preserve"> </w:t>
      </w:r>
      <w:r>
        <w:rPr>
          <w:rFonts w:hint="eastAsia" w:ascii="仿宋_GB2312" w:hAnsi="宋体" w:eastAsia="仿宋_GB2312" w:cs="Times New Roman"/>
          <w:color w:val="auto"/>
          <w:sz w:val="32"/>
          <w:szCs w:val="32"/>
          <w:highlight w:val="none"/>
          <w:lang w:val="en-US" w:eastAsia="zh-CN"/>
        </w:rPr>
        <w:t>财政厅将结余资金安排</w:t>
      </w:r>
      <w:r>
        <w:rPr>
          <w:rFonts w:hint="default" w:ascii="仿宋_GB2312" w:hAnsi="宋体" w:eastAsia="仿宋_GB2312" w:cs="Times New Roman"/>
          <w:color w:val="auto"/>
          <w:sz w:val="32"/>
          <w:szCs w:val="32"/>
          <w:highlight w:val="none"/>
          <w:lang w:val="en-US" w:eastAsia="zh-CN"/>
        </w:rPr>
        <w:t>2020“味美四川”川派餐饮汇活动周预算570.77</w:t>
      </w:r>
      <w:r>
        <w:rPr>
          <w:rFonts w:hint="eastAsia" w:ascii="仿宋_GB2312" w:hAnsi="宋体" w:eastAsia="仿宋_GB2312" w:cs="Times New Roman"/>
          <w:color w:val="auto"/>
          <w:sz w:val="32"/>
          <w:szCs w:val="32"/>
          <w:highlight w:val="none"/>
          <w:lang w:val="en-US" w:eastAsia="zh-CN"/>
        </w:rPr>
        <w:t>万元，实际结余36.82万元。</w:t>
      </w:r>
      <w:r>
        <w:rPr>
          <w:rFonts w:hint="default" w:ascii="仿宋_GB2312" w:hAnsi="宋体" w:eastAsia="仿宋_GB2312" w:cs="Times New Roman"/>
          <w:color w:val="auto"/>
          <w:sz w:val="32"/>
          <w:szCs w:val="32"/>
          <w:highlight w:val="none"/>
          <w:lang w:val="en-US" w:eastAsia="zh-CN"/>
        </w:rPr>
        <w:tab/>
      </w:r>
      <w:r>
        <w:rPr>
          <w:rFonts w:hint="default" w:ascii="仿宋_GB2312" w:hAnsi="宋体" w:eastAsia="仿宋_GB2312" w:cs="Times New Roman"/>
          <w:color w:val="auto"/>
          <w:sz w:val="32"/>
          <w:szCs w:val="32"/>
          <w:highlight w:val="none"/>
          <w:lang w:val="en-US" w:eastAsia="zh-CN"/>
        </w:rPr>
        <w:t xml:space="preserve"> </w:t>
      </w:r>
      <w:r>
        <w:rPr>
          <w:rFonts w:hint="default" w:ascii="仿宋_GB2312" w:hAnsi="宋体" w:eastAsia="仿宋_GB2312" w:cs="Times New Roman"/>
          <w:color w:val="auto"/>
          <w:sz w:val="32"/>
          <w:szCs w:val="32"/>
          <w:highlight w:val="none"/>
          <w:lang w:val="en-US" w:eastAsia="zh-CN"/>
        </w:rPr>
        <w:tab/>
      </w:r>
      <w:r>
        <w:rPr>
          <w:rFonts w:hint="default" w:ascii="仿宋_GB2312" w:hAnsi="宋体" w:eastAsia="仿宋_GB2312" w:cs="Times New Roman"/>
          <w:color w:val="auto"/>
          <w:sz w:val="32"/>
          <w:szCs w:val="32"/>
          <w:highlight w:val="none"/>
          <w:lang w:val="en-US" w:eastAsia="zh-CN"/>
        </w:rPr>
        <w:t xml:space="preserve"> </w:t>
      </w:r>
    </w:p>
    <w:p>
      <w:pPr>
        <w:adjustRightInd w:val="0"/>
        <w:snapToGrid w:val="0"/>
        <w:spacing w:line="600" w:lineRule="exact"/>
        <w:ind w:firstLine="72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（2）服务业统计监测体系建设及设备购置</w:t>
      </w:r>
      <w:r>
        <w:rPr>
          <w:rFonts w:hint="default" w:ascii="仿宋_GB2312" w:hAnsi="宋体" w:eastAsia="仿宋_GB2312" w:cs="Times New Roman"/>
          <w:color w:val="auto"/>
          <w:sz w:val="32"/>
          <w:szCs w:val="32"/>
          <w:highlight w:val="none"/>
          <w:lang w:val="en-US" w:eastAsia="zh-CN"/>
        </w:rPr>
        <w:tab/>
      </w:r>
      <w:r>
        <w:rPr>
          <w:rFonts w:hint="eastAsia" w:ascii="仿宋_GB2312" w:hAnsi="宋体" w:eastAsia="仿宋_GB2312" w:cs="Times New Roman"/>
          <w:color w:val="auto"/>
          <w:sz w:val="32"/>
          <w:szCs w:val="32"/>
          <w:highlight w:val="none"/>
          <w:lang w:val="en-US" w:eastAsia="zh-CN"/>
        </w:rPr>
        <w:t>经费。预算安排</w:t>
      </w:r>
      <w:r>
        <w:rPr>
          <w:rFonts w:hint="default" w:ascii="仿宋_GB2312" w:hAnsi="宋体" w:eastAsia="仿宋_GB2312" w:cs="Times New Roman"/>
          <w:color w:val="auto"/>
          <w:sz w:val="32"/>
          <w:szCs w:val="32"/>
          <w:highlight w:val="none"/>
          <w:lang w:val="en-US" w:eastAsia="zh-CN"/>
        </w:rPr>
        <w:t>700</w:t>
      </w:r>
      <w:r>
        <w:rPr>
          <w:rFonts w:hint="eastAsia" w:ascii="仿宋_GB2312" w:hAnsi="宋体" w:eastAsia="仿宋_GB2312" w:cs="Times New Roman"/>
          <w:color w:val="auto"/>
          <w:sz w:val="32"/>
          <w:szCs w:val="32"/>
          <w:highlight w:val="none"/>
          <w:lang w:val="en-US" w:eastAsia="zh-CN"/>
        </w:rPr>
        <w:t>万元，已下达</w:t>
      </w:r>
      <w:r>
        <w:rPr>
          <w:rFonts w:hint="default" w:ascii="仿宋_GB2312" w:hAnsi="宋体" w:eastAsia="仿宋_GB2312" w:cs="Times New Roman"/>
          <w:color w:val="auto"/>
          <w:sz w:val="32"/>
          <w:szCs w:val="32"/>
          <w:highlight w:val="none"/>
          <w:lang w:val="en-US" w:eastAsia="zh-CN"/>
        </w:rPr>
        <w:t>642.69</w:t>
      </w:r>
      <w:r>
        <w:rPr>
          <w:rFonts w:hint="eastAsia" w:ascii="仿宋_GB2312" w:hAnsi="宋体" w:eastAsia="仿宋_GB2312" w:cs="Times New Roman"/>
          <w:color w:val="auto"/>
          <w:sz w:val="32"/>
          <w:szCs w:val="32"/>
          <w:highlight w:val="none"/>
          <w:lang w:val="en-US" w:eastAsia="zh-CN"/>
        </w:rPr>
        <w:t>万元，预算执行进度</w:t>
      </w:r>
      <w:r>
        <w:rPr>
          <w:rFonts w:hint="default" w:ascii="仿宋_GB2312" w:hAnsi="宋体" w:eastAsia="仿宋_GB2312" w:cs="Times New Roman"/>
          <w:color w:val="auto"/>
          <w:sz w:val="32"/>
          <w:szCs w:val="32"/>
          <w:highlight w:val="none"/>
          <w:lang w:val="en-US" w:eastAsia="zh-CN"/>
        </w:rPr>
        <w:t>91.81%</w:t>
      </w:r>
      <w:r>
        <w:rPr>
          <w:rFonts w:hint="eastAsia" w:ascii="仿宋_GB2312" w:hAnsi="宋体" w:eastAsia="仿宋_GB2312" w:cs="Times New Roman"/>
          <w:color w:val="auto"/>
          <w:sz w:val="32"/>
          <w:szCs w:val="32"/>
          <w:highlight w:val="none"/>
          <w:lang w:val="en-US" w:eastAsia="zh-CN"/>
        </w:rPr>
        <w:t>，结余</w:t>
      </w:r>
      <w:r>
        <w:rPr>
          <w:rFonts w:hint="default" w:ascii="仿宋_GB2312" w:hAnsi="宋体" w:eastAsia="仿宋_GB2312" w:cs="Times New Roman"/>
          <w:color w:val="auto"/>
          <w:sz w:val="32"/>
          <w:szCs w:val="32"/>
          <w:highlight w:val="none"/>
          <w:lang w:val="en-US" w:eastAsia="zh-CN"/>
        </w:rPr>
        <w:t>57.31</w:t>
      </w:r>
      <w:r>
        <w:rPr>
          <w:rFonts w:hint="eastAsia" w:ascii="仿宋_GB2312" w:hAnsi="宋体" w:eastAsia="仿宋_GB2312" w:cs="Times New Roman"/>
          <w:color w:val="auto"/>
          <w:sz w:val="32"/>
          <w:szCs w:val="32"/>
          <w:highlight w:val="none"/>
          <w:lang w:val="en-US" w:eastAsia="zh-CN"/>
        </w:rPr>
        <w:t>万元。</w:t>
      </w:r>
      <w:r>
        <w:rPr>
          <w:rFonts w:hint="default" w:ascii="仿宋_GB2312" w:hAnsi="宋体" w:eastAsia="仿宋_GB2312" w:cs="Times New Roman"/>
          <w:color w:val="auto"/>
          <w:sz w:val="32"/>
          <w:szCs w:val="32"/>
          <w:highlight w:val="none"/>
          <w:lang w:val="en-US" w:eastAsia="zh-CN"/>
        </w:rPr>
        <w:t xml:space="preserve"> </w:t>
      </w:r>
    </w:p>
    <w:p>
      <w:pPr>
        <w:adjustRightInd w:val="0"/>
        <w:snapToGrid w:val="0"/>
        <w:spacing w:line="600" w:lineRule="exact"/>
        <w:ind w:firstLine="720"/>
        <w:rPr>
          <w:rFonts w:ascii="楷体_GB2312" w:hAnsi="宋体" w:eastAsia="楷体_GB2312"/>
          <w:b/>
          <w:color w:val="auto"/>
          <w:sz w:val="32"/>
          <w:szCs w:val="32"/>
          <w:highlight w:val="none"/>
          <w:lang w:val="zh-CN"/>
        </w:rPr>
      </w:pPr>
      <w:r>
        <w:rPr>
          <w:rFonts w:hint="eastAsia" w:ascii="楷体_GB2312" w:hAnsi="宋体" w:eastAsia="楷体_GB2312"/>
          <w:b/>
          <w:color w:val="auto"/>
          <w:sz w:val="32"/>
          <w:szCs w:val="32"/>
          <w:highlight w:val="none"/>
          <w:lang w:val="zh-CN"/>
        </w:rPr>
        <w:t>（三）项目财务管理情况</w:t>
      </w:r>
    </w:p>
    <w:p>
      <w:pPr>
        <w:adjustRightInd w:val="0"/>
        <w:snapToGrid w:val="0"/>
        <w:spacing w:line="600" w:lineRule="exact"/>
        <w:ind w:firstLine="720"/>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2020年我厅在内贸发展专项资金使用上严格按照《省级内贸流通服务业发展专项资金管理办法》（川财建〔2019〕357号）的相关规定严格执行，各市县商务局根据375号文件内容全部制定了内贸发展专项资金的使用办法，并通过了我厅审批、备案。</w:t>
      </w:r>
    </w:p>
    <w:p>
      <w:pPr>
        <w:adjustRightInd w:val="0"/>
        <w:snapToGrid w:val="0"/>
        <w:spacing w:line="600" w:lineRule="exact"/>
        <w:ind w:firstLine="720"/>
        <w:rPr>
          <w:rFonts w:ascii="黑体" w:hAnsi="宋体" w:eastAsia="黑体"/>
          <w:color w:val="auto"/>
          <w:sz w:val="32"/>
          <w:szCs w:val="32"/>
          <w:highlight w:val="none"/>
        </w:rPr>
      </w:pPr>
      <w:bookmarkStart w:id="129" w:name="_Toc1006147836_WPSOffice_Level2"/>
      <w:bookmarkStart w:id="130" w:name="_Toc2028600939_WPSOffice_Level2"/>
      <w:r>
        <w:rPr>
          <w:rFonts w:hint="eastAsia" w:ascii="黑体" w:hAnsi="宋体" w:eastAsia="黑体"/>
          <w:color w:val="auto"/>
          <w:sz w:val="32"/>
          <w:szCs w:val="32"/>
          <w:highlight w:val="none"/>
        </w:rPr>
        <w:t>三、项目实施及管理情况</w:t>
      </w:r>
      <w:bookmarkEnd w:id="129"/>
      <w:bookmarkEnd w:id="130"/>
    </w:p>
    <w:p>
      <w:pPr>
        <w:adjustRightInd w:val="0"/>
        <w:snapToGrid w:val="0"/>
        <w:spacing w:line="600" w:lineRule="exact"/>
        <w:ind w:firstLine="720"/>
        <w:rPr>
          <w:rFonts w:hint="eastAsia" w:ascii="楷体_GB2312" w:hAnsi="宋体" w:eastAsia="楷体_GB2312"/>
          <w:b/>
          <w:color w:val="auto"/>
          <w:sz w:val="32"/>
          <w:szCs w:val="32"/>
          <w:highlight w:val="none"/>
          <w:lang w:val="zh-CN"/>
        </w:rPr>
      </w:pPr>
      <w:r>
        <w:rPr>
          <w:rFonts w:hint="eastAsia" w:ascii="楷体_GB2312" w:hAnsi="宋体" w:eastAsia="楷体_GB2312"/>
          <w:b/>
          <w:color w:val="auto"/>
          <w:sz w:val="32"/>
          <w:szCs w:val="32"/>
          <w:highlight w:val="none"/>
          <w:lang w:val="zh-CN"/>
        </w:rPr>
        <w:t>（一）项目组织架构及实施流程</w:t>
      </w:r>
    </w:p>
    <w:p>
      <w:pPr>
        <w:adjustRightInd w:val="0"/>
        <w:snapToGrid w:val="0"/>
        <w:spacing w:line="600" w:lineRule="exact"/>
        <w:ind w:firstLine="720"/>
        <w:rPr>
          <w:lang w:val="zh-CN"/>
        </w:rPr>
      </w:pPr>
      <w:r>
        <w:rPr>
          <w:rFonts w:hint="default" w:ascii="仿宋_GB2312" w:hAnsi="宋体" w:eastAsia="仿宋_GB2312" w:cs="Times New Roman"/>
          <w:color w:val="auto"/>
          <w:sz w:val="32"/>
          <w:szCs w:val="32"/>
          <w:highlight w:val="none"/>
          <w:lang w:val="en-US" w:eastAsia="zh-CN"/>
        </w:rPr>
        <w:t>根据《四川省消费中心城市培育方案（2020—2022年）》（川商财〔2020〕83号）、《四川省现代服务业集聚区培育方案( 2020—2022年)》、《四川省服务业强县（市、区)培育方案(2020-2022年)》和《四川省服务业“三百工程”培育方案( 2020-2022年)》（川商财〔2020〕86号）等文件要求，项目实施单位申报项目，地方商务部门负责项目审批，商务厅按程序编制预算，预算通过后财政下达资金，项目实施单位执行项目，项目完成后要求开展履约验收或项目自评。</w:t>
      </w:r>
    </w:p>
    <w:p>
      <w:pPr>
        <w:keepNext w:val="0"/>
        <w:keepLines w:val="0"/>
        <w:pageBreakBefore w:val="0"/>
        <w:widowControl w:val="0"/>
        <w:numPr>
          <w:ilvl w:val="0"/>
          <w:numId w:val="4"/>
        </w:numPr>
        <w:kinsoku/>
        <w:wordWrap/>
        <w:overflowPunct/>
        <w:topLinePunct w:val="0"/>
        <w:autoSpaceDE/>
        <w:autoSpaceDN/>
        <w:bidi w:val="0"/>
        <w:adjustRightInd/>
        <w:snapToGrid w:val="0"/>
        <w:spacing w:line="640" w:lineRule="exact"/>
        <w:ind w:firstLine="642" w:firstLineChars="200"/>
        <w:textAlignment w:val="auto"/>
        <w:rPr>
          <w:rFonts w:hint="eastAsia" w:ascii="楷体_GB2312" w:hAnsi="宋体" w:eastAsia="楷体_GB2312"/>
          <w:b/>
          <w:color w:val="auto"/>
          <w:sz w:val="32"/>
          <w:szCs w:val="32"/>
          <w:highlight w:val="none"/>
          <w:lang w:val="zh-CN"/>
        </w:rPr>
      </w:pPr>
      <w:r>
        <w:rPr>
          <w:rFonts w:hint="eastAsia" w:ascii="楷体_GB2312" w:hAnsi="宋体" w:eastAsia="楷体_GB2312"/>
          <w:b/>
          <w:color w:val="auto"/>
          <w:sz w:val="32"/>
          <w:szCs w:val="32"/>
          <w:highlight w:val="none"/>
          <w:lang w:val="zh-CN"/>
        </w:rPr>
        <w:t>项目管理情况</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textAlignment w:val="auto"/>
        <w:rPr>
          <w:rFonts w:ascii="仿宋_GB2312" w:hAnsi="宋体" w:eastAsia="仿宋_GB2312"/>
          <w:color w:val="auto"/>
          <w:sz w:val="32"/>
          <w:szCs w:val="32"/>
          <w:highlight w:val="none"/>
          <w:lang w:val="zh-CN"/>
        </w:rPr>
      </w:pPr>
      <w:r>
        <w:rPr>
          <w:rFonts w:hint="default" w:ascii="仿宋_GB2312" w:hAnsi="宋体" w:eastAsia="仿宋_GB2312" w:cs="Times New Roman"/>
          <w:color w:val="auto"/>
          <w:sz w:val="32"/>
          <w:szCs w:val="32"/>
          <w:highlight w:val="none"/>
          <w:lang w:val="en-US" w:eastAsia="zh-CN"/>
        </w:rPr>
        <w:t>根据国家相关政策规定，结合我厅实际，认真做好项目管理工作。各项目实施单位根据有关的资金管理办法编制了有效可行的项目实施方案，成立项目推进专班，形成专门的资料整理建档，严格履约验收程序，对达到政府采购标准的项目严格按照政府采购程序实行采购。</w:t>
      </w:r>
    </w:p>
    <w:p>
      <w:pPr>
        <w:keepNext w:val="0"/>
        <w:keepLines w:val="0"/>
        <w:pageBreakBefore w:val="0"/>
        <w:widowControl w:val="0"/>
        <w:numPr>
          <w:ilvl w:val="0"/>
          <w:numId w:val="4"/>
        </w:numPr>
        <w:kinsoku/>
        <w:wordWrap/>
        <w:overflowPunct/>
        <w:topLinePunct w:val="0"/>
        <w:autoSpaceDE/>
        <w:autoSpaceDN/>
        <w:bidi w:val="0"/>
        <w:adjustRightInd/>
        <w:snapToGrid w:val="0"/>
        <w:spacing w:line="640" w:lineRule="exact"/>
        <w:ind w:left="0" w:leftChars="0" w:firstLine="642" w:firstLineChars="200"/>
        <w:textAlignment w:val="auto"/>
        <w:rPr>
          <w:rFonts w:hint="eastAsia" w:ascii="楷体_GB2312" w:hAnsi="宋体" w:eastAsia="楷体_GB2312"/>
          <w:b/>
          <w:color w:val="auto"/>
          <w:sz w:val="32"/>
          <w:szCs w:val="32"/>
          <w:highlight w:val="none"/>
          <w:lang w:val="zh-CN"/>
        </w:rPr>
      </w:pPr>
      <w:r>
        <w:rPr>
          <w:rFonts w:hint="eastAsia" w:ascii="楷体_GB2312" w:hAnsi="宋体" w:eastAsia="楷体_GB2312"/>
          <w:b/>
          <w:color w:val="auto"/>
          <w:sz w:val="32"/>
          <w:szCs w:val="32"/>
          <w:highlight w:val="none"/>
          <w:lang w:val="zh-CN"/>
        </w:rPr>
        <w:t>项目监管情况</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按照《省级内贸流通服务业发展专项资金管理办法》（川财建〔2019〕357号）的相关规定，地方商务主管部门、财政部门要建立健全项目资金监管机制,对资金使用和项目建设进展情况进行日常监督管理，及时发现和纠正问题，充分发挥资金使用效益。商务厅、财政厅不定期对项目实施和资金使用情况进行抽查。</w:t>
      </w:r>
    </w:p>
    <w:p>
      <w:pPr>
        <w:adjustRightInd w:val="0"/>
        <w:snapToGrid w:val="0"/>
        <w:spacing w:line="600" w:lineRule="exact"/>
        <w:ind w:firstLine="720"/>
        <w:rPr>
          <w:rFonts w:ascii="仿宋_GB2312" w:hAnsi="宋体" w:eastAsia="仿宋_GB2312"/>
          <w:color w:val="auto"/>
          <w:sz w:val="32"/>
          <w:szCs w:val="32"/>
          <w:highlight w:val="none"/>
          <w:lang w:val="zh-CN"/>
        </w:rPr>
      </w:pPr>
      <w:bookmarkStart w:id="131" w:name="_Toc1810104303_WPSOffice_Level2"/>
      <w:bookmarkStart w:id="132" w:name="_Toc2033903281_WPSOffice_Level2"/>
      <w:r>
        <w:rPr>
          <w:rFonts w:hint="eastAsia" w:ascii="黑体" w:hAnsi="宋体" w:eastAsia="黑体"/>
          <w:color w:val="auto"/>
          <w:sz w:val="32"/>
          <w:szCs w:val="32"/>
          <w:highlight w:val="none"/>
        </w:rPr>
        <w:t>四、项目绩效情况</w:t>
      </w:r>
      <w:bookmarkEnd w:id="131"/>
      <w:bookmarkEnd w:id="132"/>
      <w:r>
        <w:rPr>
          <w:rFonts w:hint="eastAsia" w:ascii="仿宋_GB2312" w:hAnsi="宋体" w:eastAsia="仿宋_GB2312"/>
          <w:color w:val="auto"/>
          <w:sz w:val="32"/>
          <w:szCs w:val="32"/>
          <w:highlight w:val="none"/>
          <w:lang w:val="zh-CN"/>
        </w:rPr>
        <w:tab/>
      </w:r>
    </w:p>
    <w:p>
      <w:pPr>
        <w:adjustRightInd w:val="0"/>
        <w:snapToGrid w:val="0"/>
        <w:spacing w:line="600" w:lineRule="exact"/>
        <w:ind w:firstLine="720"/>
        <w:rPr>
          <w:rFonts w:ascii="楷体_GB2312" w:hAnsi="宋体" w:eastAsia="楷体_GB2312"/>
          <w:b/>
          <w:color w:val="auto"/>
          <w:sz w:val="32"/>
          <w:szCs w:val="32"/>
          <w:highlight w:val="none"/>
          <w:lang w:val="zh-CN"/>
        </w:rPr>
      </w:pPr>
      <w:r>
        <w:rPr>
          <w:rFonts w:hint="eastAsia" w:ascii="楷体_GB2312" w:hAnsi="宋体" w:eastAsia="楷体_GB2312"/>
          <w:b/>
          <w:color w:val="auto"/>
          <w:sz w:val="32"/>
          <w:szCs w:val="32"/>
          <w:highlight w:val="none"/>
          <w:lang w:val="zh-CN"/>
        </w:rPr>
        <w:t>（一）项目完成情况</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2020年，成功召开全省服务业发展大会，出台服务业高质量发展意见，建立省领导联系指导“4+6”重点产业推进机制。组织实施现代服务业集聚区、服务业强县、服务业“三百工程”培育方案，培育10个服务业集聚区和10个服务业强县，服务业重大项目实现投资1200亿元，10家企业入围全国服务业企业500强。强化服务业和消费“1+6”重点指标运行调度，出台“服保贷”风险补偿金制度，推动批发、零售、住宿、餐饮等行业加快复苏回暖。出台激发消费潜力24条措施，实施促进消费和服务业发展七大行动计划。组织举办天府里·悦生活、味美四川、川货电商节等系列活动。培育建设10个消费中心城市。推进步行街改造提升三年行动计划，宽窄巷子评为首批全国示范步行街，启动15条省级步行街改造提升试点。制定全国首个省级直播行业发展计划，发布10条“百亿级”电商（跨境）产业带，新获批4个电商示范基地，引进30余家电商头部企业在川设立区域总部。</w:t>
      </w:r>
    </w:p>
    <w:p>
      <w:pPr>
        <w:adjustRightInd w:val="0"/>
        <w:snapToGrid w:val="0"/>
        <w:spacing w:line="600" w:lineRule="exact"/>
        <w:ind w:firstLine="720"/>
        <w:rPr>
          <w:rFonts w:ascii="楷体_GB2312" w:hAnsi="宋体" w:eastAsia="楷体_GB2312"/>
          <w:b/>
          <w:color w:val="auto"/>
          <w:sz w:val="32"/>
          <w:szCs w:val="32"/>
          <w:highlight w:val="none"/>
          <w:lang w:val="zh-CN"/>
        </w:rPr>
      </w:pPr>
      <w:r>
        <w:rPr>
          <w:rFonts w:hint="eastAsia" w:ascii="楷体_GB2312" w:hAnsi="宋体" w:eastAsia="楷体_GB2312"/>
          <w:b/>
          <w:color w:val="auto"/>
          <w:sz w:val="32"/>
          <w:szCs w:val="32"/>
          <w:highlight w:val="none"/>
          <w:lang w:val="zh-CN"/>
        </w:rPr>
        <w:t>（二）项目效益情况</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2020年突如其来的新冠疫情、历史罕见的洪涝灾害、严峻复杂的内外环境，多重困难叠加、多条战线作战。我们坚定落实中央和省委、省政府决策部署，在云泽副省长直接指挥下，顽强拼搏、克难奋进，科学统筹疫情防控和商务发展，主要指标符合预期、稳步向好。全年货物进出口增长19%、增速居全国第2位，社会消费品零售总额降幅收窄至2.4%、好于全国1.5个百分点，服务业增加值增长3.4%、高于全国1.3个百分点。商务经济稳定增长，为全省做好“六稳”工作、落实“六保”任务作出积极贡献。清华书记对商务工作寄予“四个新作为”殷切期望，商务部主要领导给予“四个示范”充分肯定。</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社会消费品零售总额迈上两万亿元台阶，年均增长8.4%；网络零售额占社消零比重达28.5%、较2015年提高14个百分点，消费规模不断扩大、消费市场更加活跃。市场拓展“三大活动”深入开展，累计组织近60万家企业开展各类促销活动近6万场次。商贸流通体系持续优化，培育200余个上亿元商品市场和农产品批发市场，县乡村三级电商公共服务能力加快提升，社会物流总费用占地区生产总值比率由18.3%降至15%左右。药品、川酒流通行业发展迅速。生活必需品市场运行监测预警体系和应急保供体系不断健全，在应对地震、非洲猪瘟、新冠疫情等突发事件中发挥了重要作用。</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商务厅对部分企业进行满意度调研，发放问卷100份，回收问卷98份，回收率98%，其中有效问卷87份，有效率88.78%，对我厅2020年内贸流通服务业发展专项资金项目执行效果表示满意的问卷占95%，5%表示较满意，总体满意度较高。</w:t>
      </w:r>
    </w:p>
    <w:p>
      <w:pPr>
        <w:adjustRightInd w:val="0"/>
        <w:snapToGrid w:val="0"/>
        <w:spacing w:line="600" w:lineRule="exact"/>
        <w:ind w:firstLine="720"/>
        <w:rPr>
          <w:rFonts w:ascii="黑体" w:hAnsi="宋体" w:eastAsia="黑体"/>
          <w:color w:val="auto"/>
          <w:sz w:val="32"/>
          <w:szCs w:val="32"/>
          <w:highlight w:val="none"/>
        </w:rPr>
      </w:pPr>
      <w:bookmarkStart w:id="133" w:name="_Toc483680861_WPSOffice_Level2"/>
      <w:bookmarkStart w:id="134" w:name="_Toc790342827_WPSOffice_Level2"/>
      <w:r>
        <w:rPr>
          <w:rFonts w:hint="eastAsia" w:ascii="黑体" w:hAnsi="宋体" w:eastAsia="黑体"/>
          <w:color w:val="auto"/>
          <w:sz w:val="32"/>
          <w:szCs w:val="32"/>
          <w:highlight w:val="none"/>
        </w:rPr>
        <w:t>五、评价结论及建议</w:t>
      </w:r>
      <w:bookmarkEnd w:id="133"/>
      <w:bookmarkEnd w:id="134"/>
    </w:p>
    <w:p>
      <w:pPr>
        <w:adjustRightInd w:val="0"/>
        <w:snapToGrid w:val="0"/>
        <w:spacing w:line="600" w:lineRule="exact"/>
        <w:ind w:firstLine="720"/>
        <w:rPr>
          <w:rFonts w:ascii="楷体_GB2312" w:hAnsi="宋体" w:eastAsia="楷体_GB2312"/>
          <w:b/>
          <w:color w:val="auto"/>
          <w:sz w:val="32"/>
          <w:szCs w:val="32"/>
          <w:highlight w:val="none"/>
          <w:lang w:val="zh-CN"/>
        </w:rPr>
      </w:pPr>
      <w:r>
        <w:rPr>
          <w:rFonts w:hint="eastAsia" w:ascii="楷体_GB2312" w:hAnsi="宋体" w:eastAsia="楷体_GB2312"/>
          <w:b/>
          <w:color w:val="auto"/>
          <w:sz w:val="32"/>
          <w:szCs w:val="32"/>
          <w:highlight w:val="none"/>
          <w:lang w:val="zh-CN"/>
        </w:rPr>
        <w:t>（一）评价结论</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2020年我厅严格按照财政厅预算绩效管理有关要求以及资金管理、项目申报的有关规定使用内贸发展专项资金。项目的决策、执行、完成等情况均符合相关管理规定，项目高质量的完成，实现了预期相关绩效目标，发挥了财政资金应有的作用。综合评价得分91.32分。</w:t>
      </w:r>
    </w:p>
    <w:p>
      <w:pPr>
        <w:adjustRightInd w:val="0"/>
        <w:snapToGrid w:val="0"/>
        <w:spacing w:line="600" w:lineRule="exact"/>
        <w:ind w:firstLine="720"/>
        <w:rPr>
          <w:rFonts w:ascii="楷体_GB2312" w:hAnsi="宋体" w:eastAsia="楷体_GB2312"/>
          <w:b/>
          <w:color w:val="auto"/>
          <w:sz w:val="32"/>
          <w:szCs w:val="32"/>
          <w:highlight w:val="none"/>
          <w:lang w:val="zh-CN"/>
        </w:rPr>
      </w:pPr>
      <w:r>
        <w:rPr>
          <w:rFonts w:hint="eastAsia" w:ascii="楷体_GB2312" w:hAnsi="宋体" w:eastAsia="楷体_GB2312"/>
          <w:b/>
          <w:color w:val="auto"/>
          <w:sz w:val="32"/>
          <w:szCs w:val="32"/>
          <w:highlight w:val="none"/>
          <w:lang w:val="zh-CN"/>
        </w:rPr>
        <w:t>（二）存在的问题</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项目在执行过程中也存在一些问题有待改进，从而促进项目更好发展。相关问题主要体现在以下方面：</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1.绩效目标设置的科学性、合理性还有待提升。</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我厅业务处室与财务处的融合还需进一步加强，项目目</w:t>
      </w:r>
    </w:p>
    <w:p>
      <w:pPr>
        <w:keepNext w:val="0"/>
        <w:keepLines w:val="0"/>
        <w:pageBreakBefore w:val="0"/>
        <w:widowControl w:val="0"/>
        <w:kinsoku/>
        <w:wordWrap/>
        <w:overflowPunct/>
        <w:topLinePunct w:val="0"/>
        <w:autoSpaceDE/>
        <w:autoSpaceDN/>
        <w:bidi w:val="0"/>
        <w:adjustRightInd/>
        <w:snapToGrid w:val="0"/>
        <w:spacing w:line="640" w:lineRule="exact"/>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标设置的科学性、合理性还有些不足，主要是业务人员和财务人员对于项目目标的理解上存在不同的认识。</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2.项目预算编制的准确性有待提高。</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2020年突如其来的新冠疫情、历史罕见的洪涝灾害、严</w:t>
      </w:r>
    </w:p>
    <w:p>
      <w:pPr>
        <w:keepNext w:val="0"/>
        <w:keepLines w:val="0"/>
        <w:pageBreakBefore w:val="0"/>
        <w:widowControl w:val="0"/>
        <w:kinsoku/>
        <w:wordWrap/>
        <w:overflowPunct/>
        <w:topLinePunct w:val="0"/>
        <w:autoSpaceDE/>
        <w:autoSpaceDN/>
        <w:bidi w:val="0"/>
        <w:adjustRightInd/>
        <w:snapToGrid w:val="0"/>
        <w:spacing w:line="640" w:lineRule="exact"/>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峻复杂的内外环境，多重困难叠加导致预算的借准确性不够， 2020年资金结余率为34.99%。</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3.项目预算执行进度有待改加强。</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截止2020年12月31日，2020年内贸发展专项资金整</w:t>
      </w:r>
    </w:p>
    <w:p>
      <w:pPr>
        <w:keepNext w:val="0"/>
        <w:keepLines w:val="0"/>
        <w:pageBreakBefore w:val="0"/>
        <w:widowControl w:val="0"/>
        <w:kinsoku/>
        <w:wordWrap/>
        <w:overflowPunct/>
        <w:topLinePunct w:val="0"/>
        <w:autoSpaceDE/>
        <w:autoSpaceDN/>
        <w:bidi w:val="0"/>
        <w:adjustRightInd/>
        <w:snapToGrid w:val="0"/>
        <w:spacing w:line="640" w:lineRule="exact"/>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体执行率为65.01%，执行进度整体偏慢，没有完全发挥财政资金效益。执行进度偏慢的主要原因是受新冠疫情影响。</w:t>
      </w:r>
    </w:p>
    <w:p>
      <w:pPr>
        <w:adjustRightInd w:val="0"/>
        <w:snapToGrid w:val="0"/>
        <w:spacing w:line="600" w:lineRule="exact"/>
        <w:ind w:firstLine="720"/>
        <w:rPr>
          <w:rFonts w:ascii="楷体_GB2312" w:hAnsi="宋体" w:eastAsia="楷体_GB2312"/>
          <w:b/>
          <w:color w:val="auto"/>
          <w:sz w:val="32"/>
          <w:szCs w:val="32"/>
          <w:highlight w:val="none"/>
          <w:lang w:val="zh-CN"/>
        </w:rPr>
      </w:pPr>
      <w:r>
        <w:rPr>
          <w:rFonts w:hint="eastAsia" w:ascii="楷体_GB2312" w:hAnsi="宋体" w:eastAsia="楷体_GB2312"/>
          <w:b/>
          <w:color w:val="auto"/>
          <w:sz w:val="32"/>
          <w:szCs w:val="32"/>
          <w:highlight w:val="none"/>
          <w:lang w:val="zh-CN"/>
        </w:rPr>
        <w:t>（三）相关建议</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1.强化绩效目标管理。</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绩效目标制定是预算绩效管理的基础，也是编制部门预算、实施绩效监控、开展绩效评价的重要基础和依据。加强绩效管理政策宣传，提高项目工作人员绩效管理意识，加强业务培训，提高绩效管理专业知识，确保编制的绩效目标科学合理。</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2.提高预算编制的准确性。</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把绩效目标作为项目实施的前置条件，提高资金使用的合理性和科学性。进一步推进绩效目标的明细化，强化目标编制的完整性和实用性，提高预算绩效目标的编制质量。</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3.加强项目执行进度监控。</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default" w:ascii="仿宋_GB2312" w:hAnsi="宋体" w:eastAsia="仿宋_GB2312" w:cs="Times New Roman"/>
          <w:color w:val="auto"/>
          <w:sz w:val="32"/>
          <w:szCs w:val="32"/>
          <w:highlight w:val="none"/>
          <w:lang w:val="en-US" w:eastAsia="zh-CN"/>
        </w:rPr>
      </w:pPr>
      <w:r>
        <w:rPr>
          <w:rFonts w:hint="default" w:ascii="仿宋_GB2312" w:hAnsi="宋体" w:eastAsia="仿宋_GB2312" w:cs="Times New Roman"/>
          <w:color w:val="auto"/>
          <w:sz w:val="32"/>
          <w:szCs w:val="32"/>
          <w:highlight w:val="none"/>
          <w:lang w:val="en-US" w:eastAsia="zh-CN"/>
        </w:rPr>
        <w:t>以6、9、11、12月为时间节点统计预算执行情况，实时掌握项目执行情况，以便及时发现执行中的问题，有针对性的做出预算调整。加快预算资金执行进度，提高资金使用效率。按财政要求开展预算执行的动态监控，中期评估、绩效跟踪监控管理等系列工作，对预算执行过程中发现的问题及时查找原因并落实整改，逐步优化完善。</w:t>
      </w:r>
    </w:p>
    <w:p>
      <w:pPr>
        <w:pStyle w:val="2"/>
        <w:rPr>
          <w:rFonts w:hint="default" w:ascii="仿宋_GB2312" w:hAnsi="宋体" w:eastAsia="仿宋_GB2312" w:cs="Times New Roman"/>
          <w:color w:val="auto"/>
          <w:sz w:val="32"/>
          <w:szCs w:val="32"/>
          <w:highlight w:val="none"/>
          <w:lang w:val="en-US" w:eastAsia="zh-CN"/>
        </w:rPr>
      </w:pPr>
    </w:p>
    <w:p>
      <w:pPr>
        <w:pStyle w:val="2"/>
        <w:rPr>
          <w:rFonts w:hint="default" w:ascii="仿宋_GB2312" w:hAnsi="宋体" w:eastAsia="仿宋_GB2312" w:cs="Times New Roman"/>
          <w:color w:val="auto"/>
          <w:sz w:val="32"/>
          <w:szCs w:val="32"/>
          <w:highlight w:val="none"/>
          <w:lang w:val="en-US" w:eastAsia="zh-CN"/>
        </w:rPr>
      </w:pPr>
    </w:p>
    <w:p>
      <w:pPr>
        <w:spacing w:line="580" w:lineRule="exact"/>
        <w:ind w:firstLine="640"/>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spacing w:line="580" w:lineRule="exact"/>
        <w:outlineLvl w:val="1"/>
        <w:rPr>
          <w:rFonts w:hint="eastAsia" w:ascii="仿宋_GB2312" w:hAnsi="仿宋_GB2312" w:eastAsia="黑体" w:cs="仿宋_GB2312"/>
          <w:color w:val="auto"/>
          <w:sz w:val="32"/>
          <w:szCs w:val="32"/>
          <w:highlight w:val="none"/>
          <w:lang w:val="en-US" w:eastAsia="zh-CN"/>
        </w:rPr>
      </w:pPr>
      <w:bookmarkStart w:id="135" w:name="_Toc6178"/>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3</w:t>
      </w:r>
      <w:bookmarkEnd w:id="135"/>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宋体" w:eastAsia="方正小标宋简体"/>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ascii="方正小标宋简体" w:hAnsi="宋体" w:eastAsia="方正小标宋简体"/>
          <w:color w:val="auto"/>
          <w:sz w:val="44"/>
          <w:szCs w:val="44"/>
          <w:highlight w:val="none"/>
        </w:rPr>
      </w:pPr>
      <w:bookmarkStart w:id="136" w:name="_Toc1873379420_WPSOffice_Level2"/>
      <w:bookmarkStart w:id="137" w:name="_Toc2034621400_WPSOffice_Level2"/>
      <w:r>
        <w:rPr>
          <w:rFonts w:hint="eastAsia" w:ascii="方正小标宋简体" w:hAnsi="宋体" w:eastAsia="方正小标宋简体"/>
          <w:color w:val="auto"/>
          <w:sz w:val="44"/>
          <w:szCs w:val="44"/>
          <w:highlight w:val="none"/>
          <w:lang w:val="en-US" w:eastAsia="zh-CN"/>
        </w:rPr>
        <w:t>2020年部门预算项目支出绩效自评报告</w:t>
      </w:r>
      <w:bookmarkEnd w:id="136"/>
      <w:bookmarkEnd w:id="137"/>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outlineLvl w:val="9"/>
        <w:rPr>
          <w:rFonts w:hAnsi="宋体" w:eastAsia="仿宋_GB2312"/>
          <w:color w:val="auto"/>
          <w:sz w:val="32"/>
          <w:szCs w:val="32"/>
          <w:highlight w:val="none"/>
        </w:rPr>
      </w:pPr>
      <w:r>
        <w:rPr>
          <w:rFonts w:hint="eastAsia" w:hAnsi="宋体" w:eastAsia="仿宋_GB2312"/>
          <w:color w:val="auto"/>
          <w:sz w:val="32"/>
          <w:szCs w:val="32"/>
          <w:highlight w:val="none"/>
        </w:rPr>
        <w:t>（</w:t>
      </w:r>
      <w:r>
        <w:rPr>
          <w:rFonts w:hint="eastAsia" w:ascii="仿宋_GB2312" w:hAnsi="仿宋_GB2312" w:eastAsia="仿宋_GB2312" w:cs="仿宋_GB2312"/>
          <w:b w:val="0"/>
          <w:bCs w:val="0"/>
          <w:color w:val="auto"/>
          <w:sz w:val="32"/>
          <w:szCs w:val="21"/>
          <w:highlight w:val="none"/>
          <w:lang w:eastAsia="zh-CN"/>
        </w:rPr>
        <w:t>商务事业运行补助经费项目</w:t>
      </w:r>
      <w:r>
        <w:rPr>
          <w:rFonts w:hint="eastAsia" w:hAnsi="宋体" w:eastAsia="仿宋_GB2312"/>
          <w:color w:val="auto"/>
          <w:sz w:val="32"/>
          <w:szCs w:val="32"/>
          <w:highlight w:val="none"/>
        </w:rPr>
        <w:t>）</w:t>
      </w: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ind w:firstLine="642" w:firstLineChars="200"/>
        <w:jc w:val="left"/>
        <w:textAlignment w:val="auto"/>
        <w:outlineLvl w:val="9"/>
        <w:rPr>
          <w:rFonts w:ascii="宋体" w:hAnsi="宋体" w:eastAsia="仿宋_GB2312"/>
          <w:b/>
          <w:color w:val="auto"/>
          <w:sz w:val="32"/>
          <w:szCs w:val="21"/>
          <w:highlight w:val="none"/>
        </w:rPr>
      </w:pPr>
    </w:p>
    <w:p>
      <w:pPr>
        <w:keepNext w:val="0"/>
        <w:keepLines w:val="0"/>
        <w:pageBreakBefore w:val="0"/>
        <w:widowControl w:val="0"/>
        <w:numPr>
          <w:ilvl w:val="0"/>
          <w:numId w:val="5"/>
        </w:numPr>
        <w:tabs>
          <w:tab w:val="left" w:pos="3885"/>
        </w:tabs>
        <w:kinsoku/>
        <w:wordWrap/>
        <w:overflowPunct/>
        <w:topLinePunct w:val="0"/>
        <w:autoSpaceDE/>
        <w:autoSpaceDN/>
        <w:bidi w:val="0"/>
        <w:adjustRightInd/>
        <w:snapToGrid w:val="0"/>
        <w:spacing w:line="600" w:lineRule="exact"/>
        <w:ind w:firstLine="640" w:firstLineChars="200"/>
        <w:jc w:val="left"/>
        <w:textAlignment w:val="auto"/>
        <w:outlineLvl w:val="9"/>
        <w:rPr>
          <w:rFonts w:hint="eastAsia" w:ascii="黑体" w:hAnsi="宋体" w:eastAsia="黑体"/>
          <w:color w:val="auto"/>
          <w:sz w:val="32"/>
          <w:szCs w:val="21"/>
          <w:highlight w:val="none"/>
          <w:lang w:eastAsia="zh-CN"/>
        </w:rPr>
      </w:pPr>
      <w:bookmarkStart w:id="138" w:name="_Toc1020769964_WPSOffice_Level2"/>
      <w:bookmarkStart w:id="139" w:name="_Toc854853258_WPSOffice_Level2"/>
      <w:r>
        <w:rPr>
          <w:rFonts w:hint="eastAsia" w:ascii="黑体" w:hAnsi="宋体" w:eastAsia="黑体"/>
          <w:color w:val="auto"/>
          <w:sz w:val="32"/>
          <w:szCs w:val="21"/>
          <w:highlight w:val="none"/>
          <w:lang w:eastAsia="zh-CN"/>
        </w:rPr>
        <w:t>基本情况</w:t>
      </w:r>
      <w:bookmarkEnd w:id="138"/>
      <w:bookmarkEnd w:id="139"/>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21"/>
          <w:highlight w:val="none"/>
          <w:lang w:eastAsia="zh-CN"/>
        </w:rPr>
      </w:pPr>
      <w:r>
        <w:rPr>
          <w:rFonts w:hint="eastAsia" w:ascii="仿宋_GB2312" w:hAnsi="仿宋_GB2312" w:eastAsia="仿宋_GB2312" w:cs="仿宋_GB2312"/>
          <w:color w:val="auto"/>
          <w:sz w:val="32"/>
          <w:szCs w:val="21"/>
          <w:highlight w:val="none"/>
          <w:lang w:eastAsia="zh-CN"/>
        </w:rPr>
        <w:t>根据《四川省人民政府办公厅关于印发四川省商务厅主要职责内设机构和人员编制规定的通知》（川办发[2010]66号）文件明确的商务厅主要职责，该项目经费与部门职能职责相符，大额资金支付履行了部门论证流程。商务厅机关</w:t>
      </w:r>
      <w:r>
        <w:rPr>
          <w:rFonts w:hint="eastAsia" w:ascii="仿宋_GB2312" w:hAnsi="仿宋_GB2312" w:eastAsia="仿宋_GB2312" w:cs="仿宋_GB2312"/>
          <w:color w:val="auto"/>
          <w:sz w:val="32"/>
          <w:szCs w:val="21"/>
          <w:highlight w:val="none"/>
          <w:lang w:val="en-US" w:eastAsia="zh-CN"/>
        </w:rPr>
        <w:t>2020年该项目预算金额352.33万元，实际执行255.13万元。预期总体目标是把握新要求，明确新目标，谋划新举措，努力推动商务高质量发展，突出抓好“两大工程”、着力构建“三大体系”、扎实推进“四大行动”，努力建设现代化商务经济强省</w:t>
      </w:r>
      <w:r>
        <w:rPr>
          <w:rFonts w:hint="eastAsia" w:ascii="仿宋_GB2312" w:hAnsi="仿宋_GB2312" w:eastAsia="仿宋_GB2312" w:cs="仿宋_GB2312"/>
          <w:color w:val="auto"/>
          <w:sz w:val="32"/>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宋体" w:hAnsi="宋体" w:eastAsia="仿宋_GB2312"/>
          <w:color w:val="auto"/>
          <w:sz w:val="32"/>
          <w:szCs w:val="21"/>
          <w:highlight w:val="none"/>
          <w:lang w:eastAsia="zh-CN"/>
        </w:rPr>
      </w:pPr>
      <w:bookmarkStart w:id="140" w:name="_Toc1581643700_WPSOffice_Level2"/>
      <w:bookmarkStart w:id="141" w:name="_Toc1680660192_WPSOffice_Level2"/>
      <w:r>
        <w:rPr>
          <w:rFonts w:hint="eastAsia" w:ascii="黑体" w:hAnsi="黑体" w:eastAsia="黑体" w:cs="黑体"/>
          <w:color w:val="auto"/>
          <w:sz w:val="32"/>
          <w:szCs w:val="21"/>
          <w:highlight w:val="none"/>
          <w:lang w:eastAsia="zh-CN"/>
        </w:rPr>
        <w:t>二、评价工作开展情况</w:t>
      </w:r>
      <w:bookmarkEnd w:id="140"/>
      <w:bookmarkEnd w:id="141"/>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21"/>
          <w:highlight w:val="none"/>
          <w:lang w:val="en-US" w:eastAsia="zh-CN"/>
        </w:rPr>
      </w:pPr>
      <w:r>
        <w:rPr>
          <w:rFonts w:hint="eastAsia" w:ascii="仿宋_GB2312" w:hAnsi="仿宋_GB2312" w:eastAsia="仿宋_GB2312" w:cs="仿宋_GB2312"/>
          <w:color w:val="auto"/>
          <w:sz w:val="32"/>
          <w:szCs w:val="21"/>
          <w:highlight w:val="none"/>
          <w:lang w:val="en-US" w:eastAsia="zh-CN"/>
        </w:rPr>
        <w:t>1.评价组织情况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21"/>
          <w:highlight w:val="none"/>
          <w:lang w:val="en-US" w:eastAsia="zh-CN"/>
        </w:rPr>
      </w:pPr>
      <w:r>
        <w:rPr>
          <w:rFonts w:hint="eastAsia" w:ascii="仿宋_GB2312" w:hAnsi="仿宋_GB2312" w:eastAsia="仿宋_GB2312" w:cs="仿宋_GB2312"/>
          <w:color w:val="auto"/>
          <w:sz w:val="32"/>
          <w:szCs w:val="21"/>
          <w:highlight w:val="none"/>
          <w:lang w:val="en-US" w:eastAsia="zh-CN"/>
        </w:rPr>
        <w:t>立即召开处务会，明确厅机关重点部门预算项目年度自评的重要性，成立自评工作领导小组。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21"/>
          <w:highlight w:val="none"/>
          <w:lang w:val="en-US" w:eastAsia="zh-CN"/>
        </w:rPr>
      </w:pPr>
      <w:r>
        <w:rPr>
          <w:rFonts w:hint="eastAsia" w:ascii="仿宋_GB2312" w:hAnsi="仿宋_GB2312" w:eastAsia="仿宋_GB2312" w:cs="仿宋_GB2312"/>
          <w:color w:val="auto"/>
          <w:sz w:val="32"/>
          <w:szCs w:val="21"/>
          <w:highlight w:val="none"/>
          <w:lang w:val="en-US" w:eastAsia="zh-CN"/>
        </w:rPr>
        <w:t>2.评价指标体系、评价方法和标准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21"/>
          <w:highlight w:val="none"/>
          <w:lang w:val="en-US" w:eastAsia="zh-CN"/>
        </w:rPr>
      </w:pPr>
      <w:r>
        <w:rPr>
          <w:rFonts w:hint="eastAsia" w:ascii="仿宋_GB2312" w:hAnsi="仿宋_GB2312" w:eastAsia="仿宋_GB2312" w:cs="仿宋_GB2312"/>
          <w:color w:val="auto"/>
          <w:sz w:val="32"/>
          <w:szCs w:val="21"/>
          <w:highlight w:val="none"/>
          <w:lang w:val="en-US" w:eastAsia="zh-CN"/>
        </w:rPr>
        <w:t>参照2021年省级部门整体支出绩效评价指标体系（适用于专项预算小于1亿的部门），确定厅机关重点项目为商务事业运行补助经费项目，以部门预算管理、专项预算管理、绩效结果应用、自评质量等4个一级指标为基准，覆盖至下属三级指标13项进行分步测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宋体" w:eastAsia="黑体"/>
          <w:color w:val="auto"/>
          <w:sz w:val="32"/>
          <w:szCs w:val="21"/>
          <w:highlight w:val="none"/>
          <w:lang w:eastAsia="zh-CN"/>
        </w:rPr>
      </w:pPr>
      <w:bookmarkStart w:id="142" w:name="_Toc1629880237_WPSOffice_Level2"/>
      <w:bookmarkStart w:id="143" w:name="_Toc485038108_WPSOffice_Level2"/>
      <w:r>
        <w:rPr>
          <w:rFonts w:hint="eastAsia" w:ascii="黑体" w:hAnsi="宋体" w:eastAsia="黑体"/>
          <w:color w:val="auto"/>
          <w:sz w:val="32"/>
          <w:szCs w:val="21"/>
          <w:highlight w:val="none"/>
          <w:lang w:eastAsia="zh-CN"/>
        </w:rPr>
        <w:t>三、综合</w:t>
      </w:r>
      <w:r>
        <w:rPr>
          <w:rFonts w:hint="eastAsia" w:ascii="黑体" w:hAnsi="宋体" w:eastAsia="黑体"/>
          <w:color w:val="auto"/>
          <w:sz w:val="32"/>
          <w:szCs w:val="21"/>
          <w:highlight w:val="none"/>
        </w:rPr>
        <w:t>评价结论</w:t>
      </w:r>
      <w:r>
        <w:rPr>
          <w:rFonts w:hint="eastAsia" w:ascii="黑体" w:hAnsi="宋体" w:eastAsia="黑体"/>
          <w:color w:val="auto"/>
          <w:sz w:val="32"/>
          <w:szCs w:val="21"/>
          <w:highlight w:val="none"/>
          <w:lang w:eastAsia="zh-CN"/>
        </w:rPr>
        <w:t>（附评分表）</w:t>
      </w:r>
      <w:bookmarkEnd w:id="142"/>
      <w:bookmarkEnd w:id="143"/>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21"/>
          <w:highlight w:val="none"/>
          <w:lang w:val="en-US" w:eastAsia="zh-CN"/>
        </w:rPr>
      </w:pPr>
      <w:r>
        <w:rPr>
          <w:rFonts w:hint="eastAsia" w:ascii="仿宋_GB2312" w:hAnsi="仿宋_GB2312" w:eastAsia="仿宋_GB2312" w:cs="仿宋_GB2312"/>
          <w:color w:val="auto"/>
          <w:sz w:val="32"/>
          <w:szCs w:val="21"/>
          <w:highlight w:val="none"/>
          <w:lang w:val="en-US" w:eastAsia="zh-CN"/>
        </w:rPr>
        <w:t>根据绩效评价指标体系对商务事业运行补助经费进行评价后，合计得分93分。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黑体" w:eastAsia="黑体" w:cs="黑体"/>
          <w:b w:val="0"/>
          <w:bCs/>
          <w:color w:val="auto"/>
          <w:sz w:val="32"/>
          <w:szCs w:val="21"/>
          <w:highlight w:val="none"/>
          <w:lang w:eastAsia="zh-CN"/>
        </w:rPr>
      </w:pPr>
      <w:bookmarkStart w:id="144" w:name="_Toc277257771_WPSOffice_Level2"/>
      <w:bookmarkStart w:id="145" w:name="_Toc889602394_WPSOffice_Level2"/>
      <w:r>
        <w:rPr>
          <w:rFonts w:hint="eastAsia" w:ascii="黑体" w:hAnsi="黑体" w:eastAsia="黑体" w:cs="黑体"/>
          <w:b w:val="0"/>
          <w:bCs/>
          <w:color w:val="auto"/>
          <w:sz w:val="32"/>
          <w:szCs w:val="21"/>
          <w:highlight w:val="none"/>
          <w:lang w:eastAsia="zh-CN"/>
        </w:rPr>
        <w:t>四、绩效评价分析</w:t>
      </w:r>
      <w:bookmarkEnd w:id="144"/>
      <w:bookmarkEnd w:id="145"/>
    </w:p>
    <w:p>
      <w:pPr>
        <w:keepNext w:val="0"/>
        <w:keepLines w:val="0"/>
        <w:pageBreakBefore w:val="0"/>
        <w:widowControl w:val="0"/>
        <w:kinsoku/>
        <w:wordWrap/>
        <w:overflowPunct/>
        <w:topLinePunct w:val="0"/>
        <w:autoSpaceDE/>
        <w:autoSpaceDN/>
        <w:bidi w:val="0"/>
        <w:adjustRightInd/>
        <w:snapToGrid w:val="0"/>
        <w:spacing w:line="600" w:lineRule="exact"/>
        <w:ind w:firstLine="642" w:firstLineChars="200"/>
        <w:textAlignment w:val="auto"/>
        <w:outlineLvl w:val="9"/>
        <w:rPr>
          <w:rFonts w:hint="eastAsia" w:ascii="楷体_GB2312" w:hAnsi="宋体" w:eastAsia="楷体_GB2312"/>
          <w:b/>
          <w:color w:val="auto"/>
          <w:sz w:val="32"/>
          <w:szCs w:val="21"/>
          <w:highlight w:val="none"/>
          <w:lang w:eastAsia="zh-CN"/>
        </w:rPr>
      </w:pPr>
      <w:r>
        <w:rPr>
          <w:rFonts w:hint="eastAsia" w:ascii="楷体_GB2312" w:hAnsi="宋体" w:eastAsia="楷体_GB2312"/>
          <w:b/>
          <w:color w:val="auto"/>
          <w:sz w:val="32"/>
          <w:szCs w:val="21"/>
          <w:highlight w:val="none"/>
          <w:lang w:eastAsia="zh-CN"/>
        </w:rPr>
        <w:t>（一）项目决策情况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lang w:eastAsia="zh-CN"/>
        </w:rPr>
      </w:pPr>
      <w:r>
        <w:rPr>
          <w:rFonts w:hint="eastAsia" w:ascii="仿宋_GB2312" w:hAnsi="仿宋_GB2312" w:eastAsia="仿宋_GB2312" w:cs="仿宋_GB2312"/>
          <w:color w:val="auto"/>
          <w:sz w:val="32"/>
          <w:szCs w:val="21"/>
          <w:highlight w:val="none"/>
          <w:lang w:val="en-US" w:eastAsia="zh-CN"/>
        </w:rPr>
        <w:t>大额资金支付履行了部门论证流程。</w:t>
      </w:r>
    </w:p>
    <w:p>
      <w:pPr>
        <w:keepNext w:val="0"/>
        <w:keepLines w:val="0"/>
        <w:pageBreakBefore w:val="0"/>
        <w:widowControl w:val="0"/>
        <w:numPr>
          <w:ilvl w:val="0"/>
          <w:numId w:val="6"/>
        </w:numPr>
        <w:kinsoku/>
        <w:wordWrap/>
        <w:overflowPunct/>
        <w:topLinePunct w:val="0"/>
        <w:autoSpaceDE/>
        <w:autoSpaceDN/>
        <w:bidi w:val="0"/>
        <w:adjustRightInd/>
        <w:snapToGrid w:val="0"/>
        <w:spacing w:line="600" w:lineRule="exact"/>
        <w:ind w:firstLine="642" w:firstLineChars="200"/>
        <w:textAlignment w:val="auto"/>
        <w:outlineLvl w:val="9"/>
        <w:rPr>
          <w:rFonts w:hint="eastAsia" w:ascii="楷体_GB2312" w:hAnsi="宋体" w:eastAsia="楷体_GB2312"/>
          <w:b/>
          <w:color w:val="auto"/>
          <w:sz w:val="32"/>
          <w:szCs w:val="21"/>
          <w:highlight w:val="none"/>
          <w:lang w:eastAsia="zh-CN"/>
        </w:rPr>
      </w:pPr>
      <w:r>
        <w:rPr>
          <w:rFonts w:hint="eastAsia" w:ascii="楷体_GB2312" w:hAnsi="宋体" w:eastAsia="楷体_GB2312"/>
          <w:b/>
          <w:color w:val="auto"/>
          <w:sz w:val="32"/>
          <w:szCs w:val="21"/>
          <w:highlight w:val="none"/>
          <w:lang w:eastAsia="zh-CN"/>
        </w:rPr>
        <w:t>项目管理情况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lang w:val="en-US" w:eastAsia="zh-CN"/>
        </w:rPr>
      </w:pPr>
      <w:r>
        <w:rPr>
          <w:rFonts w:hint="eastAsia" w:ascii="仿宋_GB2312" w:hAnsi="仿宋_GB2312" w:eastAsia="仿宋_GB2312" w:cs="仿宋_GB2312"/>
          <w:color w:val="auto"/>
          <w:sz w:val="32"/>
          <w:szCs w:val="21"/>
          <w:highlight w:val="none"/>
          <w:lang w:val="en-US" w:eastAsia="zh-CN"/>
        </w:rPr>
        <w:t>该项目列入年度预算352.33万元，编制了绩效目标，项目执行单位建立了财务管理制度和内部控制制度。</w:t>
      </w:r>
    </w:p>
    <w:p>
      <w:pPr>
        <w:keepNext w:val="0"/>
        <w:keepLines w:val="0"/>
        <w:pageBreakBefore w:val="0"/>
        <w:widowControl w:val="0"/>
        <w:numPr>
          <w:ilvl w:val="0"/>
          <w:numId w:val="6"/>
        </w:numPr>
        <w:kinsoku/>
        <w:wordWrap/>
        <w:overflowPunct/>
        <w:topLinePunct w:val="0"/>
        <w:autoSpaceDE/>
        <w:autoSpaceDN/>
        <w:bidi w:val="0"/>
        <w:adjustRightInd/>
        <w:snapToGrid w:val="0"/>
        <w:spacing w:line="600" w:lineRule="exact"/>
        <w:ind w:left="0" w:leftChars="0" w:firstLine="642" w:firstLineChars="200"/>
        <w:textAlignment w:val="auto"/>
        <w:outlineLvl w:val="9"/>
        <w:rPr>
          <w:rFonts w:hint="eastAsia" w:ascii="楷体_GB2312" w:hAnsi="宋体" w:eastAsia="楷体_GB2312"/>
          <w:b/>
          <w:color w:val="auto"/>
          <w:sz w:val="32"/>
          <w:szCs w:val="21"/>
          <w:highlight w:val="none"/>
          <w:lang w:eastAsia="zh-CN"/>
        </w:rPr>
      </w:pPr>
      <w:r>
        <w:rPr>
          <w:rFonts w:hint="eastAsia" w:ascii="楷体_GB2312" w:hAnsi="宋体" w:eastAsia="楷体_GB2312"/>
          <w:b/>
          <w:color w:val="auto"/>
          <w:sz w:val="32"/>
          <w:szCs w:val="21"/>
          <w:highlight w:val="none"/>
          <w:lang w:eastAsia="zh-CN"/>
        </w:rPr>
        <w:t>项目产出情况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lang w:val="en-US" w:eastAsia="zh-CN"/>
        </w:rPr>
      </w:pPr>
      <w:r>
        <w:rPr>
          <w:rFonts w:hint="eastAsia" w:ascii="仿宋_GB2312" w:hAnsi="仿宋_GB2312" w:eastAsia="仿宋_GB2312" w:cs="仿宋_GB2312"/>
          <w:color w:val="auto"/>
          <w:sz w:val="32"/>
          <w:szCs w:val="21"/>
          <w:highlight w:val="none"/>
          <w:lang w:val="en-US" w:eastAsia="zh-CN"/>
        </w:rPr>
        <w:t>具体支出包括外贸数据加工服务费，表彰四川自贸试验区工作评价先进费用，《四川商务年鉴》编印费，商务领域课题研究经费，安全设备优化、网络安全等保测评服务费，立法修订项目服务费、项目评审开支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宋体" w:eastAsia="黑体"/>
          <w:color w:val="auto"/>
          <w:sz w:val="32"/>
          <w:szCs w:val="21"/>
          <w:highlight w:val="none"/>
        </w:rPr>
      </w:pPr>
      <w:bookmarkStart w:id="146" w:name="_Toc1059876128_WPSOffice_Level2"/>
      <w:bookmarkStart w:id="147" w:name="_Toc1939267984_WPSOffice_Level2"/>
      <w:r>
        <w:rPr>
          <w:rFonts w:hint="eastAsia" w:ascii="黑体" w:hAnsi="宋体" w:eastAsia="黑体"/>
          <w:color w:val="auto"/>
          <w:sz w:val="32"/>
          <w:szCs w:val="21"/>
          <w:highlight w:val="none"/>
        </w:rPr>
        <w:t>五、存在主要问题</w:t>
      </w:r>
      <w:bookmarkEnd w:id="146"/>
      <w:bookmarkEnd w:id="147"/>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21"/>
          <w:highlight w:val="none"/>
          <w:lang w:val="en-US" w:eastAsia="zh-CN"/>
        </w:rPr>
      </w:pPr>
      <w:r>
        <w:rPr>
          <w:rFonts w:hint="eastAsia" w:ascii="仿宋_GB2312" w:hAnsi="仿宋_GB2312" w:eastAsia="仿宋_GB2312" w:cs="仿宋_GB2312"/>
          <w:color w:val="auto"/>
          <w:sz w:val="32"/>
          <w:szCs w:val="21"/>
          <w:highlight w:val="none"/>
          <w:lang w:val="en-US" w:eastAsia="zh-CN"/>
        </w:rPr>
        <w:t>该项目边界清晰，但开支费用款项较多，需要厘清类别。</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ascii="黑体" w:hAnsi="宋体" w:eastAsia="黑体"/>
          <w:color w:val="auto"/>
          <w:sz w:val="32"/>
          <w:szCs w:val="21"/>
          <w:highlight w:val="none"/>
        </w:rPr>
      </w:pPr>
      <w:bookmarkStart w:id="148" w:name="_Toc1696551684_WPSOffice_Level2"/>
      <w:bookmarkStart w:id="149" w:name="_Toc2128404320_WPSOffice_Level2"/>
      <w:r>
        <w:rPr>
          <w:rFonts w:hint="eastAsia" w:ascii="黑体" w:hAnsi="宋体" w:eastAsia="黑体"/>
          <w:color w:val="auto"/>
          <w:sz w:val="32"/>
          <w:szCs w:val="21"/>
          <w:highlight w:val="none"/>
        </w:rPr>
        <w:t>六、相关措施建议</w:t>
      </w:r>
      <w:bookmarkEnd w:id="148"/>
      <w:bookmarkEnd w:id="149"/>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21"/>
          <w:highlight w:val="none"/>
          <w:lang w:val="en-US" w:eastAsia="zh-CN"/>
        </w:rPr>
      </w:pPr>
      <w:r>
        <w:rPr>
          <w:rFonts w:hint="eastAsia" w:ascii="仿宋_GB2312" w:hAnsi="仿宋_GB2312" w:eastAsia="仿宋_GB2312" w:cs="仿宋_GB2312"/>
          <w:color w:val="auto"/>
          <w:sz w:val="32"/>
          <w:szCs w:val="21"/>
          <w:highlight w:val="none"/>
          <w:lang w:val="en-US" w:eastAsia="zh-CN"/>
        </w:rPr>
        <w:t>提高绩效目标编制的科学性，对项目预算测算标准和过程进行细化。</w:t>
      </w:r>
    </w:p>
    <w:p>
      <w:pPr>
        <w:widowControl/>
        <w:jc w:val="left"/>
        <w:rPr>
          <w:rStyle w:val="25"/>
          <w:rFonts w:ascii="黑体" w:hAnsi="黑体" w:eastAsia="黑体"/>
          <w:b w:val="0"/>
          <w:color w:val="auto"/>
          <w:highlight w:val="none"/>
        </w:rPr>
      </w:pPr>
    </w:p>
    <w:p>
      <w:pPr>
        <w:widowControl/>
        <w:jc w:val="left"/>
        <w:rPr>
          <w:rStyle w:val="25"/>
          <w:rFonts w:ascii="黑体" w:hAnsi="黑体" w:eastAsia="黑体"/>
          <w:b w:val="0"/>
          <w:color w:val="auto"/>
          <w:highlight w:val="none"/>
        </w:rPr>
      </w:pPr>
      <w:r>
        <w:rPr>
          <w:rStyle w:val="25"/>
          <w:rFonts w:ascii="黑体" w:hAnsi="黑体" w:eastAsia="黑体"/>
          <w:b w:val="0"/>
          <w:color w:val="auto"/>
          <w:highlight w:val="none"/>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ascii="方正小标宋简体" w:hAnsi="宋体" w:eastAsia="方正小标宋简体"/>
          <w:color w:val="auto"/>
          <w:sz w:val="44"/>
          <w:szCs w:val="44"/>
          <w:highlight w:val="none"/>
        </w:rPr>
      </w:pPr>
      <w:bookmarkStart w:id="150" w:name="_Toc347035197_WPSOffice_Level2"/>
      <w:bookmarkStart w:id="151" w:name="_Toc520129109_WPSOffice_Level2"/>
      <w:r>
        <w:rPr>
          <w:rFonts w:hint="eastAsia" w:ascii="方正小标宋简体" w:hAnsi="宋体" w:eastAsia="方正小标宋简体"/>
          <w:color w:val="auto"/>
          <w:sz w:val="44"/>
          <w:szCs w:val="44"/>
          <w:highlight w:val="none"/>
          <w:lang w:val="en-US" w:eastAsia="zh-CN"/>
        </w:rPr>
        <w:t>2020年部门预算项目支出绩效自评报告</w:t>
      </w:r>
      <w:bookmarkEnd w:id="150"/>
      <w:bookmarkEnd w:id="151"/>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outlineLvl w:val="9"/>
        <w:rPr>
          <w:rFonts w:hint="eastAsia" w:hAnsi="宋体" w:eastAsia="仿宋_GB2312"/>
          <w:color w:val="auto"/>
          <w:sz w:val="32"/>
          <w:szCs w:val="32"/>
          <w:highlight w:val="none"/>
        </w:rPr>
      </w:pPr>
      <w:r>
        <w:rPr>
          <w:rFonts w:hint="eastAsia" w:hAnsi="宋体" w:eastAsia="仿宋_GB2312"/>
          <w:color w:val="auto"/>
          <w:sz w:val="32"/>
          <w:szCs w:val="32"/>
          <w:highlight w:val="none"/>
        </w:rPr>
        <w:t>（</w:t>
      </w:r>
      <w:r>
        <w:rPr>
          <w:rFonts w:hint="eastAsia" w:ascii="仿宋_GB2312" w:hAnsi="仿宋_GB2312" w:eastAsia="仿宋_GB2312" w:cs="仿宋_GB2312"/>
          <w:b w:val="0"/>
          <w:bCs w:val="0"/>
          <w:color w:val="auto"/>
          <w:sz w:val="32"/>
          <w:szCs w:val="21"/>
          <w:highlight w:val="none"/>
          <w:lang w:eastAsia="zh-CN"/>
        </w:rPr>
        <w:t>专业特聘教师项目</w:t>
      </w:r>
      <w:r>
        <w:rPr>
          <w:rFonts w:hint="eastAsia" w:hAnsi="宋体"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宋体" w:eastAsia="黑体"/>
          <w:color w:val="auto"/>
          <w:sz w:val="32"/>
          <w:szCs w:val="21"/>
          <w:highlight w:val="none"/>
          <w:lang w:val="zh-CN"/>
        </w:rPr>
      </w:pPr>
      <w:bookmarkStart w:id="152" w:name="_Toc585165950_WPSOffice_Level2"/>
      <w:r>
        <w:rPr>
          <w:rFonts w:hint="eastAsia" w:ascii="黑体" w:hAnsi="宋体" w:eastAsia="黑体"/>
          <w:color w:val="auto"/>
          <w:sz w:val="32"/>
          <w:szCs w:val="21"/>
          <w:highlight w:val="none"/>
        </w:rPr>
        <w:t>一、</w:t>
      </w:r>
      <w:r>
        <w:rPr>
          <w:rFonts w:hint="eastAsia" w:ascii="黑体" w:hAnsi="宋体" w:eastAsia="黑体"/>
          <w:color w:val="auto"/>
          <w:sz w:val="32"/>
          <w:szCs w:val="21"/>
          <w:highlight w:val="none"/>
          <w:lang w:val="zh-CN"/>
        </w:rPr>
        <w:t>项目概况</w:t>
      </w:r>
      <w:bookmarkEnd w:id="152"/>
    </w:p>
    <w:p>
      <w:pPr>
        <w:snapToGrid w:val="0"/>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rPr>
        <w:t>为培养更具适应性的现代商务人才，学校紧扣全省服务业大会精神，为建立紧密对接我省产业链、创新链的专业体系，大力发展““4+6”现代服务业领域相关专业，以烹饪、酒店、康养、电商服务专业为抓手，推动优势专业改革创新，促进产教融合，学校拟从校外高校、兄弟中职学校及建立了校企合作契约关系的企业中聘请专家教授，提高学生的专业实操水平，弥补校内师资力量不足。申请该项资金670.00万元以弥补聘用教师及专家的各项支出。</w:t>
      </w:r>
    </w:p>
    <w:p>
      <w:pPr>
        <w:snapToGrid w:val="0"/>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rPr>
        <w:t>该项目完成后将提升我校学生的实际操作能力，并能在一定程度上解决社会需求和学校培养输出这一供需信息不对称的情况。</w:t>
      </w:r>
    </w:p>
    <w:p>
      <w:pPr>
        <w:snapToGrid w:val="0"/>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rPr>
        <w:t>为实现该项目标，我校根据实际需求统筹安排，于2020年安排聘用教师及专家参与全校教学工作，各专业聘请教师及专家通过市场调研、职业岗位分析，初步建成校企共育、工学结合的“双主体，双结合，分段能力递进”人才模式；在教务科的统筹下，完成了资源库的建立；并改革了教学模式，打造升级了课堂教学模式。</w:t>
      </w:r>
    </w:p>
    <w:p>
      <w:pPr>
        <w:snapToGrid w:val="0"/>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rPr>
        <w:t>为保障该项目的实施，我校根据需求，按照实际情况，及时足额发放聘用教师及专家相关费用，根据年初预算计划，于2020年12月31日前发放完成。该项资金使用完成度100%。</w:t>
      </w:r>
    </w:p>
    <w:p>
      <w:pPr>
        <w:snapToGrid w:val="0"/>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rPr>
        <w:t>我校根据该项目预期能达到的标准设置了完成指标、效益指标，满意度指标以督促保障该项目能顺利按时完成。</w:t>
      </w:r>
    </w:p>
    <w:p>
      <w:pPr>
        <w:snapToGrid w:val="0"/>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rPr>
        <w:t>完成指标中，数量指标设定为中职免学费应受助学生数2500人；质量指标设为专业课程建设4个；时效指标设为发放完成时间为12月；成本指标设为成本控制达标率15%。</w:t>
      </w:r>
    </w:p>
    <w:p>
      <w:pPr>
        <w:snapToGrid w:val="0"/>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rPr>
        <w:t>效益指标中，经济效益指标设为为经济社会发展提供技术技能型人才1200人；社会效益指标设为职业教育受益学生3500人。</w:t>
      </w:r>
    </w:p>
    <w:p>
      <w:pPr>
        <w:snapToGrid w:val="0"/>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rPr>
        <w:t>满意度指标设为学生和家长抽样调查满意度96%。</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宋体" w:eastAsia="黑体"/>
          <w:color w:val="auto"/>
          <w:sz w:val="32"/>
          <w:szCs w:val="21"/>
          <w:highlight w:val="none"/>
        </w:rPr>
      </w:pPr>
      <w:bookmarkStart w:id="153" w:name="_Toc357089918_WPSOffice_Level2"/>
      <w:r>
        <w:rPr>
          <w:rFonts w:hint="eastAsia" w:ascii="黑体" w:hAnsi="宋体" w:eastAsia="黑体"/>
          <w:color w:val="auto"/>
          <w:sz w:val="32"/>
          <w:szCs w:val="21"/>
          <w:highlight w:val="none"/>
        </w:rPr>
        <w:t>二、评价工作开展情况</w:t>
      </w:r>
      <w:bookmarkEnd w:id="153"/>
    </w:p>
    <w:p>
      <w:pPr>
        <w:snapToGrid w:val="0"/>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rPr>
        <w:t>学校和企业合作，共同建立学校、教务科和专业系部三级教学组织管理体系，学校负责教师评价监督和评估，教务科负责教师评价组织实施，专业教研室负责评价的执行和落实。</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宋体" w:eastAsia="黑体"/>
          <w:color w:val="auto"/>
          <w:sz w:val="32"/>
          <w:szCs w:val="21"/>
          <w:highlight w:val="none"/>
        </w:rPr>
      </w:pPr>
      <w:bookmarkStart w:id="154" w:name="_Toc2019571575_WPSOffice_Level2"/>
      <w:r>
        <w:rPr>
          <w:rFonts w:hint="eastAsia" w:ascii="黑体" w:hAnsi="宋体" w:eastAsia="黑体"/>
          <w:color w:val="auto"/>
          <w:sz w:val="32"/>
          <w:szCs w:val="21"/>
          <w:highlight w:val="none"/>
        </w:rPr>
        <w:t>三、综合评价结论</w:t>
      </w:r>
      <w:bookmarkEnd w:id="154"/>
    </w:p>
    <w:p>
      <w:pPr>
        <w:snapToGrid w:val="0"/>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rPr>
        <w:t>该项目资金按时落实到位，项目实施工作有序开展，用人管理制度健全，并能得到执行，能够完成绩效目标申报表的考核指标，但在质量和过程中仍有待提高，自评96分。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宋体" w:eastAsia="黑体"/>
          <w:color w:val="auto"/>
          <w:sz w:val="32"/>
          <w:szCs w:val="21"/>
          <w:highlight w:val="none"/>
        </w:rPr>
      </w:pPr>
      <w:bookmarkStart w:id="155" w:name="_Toc461053113_WPSOffice_Level2"/>
      <w:r>
        <w:rPr>
          <w:rFonts w:hint="eastAsia" w:ascii="黑体" w:hAnsi="宋体" w:eastAsia="黑体"/>
          <w:color w:val="auto"/>
          <w:sz w:val="32"/>
          <w:szCs w:val="21"/>
          <w:highlight w:val="none"/>
        </w:rPr>
        <w:t>四、绩效评价分析</w:t>
      </w:r>
      <w:bookmarkEnd w:id="155"/>
    </w:p>
    <w:p>
      <w:pPr>
        <w:suppressAutoHyphens/>
        <w:bidi w:val="0"/>
        <w:spacing w:line="580" w:lineRule="exact"/>
        <w:ind w:firstLine="642" w:firstLineChars="200"/>
        <w:rPr>
          <w:rFonts w:hint="eastAsia" w:ascii="楷体_GB2312" w:eastAsia="楷体_GB2312" w:cs="Times New Roman"/>
          <w:b/>
          <w:color w:val="auto"/>
          <w:sz w:val="32"/>
          <w:szCs w:val="32"/>
          <w:lang w:val="en-US" w:eastAsia="zh-CN"/>
        </w:rPr>
      </w:pPr>
      <w:r>
        <w:rPr>
          <w:rFonts w:hint="eastAsia" w:ascii="楷体_GB2312" w:eastAsia="楷体_GB2312" w:cs="Times New Roman"/>
          <w:b/>
          <w:color w:val="auto"/>
          <w:sz w:val="32"/>
          <w:szCs w:val="32"/>
          <w:lang w:val="en-US" w:eastAsia="zh-CN"/>
        </w:rPr>
        <w:t>（一）项目决策情况</w:t>
      </w:r>
    </w:p>
    <w:p>
      <w:pPr>
        <w:snapToGrid w:val="0"/>
        <w:spacing w:line="600" w:lineRule="exact"/>
        <w:ind w:firstLine="640" w:firstLineChars="200"/>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该项计划以学校优势专业，烹饪、酒店、康养、电商服务专业为抓手，各专业教研室制定具体措施，联合校外高校、兄弟中职学校及建立了校企合作契约关系的企业中的专家教授，共同建立校企共育、工学结合的“双主体，双结合，分段能力递进”人才模式。在就业难的情况下，我校为培养更具适应性的现代商务人才，解决社会需求和学校培养输出这一供需信息不对称的情况，保障学生就业，紧扣全省服务业大会精神，大力发展““4+6”现代服务业领域相关专业，牵头制定该项计划。</w:t>
      </w:r>
    </w:p>
    <w:p>
      <w:pPr>
        <w:suppressAutoHyphens/>
        <w:bidi w:val="0"/>
        <w:spacing w:line="580" w:lineRule="exact"/>
        <w:ind w:firstLine="642" w:firstLineChars="200"/>
        <w:rPr>
          <w:rFonts w:hint="eastAsia" w:ascii="楷体_GB2312" w:eastAsia="楷体_GB2312" w:cs="Times New Roman"/>
          <w:b/>
          <w:color w:val="auto"/>
          <w:sz w:val="32"/>
          <w:szCs w:val="32"/>
          <w:lang w:val="en-US" w:eastAsia="zh-CN"/>
        </w:rPr>
      </w:pPr>
      <w:r>
        <w:rPr>
          <w:rFonts w:hint="eastAsia" w:ascii="楷体_GB2312" w:eastAsia="楷体_GB2312" w:cs="Times New Roman"/>
          <w:b/>
          <w:color w:val="auto"/>
          <w:sz w:val="32"/>
          <w:szCs w:val="32"/>
          <w:lang w:val="en-US" w:eastAsia="zh-CN"/>
        </w:rPr>
        <w:t>（二）项目管理情况</w:t>
      </w:r>
    </w:p>
    <w:p>
      <w:pPr>
        <w:snapToGrid w:val="0"/>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rPr>
        <w:t>在学校、教务科和专业系部三级教学组织管理体系下,2020年度共检查教师《教案》,《授课计划》及授课总结,《听课记录》,《作业计划》共计约1300份。同时在教务科统筹管理下,2020年度共检查教师作业布置情况及批改情况约2300人次,收集《学生对教师课堂开展情况调查表》52份,确保校聘教师在日常教学过程中保质保量完成学校下达的各项教学任务。</w:t>
      </w:r>
    </w:p>
    <w:p>
      <w:pPr>
        <w:suppressAutoHyphens/>
        <w:bidi w:val="0"/>
        <w:spacing w:line="580" w:lineRule="exact"/>
        <w:ind w:firstLine="642" w:firstLineChars="200"/>
        <w:rPr>
          <w:rFonts w:hint="eastAsia" w:ascii="楷体_GB2312" w:eastAsia="楷体_GB2312" w:cs="Times New Roman"/>
          <w:b/>
          <w:color w:val="auto"/>
          <w:sz w:val="32"/>
          <w:szCs w:val="32"/>
          <w:lang w:val="en-US" w:eastAsia="zh-CN"/>
        </w:rPr>
      </w:pPr>
      <w:r>
        <w:rPr>
          <w:rFonts w:hint="eastAsia" w:ascii="楷体_GB2312" w:eastAsia="楷体_GB2312" w:cs="Times New Roman"/>
          <w:b/>
          <w:color w:val="auto"/>
          <w:sz w:val="32"/>
          <w:szCs w:val="32"/>
          <w:lang w:val="en-US" w:eastAsia="zh-CN"/>
        </w:rPr>
        <w:t>（三）项目产出情况</w:t>
      </w:r>
    </w:p>
    <w:p>
      <w:pPr>
        <w:snapToGrid w:val="0"/>
        <w:spacing w:line="600" w:lineRule="exact"/>
        <w:ind w:firstLine="640" w:firstLineChars="200"/>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1.建立校企合作长效机制，构建“双主体双结合”的人才培养体系</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以校合作为抓手,坚持职业引领,坚持开放合作办专业,秉承</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道德</w:t>
      </w:r>
      <w:r>
        <w:rPr>
          <w:rFonts w:hint="eastAsia" w:ascii="仿宋_GB2312" w:hAnsi="Calibri" w:eastAsia="仿宋_GB2312" w:cs="仿宋"/>
          <w:color w:val="000000"/>
          <w:kern w:val="0"/>
          <w:sz w:val="32"/>
          <w:szCs w:val="32"/>
          <w:lang w:eastAsia="zh-CN"/>
        </w:rPr>
        <w:t>高</w:t>
      </w:r>
      <w:r>
        <w:rPr>
          <w:rFonts w:hint="eastAsia" w:ascii="仿宋_GB2312" w:hAnsi="Calibri" w:eastAsia="仿宋_GB2312" w:cs="仿宋"/>
          <w:color w:val="000000"/>
          <w:kern w:val="0"/>
          <w:sz w:val="32"/>
          <w:szCs w:val="32"/>
        </w:rPr>
        <w:t>尚、技艺精湛</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的校训,各专业在校聘教师及专家的参与和指导下,通过市场调研、职业岗位分析,成了中餐烹饪与营养膳食专业等12个专业人才培养模式的构建,初步建成校企共育、工学结合的</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双主体、双结合,分段能力递进</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人才培养模式。</w:t>
      </w:r>
    </w:p>
    <w:p>
      <w:pPr>
        <w:snapToGrid w:val="0"/>
        <w:spacing w:line="600" w:lineRule="exact"/>
        <w:ind w:firstLine="640" w:firstLineChars="200"/>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在专业建设中始终</w:t>
      </w:r>
      <w:r>
        <w:rPr>
          <w:rFonts w:hint="eastAsia" w:ascii="仿宋_GB2312" w:hAnsi="Calibri" w:eastAsia="仿宋_GB2312" w:cs="仿宋"/>
          <w:color w:val="000000"/>
          <w:kern w:val="0"/>
          <w:sz w:val="32"/>
          <w:szCs w:val="32"/>
          <w:lang w:eastAsia="zh-CN"/>
        </w:rPr>
        <w:t>遵循“</w:t>
      </w:r>
      <w:r>
        <w:rPr>
          <w:rFonts w:hint="eastAsia" w:ascii="仿宋_GB2312" w:hAnsi="Calibri" w:eastAsia="仿宋_GB2312" w:cs="仿宋"/>
          <w:color w:val="000000"/>
          <w:kern w:val="0"/>
          <w:sz w:val="32"/>
          <w:szCs w:val="32"/>
        </w:rPr>
        <w:t>行动导向、校企共建、动态更新</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的原则,对按职业岗位,强化素养,坚持课程对接岗位,打破原有的学科课程体系,构建以职业能力为核心、工作过程为导向的模块化综合课程体系,凸显学生</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职业素养+核心技能</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培养,使学生的职业认知、职业道德和职业技能在从模拟到真实的逐级递进过程中逐步提高。</w:t>
      </w:r>
    </w:p>
    <w:p>
      <w:pPr>
        <w:snapToGrid w:val="0"/>
        <w:spacing w:line="600" w:lineRule="exact"/>
        <w:ind w:firstLine="640" w:firstLineChars="200"/>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2.建立完善的教学质量标准及教学资源库在教务科的统筹下,在校聘教师及专家共同参与下,全校共编写修订人才培养方案12个,课程教学标准、教学授课计划标准、课程救案标准、课程考核标准、课程试题库共计1000余项,编写国家级规划教村、校本教材、活页式教材等专业教辅30余本,多媒体课件400多个、音视频资料200多个,电子化教学资源达16.8G,特别是学校作为成都市高技能人才培养基地,在校聘教师及专家的指导下,拍摄的200余个传统川菜视频资料,得到社会行业的一致认可。</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lang w:val="en-US" w:eastAsia="zh-CN"/>
        </w:rPr>
        <w:t xml:space="preserve">    </w:t>
      </w:r>
      <w:r>
        <w:rPr>
          <w:rFonts w:hint="eastAsia" w:ascii="仿宋_GB2312" w:hAnsi="Calibri" w:eastAsia="仿宋_GB2312" w:cs="仿宋"/>
          <w:color w:val="000000"/>
          <w:kern w:val="0"/>
          <w:sz w:val="32"/>
          <w:szCs w:val="32"/>
        </w:rPr>
        <w:t>3.深化教学模式改革,打造高效课堂建设在校聘教师及专家共同参与下,各专业以</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职业岗位(群)一工作过程一职业基础能力-专业核心能力-职业岗位能力-职业综合能力</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的建设思路,深化教学模式改革,加大信息技术与教育教学深度融合力度,推进数字校园建设,打造信息化教学课堂,实现了教学资源的充分展现,缩小学校教学环境与企业工作环境之间的距离,让原有的课堂更加生动形象,学生学习兴趣更加浓厚。在教学中积极开展线上线下混合式教学,以</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项目教学</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案例教学</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情景教学</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分层教学</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模块化教学</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行动导向五化</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专题讲座</w:t>
      </w:r>
      <w:r>
        <w:rPr>
          <w:rFonts w:hint="eastAsia" w:ascii="仿宋_GB2312" w:hAnsi="Calibri" w:eastAsia="仿宋_GB2312" w:cs="仿宋"/>
          <w:color w:val="000000"/>
          <w:kern w:val="0"/>
          <w:sz w:val="32"/>
          <w:szCs w:val="32"/>
          <w:lang w:eastAsia="zh-CN"/>
        </w:rPr>
        <w:t>”</w:t>
      </w:r>
      <w:r>
        <w:rPr>
          <w:rFonts w:hint="eastAsia" w:ascii="仿宋_GB2312" w:hAnsi="Calibri" w:eastAsia="仿宋_GB2312" w:cs="仿宋"/>
          <w:color w:val="000000"/>
          <w:kern w:val="0"/>
          <w:sz w:val="32"/>
          <w:szCs w:val="32"/>
        </w:rPr>
        <w:t>等多种教学模式，实现高效课堂建设。</w:t>
      </w:r>
    </w:p>
    <w:p>
      <w:pPr>
        <w:suppressAutoHyphens/>
        <w:bidi w:val="0"/>
        <w:spacing w:line="580" w:lineRule="exact"/>
        <w:ind w:firstLine="642" w:firstLineChars="200"/>
        <w:rPr>
          <w:rFonts w:hint="eastAsia" w:ascii="楷体_GB2312" w:eastAsia="楷体_GB2312" w:cs="Times New Roman"/>
          <w:b/>
          <w:color w:val="auto"/>
          <w:sz w:val="32"/>
          <w:szCs w:val="32"/>
          <w:lang w:val="en-US" w:eastAsia="zh-CN"/>
        </w:rPr>
      </w:pPr>
      <w:r>
        <w:rPr>
          <w:rFonts w:hint="eastAsia" w:ascii="楷体_GB2312" w:eastAsia="楷体_GB2312" w:cs="Times New Roman"/>
          <w:b/>
          <w:color w:val="auto"/>
          <w:sz w:val="32"/>
          <w:szCs w:val="32"/>
          <w:lang w:val="en-US" w:eastAsia="zh-CN"/>
        </w:rPr>
        <w:t>（四）项目效益情况</w:t>
      </w:r>
    </w:p>
    <w:p>
      <w:pPr>
        <w:snapToGrid w:val="0"/>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根据年初设定的指标，我校2020年为经济社会发展提供技术技能型人才1012人；在我校</w:t>
      </w:r>
      <w:r>
        <w:rPr>
          <w:rFonts w:hint="eastAsia" w:ascii="仿宋_GB2312" w:hAnsi="Calibri" w:eastAsia="仿宋_GB2312" w:cs="仿宋"/>
          <w:color w:val="000000"/>
          <w:kern w:val="0"/>
          <w:sz w:val="32"/>
          <w:szCs w:val="32"/>
          <w:lang w:eastAsia="zh-CN"/>
        </w:rPr>
        <w:t>接受</w:t>
      </w:r>
      <w:r>
        <w:rPr>
          <w:rFonts w:hint="eastAsia" w:ascii="仿宋_GB2312" w:hAnsi="Calibri" w:eastAsia="仿宋_GB2312" w:cs="仿宋"/>
          <w:color w:val="000000"/>
          <w:kern w:val="0"/>
          <w:sz w:val="32"/>
          <w:szCs w:val="32"/>
        </w:rPr>
        <w:t>职业教育，从中受益的学生为2734人；中职免学费应受助学生2482名；完成专业课建设4个。</w:t>
      </w:r>
    </w:p>
    <w:p>
      <w:pPr>
        <w:spacing w:line="360" w:lineRule="auto"/>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该项目完成后，我校学生的实际操作能力提升显著，并能在一定程度上解决了社会需求和学校培养输出这一供需信息不对称的情况，得到学生和家长的好评。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黑体" w:hAnsi="宋体" w:eastAsia="黑体"/>
          <w:color w:val="auto"/>
          <w:sz w:val="32"/>
          <w:szCs w:val="21"/>
          <w:highlight w:val="none"/>
        </w:rPr>
      </w:pPr>
      <w:bookmarkStart w:id="156" w:name="_Toc1016044713_WPSOffice_Level2"/>
      <w:r>
        <w:rPr>
          <w:rFonts w:hint="eastAsia" w:ascii="黑体" w:hAnsi="宋体" w:eastAsia="黑体"/>
          <w:color w:val="auto"/>
          <w:sz w:val="32"/>
          <w:szCs w:val="21"/>
          <w:highlight w:val="none"/>
        </w:rPr>
        <w:t>五、存在主要问题</w:t>
      </w:r>
      <w:bookmarkEnd w:id="156"/>
    </w:p>
    <w:p>
      <w:pPr>
        <w:snapToGrid w:val="0"/>
        <w:spacing w:line="600" w:lineRule="exact"/>
        <w:ind w:firstLine="640" w:firstLineChars="200"/>
        <w:rPr>
          <w:rFonts w:hint="eastAsia" w:ascii="仿宋_GB2312" w:hAnsi="Calibri" w:eastAsia="仿宋_GB2312" w:cs="仿宋"/>
          <w:color w:val="000000"/>
          <w:kern w:val="0"/>
          <w:sz w:val="32"/>
          <w:szCs w:val="32"/>
          <w:lang w:val="en-US" w:eastAsia="zh-CN"/>
        </w:rPr>
      </w:pPr>
      <w:r>
        <w:rPr>
          <w:rFonts w:hint="eastAsia" w:ascii="仿宋_GB2312" w:hAnsi="Calibri" w:eastAsia="仿宋_GB2312" w:cs="仿宋"/>
          <w:color w:val="000000"/>
          <w:kern w:val="0"/>
          <w:sz w:val="32"/>
          <w:szCs w:val="32"/>
          <w:lang w:val="en-US" w:eastAsia="zh-CN"/>
        </w:rPr>
        <w:t>项目实施过程与目标还存在着一些差距，产出时效存在一定滞后性；项目设立应紧扣全省服务业，建立紧密对接我省产业链、创新链的专业体系，培养更具适应性的现代商务人才，学校需要能适应中职学校技能培训的商务专家教师，并加强项目过程管理及项目事后总结工作。</w:t>
      </w:r>
    </w:p>
    <w:p>
      <w:pPr>
        <w:pStyle w:val="2"/>
        <w:spacing w:before="93"/>
        <w:rPr>
          <w:rFonts w:hint="eastAsia" w:ascii="黑体" w:hAnsi="宋体" w:eastAsia="黑体" w:cs="Times New Roman"/>
          <w:color w:val="auto"/>
          <w:kern w:val="2"/>
          <w:sz w:val="32"/>
          <w:szCs w:val="21"/>
          <w:highlight w:val="none"/>
          <w:lang w:val="en-US" w:eastAsia="zh-CN" w:bidi="ar-SA"/>
        </w:rPr>
      </w:pPr>
      <w:r>
        <w:rPr>
          <w:rFonts w:hint="eastAsia" w:ascii="黑体" w:hAnsi="宋体" w:eastAsia="黑体" w:cs="Times New Roman"/>
          <w:color w:val="auto"/>
          <w:kern w:val="2"/>
          <w:sz w:val="32"/>
          <w:szCs w:val="21"/>
          <w:highlight w:val="none"/>
          <w:lang w:val="en-US" w:eastAsia="zh-CN" w:bidi="ar-SA"/>
        </w:rPr>
        <w:t>　　</w:t>
      </w:r>
      <w:bookmarkStart w:id="157" w:name="_Toc615035803_WPSOffice_Level2"/>
      <w:r>
        <w:rPr>
          <w:rFonts w:hint="eastAsia" w:ascii="黑体" w:hAnsi="宋体" w:eastAsia="黑体" w:cs="Times New Roman"/>
          <w:color w:val="auto"/>
          <w:kern w:val="2"/>
          <w:sz w:val="32"/>
          <w:szCs w:val="21"/>
          <w:highlight w:val="none"/>
          <w:lang w:val="en-US" w:eastAsia="zh-CN" w:bidi="ar-SA"/>
        </w:rPr>
        <w:t>六、相关措施建议</w:t>
      </w:r>
      <w:bookmarkEnd w:id="157"/>
    </w:p>
    <w:p>
      <w:pPr>
        <w:pStyle w:val="2"/>
        <w:spacing w:before="93"/>
        <w:rPr>
          <w:rFonts w:hint="eastAsia" w:ascii="仿宋_GB2312" w:hAnsi="Calibri" w:eastAsia="仿宋_GB2312" w:cs="仿宋"/>
          <w:color w:val="000000"/>
          <w:kern w:val="0"/>
          <w:sz w:val="32"/>
          <w:szCs w:val="32"/>
          <w:lang w:val="en-US" w:eastAsia="zh-CN" w:bidi="ar-SA"/>
        </w:rPr>
      </w:pPr>
      <w:r>
        <w:rPr>
          <w:rFonts w:hint="eastAsia"/>
        </w:rPr>
        <w:t>　　</w:t>
      </w:r>
      <w:r>
        <w:rPr>
          <w:rFonts w:hint="eastAsia" w:ascii="仿宋_GB2312" w:hAnsi="Calibri" w:eastAsia="仿宋_GB2312" w:cs="仿宋"/>
          <w:color w:val="000000"/>
          <w:kern w:val="0"/>
          <w:sz w:val="32"/>
          <w:szCs w:val="32"/>
          <w:lang w:val="en-US" w:eastAsia="zh-CN" w:bidi="ar-SA"/>
        </w:rPr>
        <w:t>今后工作中，我们将以这次部门绩效自评工作为契机，进一步提高责任意识，结合绩效目标合理调节预算，提高资金使用效率；加强预算管理，提前做好项目论证，对项目执行中存在的变动提前做好预案，防止预算执行过程中出现偏差；加强专项资金制度建设，提高资金使用过程中的制度引领效果；根据绩效目标落实责任，突出专项资金结果考核。</w:t>
      </w: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ascii="方正小标宋简体" w:hAnsi="宋体" w:eastAsia="方正小标宋简体"/>
          <w:color w:val="auto"/>
          <w:sz w:val="44"/>
          <w:szCs w:val="44"/>
          <w:highlight w:val="none"/>
        </w:rPr>
      </w:pPr>
      <w:bookmarkStart w:id="158" w:name="_Toc2053044474_WPSOffice_Level2"/>
      <w:bookmarkStart w:id="159" w:name="_Toc1651494791_WPSOffice_Level2"/>
      <w:r>
        <w:rPr>
          <w:rFonts w:hint="eastAsia" w:ascii="方正小标宋简体" w:hAnsi="宋体" w:eastAsia="方正小标宋简体"/>
          <w:color w:val="auto"/>
          <w:sz w:val="44"/>
          <w:szCs w:val="44"/>
          <w:highlight w:val="none"/>
          <w:lang w:val="en-US" w:eastAsia="zh-CN"/>
        </w:rPr>
        <w:t>2020年部门预算项目支出绩效自评报告</w:t>
      </w:r>
      <w:bookmarkEnd w:id="158"/>
      <w:bookmarkEnd w:id="159"/>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outlineLvl w:val="9"/>
        <w:rPr>
          <w:rFonts w:hint="eastAsia" w:hAnsi="宋体" w:eastAsia="仿宋_GB2312"/>
          <w:color w:val="auto"/>
          <w:sz w:val="32"/>
          <w:szCs w:val="32"/>
          <w:highlight w:val="none"/>
        </w:rPr>
      </w:pPr>
      <w:r>
        <w:rPr>
          <w:rFonts w:hint="eastAsia" w:hAnsi="宋体" w:eastAsia="仿宋_GB2312"/>
          <w:color w:val="auto"/>
          <w:sz w:val="32"/>
          <w:szCs w:val="32"/>
          <w:highlight w:val="none"/>
        </w:rPr>
        <w:t>（</w:t>
      </w:r>
      <w:r>
        <w:rPr>
          <w:rFonts w:hint="eastAsia" w:ascii="仿宋_GB2312" w:hAnsi="仿宋_GB2312" w:eastAsia="仿宋_GB2312" w:cs="仿宋_GB2312"/>
          <w:b w:val="0"/>
          <w:bCs w:val="0"/>
          <w:color w:val="auto"/>
          <w:sz w:val="32"/>
          <w:szCs w:val="21"/>
          <w:highlight w:val="none"/>
          <w:lang w:eastAsia="zh-CN"/>
        </w:rPr>
        <w:t>两校区消防工程项目</w:t>
      </w:r>
      <w:r>
        <w:rPr>
          <w:rFonts w:hint="eastAsia" w:hAnsi="宋体" w:eastAsia="仿宋_GB2312"/>
          <w:color w:val="auto"/>
          <w:sz w:val="32"/>
          <w:szCs w:val="32"/>
          <w:highlight w:val="none"/>
        </w:rPr>
        <w:t>）</w:t>
      </w:r>
    </w:p>
    <w:p>
      <w:pPr>
        <w:suppressAutoHyphens/>
        <w:bidi w:val="0"/>
        <w:spacing w:line="580" w:lineRule="exact"/>
        <w:ind w:firstLine="640" w:firstLineChars="200"/>
        <w:rPr>
          <w:rFonts w:hint="eastAsia" w:ascii="黑体" w:hAnsi="黑体" w:eastAsia="黑体" w:cs="Times New Roman"/>
          <w:b w:val="0"/>
          <w:bCs/>
          <w:color w:val="auto"/>
          <w:sz w:val="32"/>
          <w:szCs w:val="32"/>
          <w:lang w:eastAsia="zh-CN"/>
        </w:rPr>
      </w:pPr>
      <w:bookmarkStart w:id="160" w:name="_Toc554791914_WPSOffice_Level2"/>
      <w:bookmarkStart w:id="161" w:name="_Toc1645920883_WPSOffice_Level2"/>
      <w:r>
        <w:rPr>
          <w:rFonts w:hint="eastAsia" w:ascii="黑体" w:hAnsi="黑体" w:eastAsia="黑体" w:cs="Times New Roman"/>
          <w:b w:val="0"/>
          <w:bCs/>
          <w:color w:val="auto"/>
          <w:sz w:val="32"/>
          <w:szCs w:val="32"/>
          <w:lang w:eastAsia="zh-CN"/>
        </w:rPr>
        <w:t>一、基本情况</w:t>
      </w:r>
      <w:bookmarkEnd w:id="160"/>
      <w:bookmarkEnd w:id="161"/>
    </w:p>
    <w:p>
      <w:pPr>
        <w:suppressAutoHyphens/>
        <w:bidi w:val="0"/>
        <w:spacing w:line="580" w:lineRule="exact"/>
        <w:ind w:firstLine="642" w:firstLineChars="200"/>
        <w:rPr>
          <w:rFonts w:hint="eastAsia" w:ascii="楷体_GB2312" w:hAnsi="Times New Roman" w:eastAsia="楷体_GB2312" w:cs="Times New Roman"/>
          <w:b/>
          <w:color w:val="auto"/>
          <w:sz w:val="32"/>
          <w:szCs w:val="32"/>
          <w:lang w:val="en-US" w:eastAsia="zh-CN"/>
        </w:rPr>
      </w:pPr>
      <w:r>
        <w:rPr>
          <w:rFonts w:hint="eastAsia" w:ascii="楷体_GB2312" w:eastAsia="楷体_GB2312" w:cs="Times New Roman"/>
          <w:b/>
          <w:color w:val="auto"/>
          <w:sz w:val="32"/>
          <w:szCs w:val="32"/>
          <w:lang w:val="en-US" w:eastAsia="zh-CN"/>
        </w:rPr>
        <w:t>（一）</w:t>
      </w:r>
      <w:r>
        <w:rPr>
          <w:rFonts w:hint="eastAsia" w:ascii="楷体_GB2312" w:hAnsi="Times New Roman" w:eastAsia="楷体_GB2312" w:cs="Times New Roman"/>
          <w:b/>
          <w:color w:val="auto"/>
          <w:sz w:val="32"/>
          <w:szCs w:val="32"/>
          <w:lang w:val="en-US" w:eastAsia="zh-CN"/>
        </w:rPr>
        <w:t>项目概况</w:t>
      </w:r>
    </w:p>
    <w:p>
      <w:pPr>
        <w:suppressAutoHyphens/>
        <w:bidi w:val="0"/>
        <w:spacing w:line="58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四川商务职业学院前期未安装消防智能控制系统，和盛校区安装的应急照明和安全指示设施设备也长期、大量被人为损坏，两校区食堂也无烟道灭火装置，这既不符合消防要求也存在</w:t>
      </w:r>
      <w:r>
        <w:rPr>
          <w:rFonts w:hint="eastAsia" w:ascii="仿宋_GB2312" w:eastAsia="仿宋_GB2312" w:cs="Times New Roman"/>
          <w:color w:val="auto"/>
          <w:sz w:val="32"/>
          <w:szCs w:val="32"/>
          <w:lang w:val="en-US" w:eastAsia="zh-CN"/>
        </w:rPr>
        <w:t>重大</w:t>
      </w:r>
      <w:r>
        <w:rPr>
          <w:rFonts w:hint="eastAsia" w:ascii="仿宋_GB2312" w:hAnsi="Times New Roman" w:eastAsia="仿宋_GB2312" w:cs="Times New Roman"/>
          <w:color w:val="auto"/>
          <w:sz w:val="32"/>
          <w:szCs w:val="32"/>
          <w:lang w:val="en-US" w:eastAsia="zh-CN"/>
        </w:rPr>
        <w:t>安全隐患，特此设立消防工程项目。</w:t>
      </w:r>
    </w:p>
    <w:p>
      <w:pPr>
        <w:suppressAutoHyphens/>
        <w:bidi w:val="0"/>
        <w:spacing w:line="580" w:lineRule="exact"/>
        <w:ind w:firstLine="642" w:firstLineChars="200"/>
        <w:rPr>
          <w:rFonts w:hint="eastAsia" w:ascii="楷体_GB2312" w:eastAsia="楷体_GB2312" w:cs="Times New Roman"/>
          <w:b/>
          <w:color w:val="auto"/>
          <w:sz w:val="32"/>
          <w:szCs w:val="32"/>
          <w:lang w:val="en-US" w:eastAsia="zh-CN"/>
        </w:rPr>
      </w:pPr>
      <w:r>
        <w:rPr>
          <w:rFonts w:hint="eastAsia" w:ascii="楷体_GB2312" w:eastAsia="楷体_GB2312" w:cs="Times New Roman"/>
          <w:b/>
          <w:color w:val="auto"/>
          <w:sz w:val="32"/>
          <w:szCs w:val="32"/>
          <w:lang w:val="en-US" w:eastAsia="zh-CN"/>
        </w:rPr>
        <w:t>（二）项目实施情况</w:t>
      </w:r>
    </w:p>
    <w:p>
      <w:pPr>
        <w:suppressAutoHyphens/>
        <w:bidi w:val="0"/>
        <w:spacing w:line="58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该项目的实施符合国家的现行政策，坚持“公平、公正、公开”的原则，专款专用，确保校园消防安全，同时保障了教学和生活秩序的正常运行。</w:t>
      </w:r>
    </w:p>
    <w:p>
      <w:pPr>
        <w:suppressAutoHyphens/>
        <w:bidi w:val="0"/>
        <w:spacing w:line="580" w:lineRule="exact"/>
        <w:ind w:firstLine="642" w:firstLineChars="200"/>
        <w:rPr>
          <w:rFonts w:hint="eastAsia" w:ascii="楷体_GB2312" w:eastAsia="楷体_GB2312" w:cs="Times New Roman"/>
          <w:b/>
          <w:color w:val="auto"/>
          <w:sz w:val="32"/>
          <w:szCs w:val="32"/>
          <w:lang w:val="en-US" w:eastAsia="zh-CN"/>
        </w:rPr>
      </w:pPr>
      <w:r>
        <w:rPr>
          <w:rFonts w:hint="eastAsia" w:ascii="楷体_GB2312" w:eastAsia="楷体_GB2312" w:cs="Times New Roman"/>
          <w:b/>
          <w:color w:val="auto"/>
          <w:sz w:val="32"/>
          <w:szCs w:val="32"/>
          <w:lang w:val="en-US" w:eastAsia="zh-CN"/>
        </w:rPr>
        <w:t>（三）资金投入使用情况</w:t>
      </w:r>
    </w:p>
    <w:p>
      <w:pPr>
        <w:suppressAutoHyphens/>
        <w:bidi w:val="0"/>
        <w:spacing w:line="58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2020年，我院食堂消防专项资金到位率100%，预算金额150</w:t>
      </w:r>
      <w:r>
        <w:rPr>
          <w:rFonts w:hint="eastAsia" w:ascii="仿宋_GB2312" w:eastAsia="仿宋_GB2312" w:cs="Times New Roman"/>
          <w:color w:val="auto"/>
          <w:sz w:val="32"/>
          <w:szCs w:val="32"/>
          <w:lang w:val="en-US" w:eastAsia="zh-CN"/>
        </w:rPr>
        <w:t>万元</w:t>
      </w:r>
      <w:r>
        <w:rPr>
          <w:rFonts w:hint="eastAsia" w:ascii="仿宋_GB2312" w:hAnsi="Times New Roman" w:eastAsia="仿宋_GB2312" w:cs="Times New Roman"/>
          <w:color w:val="auto"/>
          <w:sz w:val="32"/>
          <w:szCs w:val="32"/>
          <w:lang w:val="en-US" w:eastAsia="zh-CN"/>
        </w:rPr>
        <w:t>，中标金额 149.71万</w:t>
      </w:r>
      <w:r>
        <w:rPr>
          <w:rFonts w:hint="eastAsia" w:ascii="仿宋_GB2312" w:eastAsia="仿宋_GB2312" w:cs="Times New Roman"/>
          <w:color w:val="auto"/>
          <w:sz w:val="32"/>
          <w:szCs w:val="32"/>
          <w:lang w:val="en-US" w:eastAsia="zh-CN"/>
        </w:rPr>
        <w:t>元</w:t>
      </w:r>
      <w:r>
        <w:rPr>
          <w:rFonts w:hint="eastAsia" w:ascii="仿宋_GB2312" w:hAnsi="Times New Roman" w:eastAsia="仿宋_GB2312" w:cs="Times New Roman"/>
          <w:color w:val="auto"/>
          <w:sz w:val="32"/>
          <w:szCs w:val="32"/>
          <w:lang w:val="en-US" w:eastAsia="zh-CN"/>
        </w:rPr>
        <w:t>，送审金额1608290.87元，审定金额1451339.60</w:t>
      </w:r>
      <w:r>
        <w:rPr>
          <w:rFonts w:hint="eastAsia" w:ascii="仿宋_GB2312" w:eastAsia="仿宋_GB2312" w:cs="Times New Roman"/>
          <w:color w:val="auto"/>
          <w:sz w:val="32"/>
          <w:szCs w:val="32"/>
          <w:lang w:val="en-US" w:eastAsia="zh-CN"/>
        </w:rPr>
        <w:t>元</w:t>
      </w:r>
      <w:r>
        <w:rPr>
          <w:rFonts w:hint="eastAsia" w:ascii="仿宋_GB2312" w:hAnsi="Times New Roman" w:eastAsia="仿宋_GB2312" w:cs="Times New Roman"/>
          <w:color w:val="auto"/>
          <w:sz w:val="32"/>
          <w:szCs w:val="32"/>
          <w:lang w:val="en-US" w:eastAsia="zh-CN"/>
        </w:rPr>
        <w:t>。按照合同要求，在项目完工验收合格并通过审计后支付了1451339.60元</w:t>
      </w:r>
      <w:r>
        <w:rPr>
          <w:rFonts w:hint="eastAsia" w:ascii="仿宋_GB2312"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lang w:val="en-US" w:eastAsia="zh-CN"/>
        </w:rPr>
        <w:t>剩余专项资金全额返还财政。</w:t>
      </w:r>
    </w:p>
    <w:p>
      <w:pPr>
        <w:suppressAutoHyphens/>
        <w:bidi w:val="0"/>
        <w:spacing w:line="580" w:lineRule="exact"/>
        <w:ind w:firstLine="642" w:firstLineChars="200"/>
        <w:rPr>
          <w:rFonts w:hint="eastAsia" w:ascii="楷体_GB2312" w:eastAsia="楷体_GB2312" w:cs="Times New Roman"/>
          <w:b/>
          <w:color w:val="auto"/>
          <w:sz w:val="32"/>
          <w:szCs w:val="32"/>
          <w:lang w:val="en-US" w:eastAsia="zh-CN"/>
        </w:rPr>
      </w:pPr>
      <w:r>
        <w:rPr>
          <w:rFonts w:hint="eastAsia" w:ascii="楷体_GB2312" w:eastAsia="楷体_GB2312" w:cs="Times New Roman"/>
          <w:b/>
          <w:color w:val="auto"/>
          <w:sz w:val="32"/>
          <w:szCs w:val="32"/>
          <w:lang w:val="en-US" w:eastAsia="zh-CN"/>
        </w:rPr>
        <w:t>（四）项目绩效目标</w:t>
      </w:r>
    </w:p>
    <w:p>
      <w:pPr>
        <w:suppressAutoHyphens/>
        <w:bidi w:val="0"/>
        <w:spacing w:line="58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ab/>
      </w:r>
      <w:r>
        <w:rPr>
          <w:rFonts w:hint="eastAsia" w:ascii="仿宋_GB2312" w:hAnsi="Times New Roman" w:eastAsia="仿宋_GB2312" w:cs="Times New Roman"/>
          <w:color w:val="auto"/>
          <w:sz w:val="32"/>
          <w:szCs w:val="32"/>
          <w:lang w:val="en-US" w:eastAsia="zh-CN"/>
        </w:rPr>
        <w:t>完成了两校区食堂灶台灭火设备17套、雾化喷嘴112个、温度探测器12个、不锈管（16*0.8）680米、疏散指示灯85套、线路7449.8米、烟感12套、温感125套、手动报警器17个、声光报警器16个、消防广播34个、应急灯120套、主机联动设备1套等。所有项目在规定时间全部完成质量合格，保证了两校区1万多师生食堂消防安全，师生满意度达到85%。</w:t>
      </w:r>
    </w:p>
    <w:p>
      <w:pPr>
        <w:suppressAutoHyphens/>
        <w:bidi w:val="0"/>
        <w:spacing w:line="580" w:lineRule="exact"/>
        <w:ind w:firstLine="640" w:firstLineChars="200"/>
        <w:rPr>
          <w:rFonts w:hint="eastAsia" w:ascii="黑体" w:hAnsi="黑体" w:eastAsia="黑体" w:cs="Times New Roman"/>
          <w:b w:val="0"/>
          <w:bCs/>
          <w:color w:val="auto"/>
          <w:sz w:val="32"/>
          <w:szCs w:val="32"/>
          <w:lang w:val="en-US" w:eastAsia="zh-CN"/>
        </w:rPr>
      </w:pPr>
      <w:bookmarkStart w:id="162" w:name="_Toc170511530_WPSOffice_Level2"/>
      <w:bookmarkStart w:id="163" w:name="_Toc1947400117_WPSOffice_Level2"/>
      <w:r>
        <w:rPr>
          <w:rFonts w:hint="eastAsia" w:ascii="黑体" w:hAnsi="黑体" w:eastAsia="黑体" w:cs="Times New Roman"/>
          <w:b w:val="0"/>
          <w:bCs/>
          <w:color w:val="auto"/>
          <w:sz w:val="32"/>
          <w:szCs w:val="32"/>
          <w:lang w:val="en-US" w:eastAsia="zh-CN"/>
        </w:rPr>
        <w:t>二、评价工作开展情况</w:t>
      </w:r>
      <w:bookmarkEnd w:id="162"/>
      <w:bookmarkEnd w:id="163"/>
    </w:p>
    <w:p>
      <w:pPr>
        <w:suppressAutoHyphens/>
        <w:bidi w:val="0"/>
        <w:spacing w:line="580" w:lineRule="exact"/>
        <w:ind w:firstLine="642" w:firstLineChars="200"/>
        <w:rPr>
          <w:rFonts w:hint="eastAsia" w:ascii="楷体_GB2312" w:eastAsia="楷体_GB2312" w:cs="Times New Roman"/>
          <w:b/>
          <w:color w:val="auto"/>
          <w:sz w:val="32"/>
          <w:szCs w:val="32"/>
          <w:lang w:val="en-US" w:eastAsia="zh-CN"/>
        </w:rPr>
      </w:pPr>
      <w:r>
        <w:rPr>
          <w:rFonts w:hint="eastAsia" w:ascii="楷体_GB2312" w:eastAsia="楷体_GB2312" w:cs="Times New Roman"/>
          <w:b/>
          <w:color w:val="auto"/>
          <w:sz w:val="32"/>
          <w:szCs w:val="32"/>
          <w:lang w:val="en-US" w:eastAsia="zh-CN"/>
        </w:rPr>
        <w:t>（一）评价组织情况</w:t>
      </w:r>
    </w:p>
    <w:p>
      <w:pPr>
        <w:suppressAutoHyphens/>
        <w:bidi w:val="0"/>
        <w:spacing w:line="58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本项目评价指标按照财政部门要求设置，并咨询相关评审专家，建立本项目的评价指标体系，对评价指标体系征求各部门意见，后形成本项目的评价指标体系，正式明确评价工作要求，自评评价指标和评分标准。</w:t>
      </w:r>
    </w:p>
    <w:p>
      <w:pPr>
        <w:suppressAutoHyphens/>
        <w:bidi w:val="0"/>
        <w:spacing w:line="580" w:lineRule="exact"/>
        <w:ind w:firstLine="642" w:firstLineChars="200"/>
        <w:rPr>
          <w:rFonts w:hint="eastAsia" w:ascii="楷体_GB2312" w:eastAsia="楷体_GB2312" w:cs="Times New Roman"/>
          <w:b/>
          <w:color w:val="auto"/>
          <w:sz w:val="32"/>
          <w:szCs w:val="32"/>
          <w:lang w:val="en-US" w:eastAsia="zh-CN"/>
        </w:rPr>
      </w:pPr>
      <w:r>
        <w:rPr>
          <w:rFonts w:hint="eastAsia" w:ascii="楷体_GB2312" w:eastAsia="楷体_GB2312" w:cs="Times New Roman"/>
          <w:b/>
          <w:color w:val="auto"/>
          <w:sz w:val="32"/>
          <w:szCs w:val="32"/>
          <w:lang w:val="en-US" w:eastAsia="zh-CN"/>
        </w:rPr>
        <w:t>（二）评价体系、评价方法和评价标准</w:t>
      </w:r>
    </w:p>
    <w:p>
      <w:pPr>
        <w:suppressAutoHyphens/>
        <w:bidi w:val="0"/>
        <w:spacing w:line="58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本次评价原则主要集中于合规性、效率和效果三大原则，采用案卷调查法，从数量指标、时效指标、社会效益指标、可持续影响指标、满意度指标进行评价。</w:t>
      </w:r>
    </w:p>
    <w:p>
      <w:pPr>
        <w:suppressAutoHyphens/>
        <w:bidi w:val="0"/>
        <w:spacing w:line="58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本项目的评价流程分为两个阶段，第一个阶段：学院财务处发放自评通知，并辅助设计指标；第二阶段：后勤处召开处务会，讨论推进自评工作开展，根据项目自评表进行自评，提交项目自评报告。</w:t>
      </w:r>
    </w:p>
    <w:p>
      <w:pPr>
        <w:suppressAutoHyphens/>
        <w:bidi w:val="0"/>
        <w:spacing w:line="580" w:lineRule="exact"/>
        <w:ind w:firstLine="640" w:firstLineChars="200"/>
        <w:rPr>
          <w:rFonts w:hint="eastAsia" w:ascii="黑体" w:hAnsi="黑体" w:eastAsia="黑体" w:cs="Times New Roman"/>
          <w:b w:val="0"/>
          <w:bCs/>
          <w:color w:val="auto"/>
          <w:sz w:val="32"/>
          <w:szCs w:val="32"/>
          <w:lang w:val="en-US" w:eastAsia="zh-CN"/>
        </w:rPr>
      </w:pPr>
      <w:bookmarkStart w:id="164" w:name="_Toc2074735543_WPSOffice_Level2"/>
      <w:bookmarkStart w:id="165" w:name="_Toc1287972009_WPSOffice_Level2"/>
      <w:r>
        <w:rPr>
          <w:rFonts w:hint="eastAsia" w:ascii="黑体" w:hAnsi="黑体" w:eastAsia="黑体" w:cs="Times New Roman"/>
          <w:b w:val="0"/>
          <w:bCs/>
          <w:color w:val="auto"/>
          <w:sz w:val="32"/>
          <w:szCs w:val="32"/>
          <w:lang w:val="en-US" w:eastAsia="zh-CN"/>
        </w:rPr>
        <w:t>三、综合评价结论</w:t>
      </w:r>
      <w:bookmarkEnd w:id="164"/>
      <w:bookmarkEnd w:id="165"/>
    </w:p>
    <w:p>
      <w:pPr>
        <w:suppressAutoHyphens/>
        <w:bidi w:val="0"/>
        <w:spacing w:line="58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该项目资金按时落实到位，项目实施工作有序开展，业务管理制度健全，并能得到执行，能够完成绩效目标申报表的考核指标，但在质量和过程中仍有待提高，自评等级为良好。</w:t>
      </w:r>
    </w:p>
    <w:p>
      <w:pPr>
        <w:suppressAutoHyphens/>
        <w:bidi w:val="0"/>
        <w:spacing w:line="580" w:lineRule="exact"/>
        <w:ind w:firstLine="640" w:firstLineChars="200"/>
        <w:rPr>
          <w:rFonts w:hint="eastAsia" w:ascii="黑体" w:hAnsi="黑体" w:eastAsia="黑体" w:cs="Times New Roman"/>
          <w:b w:val="0"/>
          <w:bCs/>
          <w:color w:val="auto"/>
          <w:sz w:val="32"/>
          <w:szCs w:val="32"/>
          <w:lang w:val="en-US" w:eastAsia="zh-CN"/>
        </w:rPr>
      </w:pPr>
      <w:bookmarkStart w:id="166" w:name="_Toc962801774_WPSOffice_Level2"/>
      <w:bookmarkStart w:id="167" w:name="_Toc2058218861_WPSOffice_Level2"/>
      <w:r>
        <w:rPr>
          <w:rFonts w:hint="eastAsia" w:ascii="黑体" w:hAnsi="黑体" w:eastAsia="黑体" w:cs="Times New Roman"/>
          <w:b w:val="0"/>
          <w:bCs/>
          <w:color w:val="auto"/>
          <w:sz w:val="32"/>
          <w:szCs w:val="32"/>
          <w:lang w:val="en-US" w:eastAsia="zh-CN"/>
        </w:rPr>
        <w:t>四、绩效评价分析</w:t>
      </w:r>
      <w:bookmarkEnd w:id="166"/>
      <w:bookmarkEnd w:id="167"/>
    </w:p>
    <w:p>
      <w:pPr>
        <w:suppressAutoHyphens/>
        <w:bidi w:val="0"/>
        <w:spacing w:line="580" w:lineRule="exact"/>
        <w:ind w:firstLine="642" w:firstLineChars="200"/>
        <w:rPr>
          <w:rFonts w:hint="eastAsia" w:ascii="楷体_GB2312" w:eastAsia="楷体_GB2312" w:cs="Times New Roman"/>
          <w:b/>
          <w:color w:val="auto"/>
          <w:sz w:val="32"/>
          <w:szCs w:val="32"/>
          <w:lang w:val="en-US" w:eastAsia="zh-CN"/>
        </w:rPr>
      </w:pPr>
      <w:r>
        <w:rPr>
          <w:rFonts w:hint="eastAsia" w:ascii="楷体_GB2312" w:eastAsia="楷体_GB2312" w:cs="Times New Roman"/>
          <w:b/>
          <w:color w:val="auto"/>
          <w:sz w:val="32"/>
          <w:szCs w:val="32"/>
          <w:lang w:val="en-US" w:eastAsia="zh-CN"/>
        </w:rPr>
        <w:t>（一）项目决策情况</w:t>
      </w:r>
    </w:p>
    <w:p>
      <w:pPr>
        <w:suppressAutoHyphens/>
        <w:bidi w:val="0"/>
        <w:spacing w:line="58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项目立项程序合法。该项目根据学院各部门对消防需求项目上报后勤处，后勤处统计并组织相关人员评估后上报学院，通过学院预算委员会讨论通过后进行设立。项目执行过程中严格使用和管理经费，专款专用，根据工作研究内容、总体目标和计划进度，按照合同约定资金使用计划，确保各项工作按计划进度进行</w:t>
      </w:r>
      <w:r>
        <w:rPr>
          <w:rFonts w:hint="eastAsia" w:ascii="仿宋_GB2312" w:eastAsia="仿宋_GB2312" w:cs="Times New Roman"/>
          <w:color w:val="auto"/>
          <w:sz w:val="32"/>
          <w:szCs w:val="32"/>
          <w:lang w:val="en-US" w:eastAsia="zh-CN"/>
        </w:rPr>
        <w:t>。</w:t>
      </w:r>
    </w:p>
    <w:p>
      <w:pPr>
        <w:suppressAutoHyphens/>
        <w:bidi w:val="0"/>
        <w:spacing w:line="580" w:lineRule="exact"/>
        <w:ind w:firstLine="642" w:firstLineChars="200"/>
        <w:rPr>
          <w:rFonts w:hint="eastAsia" w:ascii="楷体_GB2312" w:eastAsia="楷体_GB2312" w:cs="Times New Roman"/>
          <w:b/>
          <w:color w:val="auto"/>
          <w:sz w:val="32"/>
          <w:szCs w:val="32"/>
          <w:lang w:val="en-US" w:eastAsia="zh-CN"/>
        </w:rPr>
      </w:pPr>
      <w:r>
        <w:rPr>
          <w:rFonts w:hint="eastAsia" w:ascii="楷体_GB2312" w:eastAsia="楷体_GB2312" w:cs="Times New Roman"/>
          <w:b/>
          <w:color w:val="auto"/>
          <w:sz w:val="32"/>
          <w:szCs w:val="32"/>
          <w:lang w:val="en-US" w:eastAsia="zh-CN"/>
        </w:rPr>
        <w:t>（二）项目管理情况</w:t>
      </w:r>
    </w:p>
    <w:p>
      <w:pPr>
        <w:suppressAutoHyphens/>
        <w:bidi w:val="0"/>
        <w:spacing w:line="58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项目招标严格按照学院招投标程序进行，施工过程学院派出现场管理人员，同时由学院招的工程监理严格管理，达到了监理要求，工程完工后由学院组织相关部门验收并通过了审计后才支付工程款，同时通过了消防部门的消防检查。该项目资金使用合理，监督有效，不存在漏洞。</w:t>
      </w:r>
    </w:p>
    <w:p>
      <w:pPr>
        <w:suppressAutoHyphens/>
        <w:bidi w:val="0"/>
        <w:spacing w:line="580" w:lineRule="exact"/>
        <w:ind w:firstLine="642" w:firstLineChars="200"/>
        <w:rPr>
          <w:rFonts w:hint="eastAsia" w:ascii="楷体_GB2312" w:eastAsia="楷体_GB2312" w:cs="Times New Roman"/>
          <w:b/>
          <w:color w:val="auto"/>
          <w:sz w:val="32"/>
          <w:szCs w:val="32"/>
          <w:lang w:val="en-US" w:eastAsia="zh-CN"/>
        </w:rPr>
      </w:pPr>
      <w:r>
        <w:rPr>
          <w:rFonts w:hint="eastAsia" w:ascii="楷体_GB2312" w:eastAsia="楷体_GB2312" w:cs="Times New Roman"/>
          <w:b/>
          <w:color w:val="auto"/>
          <w:sz w:val="32"/>
          <w:szCs w:val="32"/>
          <w:lang w:val="en-US" w:eastAsia="zh-CN"/>
        </w:rPr>
        <w:t>（三）项目产出情况</w:t>
      </w:r>
    </w:p>
    <w:p>
      <w:pPr>
        <w:suppressAutoHyphens/>
        <w:bidi w:val="0"/>
        <w:spacing w:line="58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2020年消防工程按计划完成既定目标并达到了合格要求，通过了消防部门的检查。</w:t>
      </w:r>
    </w:p>
    <w:p>
      <w:pPr>
        <w:suppressAutoHyphens/>
        <w:bidi w:val="0"/>
        <w:spacing w:line="580" w:lineRule="exact"/>
        <w:ind w:firstLine="642" w:firstLineChars="200"/>
        <w:rPr>
          <w:rFonts w:hint="eastAsia" w:ascii="楷体_GB2312" w:eastAsia="楷体_GB2312" w:cs="Times New Roman"/>
          <w:b/>
          <w:color w:val="auto"/>
          <w:sz w:val="32"/>
          <w:szCs w:val="32"/>
          <w:lang w:val="en-US" w:eastAsia="zh-CN"/>
        </w:rPr>
      </w:pPr>
      <w:r>
        <w:rPr>
          <w:rFonts w:hint="eastAsia" w:ascii="楷体_GB2312" w:eastAsia="楷体_GB2312" w:cs="Times New Roman"/>
          <w:b/>
          <w:color w:val="auto"/>
          <w:sz w:val="32"/>
          <w:szCs w:val="32"/>
          <w:lang w:val="en-US" w:eastAsia="zh-CN"/>
        </w:rPr>
        <w:t>（四）项目效益情况</w:t>
      </w:r>
    </w:p>
    <w:p>
      <w:pPr>
        <w:suppressAutoHyphens/>
        <w:bidi w:val="0"/>
        <w:spacing w:line="58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完成了两校区食堂灶台灭火设备17套、雾化喷嘴112个、温度探测器12个、不锈管（16*0.8）680米、疏散指示灯85套、线路7449.8米、烟感12套、温感125套、手动报警器17个、声光报警器16个、消防广播34个、应急灯120套、主机联动设备1套等。所有项目全部在规定时间全部完成质量合格，保证了两校区1万多师生食堂消防安全，师生满意度达到85%。</w:t>
      </w:r>
    </w:p>
    <w:p>
      <w:pPr>
        <w:suppressAutoHyphens/>
        <w:bidi w:val="0"/>
        <w:spacing w:line="580" w:lineRule="exact"/>
        <w:ind w:firstLine="640" w:firstLineChars="200"/>
        <w:rPr>
          <w:rFonts w:hint="eastAsia" w:ascii="黑体" w:hAnsi="黑体" w:eastAsia="黑体" w:cs="Times New Roman"/>
          <w:b w:val="0"/>
          <w:bCs/>
          <w:color w:val="auto"/>
          <w:sz w:val="32"/>
          <w:szCs w:val="32"/>
          <w:lang w:val="en-US" w:eastAsia="zh-CN"/>
        </w:rPr>
      </w:pPr>
      <w:bookmarkStart w:id="168" w:name="_Toc1011347479_WPSOffice_Level2"/>
      <w:bookmarkStart w:id="169" w:name="_Toc617400104_WPSOffice_Level2"/>
      <w:r>
        <w:rPr>
          <w:rFonts w:hint="eastAsia" w:ascii="黑体" w:hAnsi="黑体" w:eastAsia="黑体" w:cs="Times New Roman"/>
          <w:b w:val="0"/>
          <w:bCs/>
          <w:color w:val="auto"/>
          <w:sz w:val="32"/>
          <w:szCs w:val="32"/>
          <w:lang w:val="en-US" w:eastAsia="zh-CN"/>
        </w:rPr>
        <w:t>五、存在主要问题</w:t>
      </w:r>
      <w:bookmarkEnd w:id="168"/>
      <w:bookmarkEnd w:id="169"/>
    </w:p>
    <w:p>
      <w:pPr>
        <w:suppressAutoHyphens/>
        <w:bidi w:val="0"/>
        <w:spacing w:line="58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通过本次自查自评发现，前期未考虑食堂无标准的通风和排气装置致使前期线路短路无法联动，经调整后才正常使用，因此在计划工作和预算制定上还有不足之处。</w:t>
      </w:r>
    </w:p>
    <w:p>
      <w:pPr>
        <w:suppressAutoHyphens/>
        <w:bidi w:val="0"/>
        <w:spacing w:line="580" w:lineRule="exact"/>
        <w:ind w:firstLine="640" w:firstLineChars="200"/>
        <w:rPr>
          <w:rFonts w:hint="eastAsia" w:ascii="黑体" w:hAnsi="黑体" w:eastAsia="黑体" w:cs="Times New Roman"/>
          <w:b w:val="0"/>
          <w:bCs/>
          <w:color w:val="auto"/>
          <w:sz w:val="32"/>
          <w:szCs w:val="32"/>
          <w:lang w:val="en-US" w:eastAsia="zh-CN"/>
        </w:rPr>
      </w:pPr>
      <w:bookmarkStart w:id="170" w:name="_Toc2138890381_WPSOffice_Level2"/>
      <w:bookmarkStart w:id="171" w:name="_Toc211081847_WPSOffice_Level2"/>
      <w:r>
        <w:rPr>
          <w:rFonts w:hint="eastAsia" w:ascii="黑体" w:hAnsi="黑体" w:eastAsia="黑体" w:cs="Times New Roman"/>
          <w:b w:val="0"/>
          <w:bCs/>
          <w:color w:val="auto"/>
          <w:sz w:val="32"/>
          <w:szCs w:val="32"/>
          <w:lang w:val="en-US" w:eastAsia="zh-CN"/>
        </w:rPr>
        <w:t>六、相关措施建议</w:t>
      </w:r>
      <w:bookmarkEnd w:id="170"/>
      <w:bookmarkEnd w:id="171"/>
    </w:p>
    <w:p>
      <w:pPr>
        <w:suppressAutoHyphens/>
        <w:bidi w:val="0"/>
        <w:spacing w:line="58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针对以上问题，学院将采取以下措施：</w:t>
      </w:r>
    </w:p>
    <w:p>
      <w:pPr>
        <w:spacing w:line="560" w:lineRule="exact"/>
        <w:ind w:firstLine="642" w:firstLineChars="200"/>
        <w:jc w:val="both"/>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（一）计划工作和预算需通过使用部门进行评估。</w:t>
      </w:r>
    </w:p>
    <w:p>
      <w:pPr>
        <w:spacing w:line="560" w:lineRule="exact"/>
        <w:ind w:firstLine="642" w:firstLineChars="200"/>
        <w:jc w:val="both"/>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（二）计划工作和预算评估后请专业的造价公司完成最终价格制定。</w:t>
      </w: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pStyle w:val="2"/>
        <w:rPr>
          <w:rFonts w:hint="eastAsia" w:hAnsi="宋体"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ascii="方正小标宋简体" w:hAnsi="宋体" w:eastAsia="方正小标宋简体"/>
          <w:color w:val="auto"/>
          <w:sz w:val="44"/>
          <w:szCs w:val="44"/>
          <w:highlight w:val="none"/>
        </w:rPr>
      </w:pPr>
      <w:bookmarkStart w:id="172" w:name="_Toc32290015_WPSOffice_Level2"/>
      <w:bookmarkStart w:id="173" w:name="_Toc1326080139_WPSOffice_Level2"/>
      <w:r>
        <w:rPr>
          <w:rFonts w:hint="eastAsia" w:ascii="方正小标宋简体" w:hAnsi="宋体" w:eastAsia="方正小标宋简体"/>
          <w:color w:val="auto"/>
          <w:sz w:val="44"/>
          <w:szCs w:val="44"/>
          <w:highlight w:val="none"/>
          <w:lang w:val="en-US" w:eastAsia="zh-CN"/>
        </w:rPr>
        <w:t>2020年部门预算项目支出绩效自评报告</w:t>
      </w:r>
      <w:bookmarkEnd w:id="172"/>
      <w:bookmarkEnd w:id="173"/>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outlineLvl w:val="9"/>
        <w:rPr>
          <w:rFonts w:hint="eastAsia" w:hAnsi="宋体" w:eastAsia="仿宋_GB2312"/>
          <w:color w:val="auto"/>
          <w:sz w:val="32"/>
          <w:szCs w:val="32"/>
          <w:highlight w:val="none"/>
        </w:rPr>
      </w:pPr>
      <w:r>
        <w:rPr>
          <w:rFonts w:hint="eastAsia" w:hAnsi="宋体" w:eastAsia="仿宋_GB2312"/>
          <w:color w:val="auto"/>
          <w:sz w:val="32"/>
          <w:szCs w:val="32"/>
          <w:highlight w:val="none"/>
        </w:rPr>
        <w:t>（</w:t>
      </w:r>
      <w:r>
        <w:rPr>
          <w:rFonts w:hint="eastAsia" w:ascii="仿宋_GB2312" w:hAnsi="仿宋_GB2312" w:eastAsia="仿宋_GB2312" w:cs="仿宋_GB2312"/>
          <w:b w:val="0"/>
          <w:bCs w:val="0"/>
          <w:color w:val="auto"/>
          <w:sz w:val="32"/>
          <w:szCs w:val="21"/>
          <w:highlight w:val="none"/>
          <w:lang w:val="en-US" w:eastAsia="zh-CN"/>
        </w:rPr>
        <w:t>2020年学生资助经费</w:t>
      </w:r>
      <w:r>
        <w:rPr>
          <w:rFonts w:hint="eastAsia" w:ascii="仿宋_GB2312" w:hAnsi="仿宋_GB2312" w:eastAsia="仿宋_GB2312" w:cs="仿宋_GB2312"/>
          <w:b w:val="0"/>
          <w:bCs w:val="0"/>
          <w:color w:val="auto"/>
          <w:sz w:val="32"/>
          <w:szCs w:val="21"/>
          <w:highlight w:val="none"/>
          <w:lang w:eastAsia="zh-CN"/>
        </w:rPr>
        <w:t>项目</w:t>
      </w:r>
      <w:r>
        <w:rPr>
          <w:rFonts w:hint="eastAsia" w:hAnsi="宋体" w:eastAsia="仿宋_GB2312"/>
          <w:color w:val="auto"/>
          <w:sz w:val="32"/>
          <w:szCs w:val="32"/>
          <w:highlight w:val="none"/>
        </w:rPr>
        <w:t>）</w:t>
      </w:r>
    </w:p>
    <w:p>
      <w:pPr>
        <w:pStyle w:val="2"/>
        <w:rPr>
          <w:rFonts w:hint="eastAsia"/>
        </w:rPr>
      </w:pPr>
    </w:p>
    <w:p>
      <w:pPr>
        <w:numPr>
          <w:ilvl w:val="0"/>
          <w:numId w:val="0"/>
        </w:numPr>
        <w:tabs>
          <w:tab w:val="left" w:pos="3885"/>
        </w:tabs>
        <w:snapToGrid w:val="0"/>
        <w:spacing w:line="600" w:lineRule="exact"/>
        <w:ind w:firstLine="640" w:firstLineChars="200"/>
        <w:jc w:val="both"/>
        <w:rPr>
          <w:rFonts w:hint="eastAsia" w:ascii="黑体" w:hAnsi="宋体" w:eastAsia="黑体" w:cs="Times New Roman"/>
          <w:sz w:val="32"/>
          <w:szCs w:val="21"/>
        </w:rPr>
      </w:pPr>
      <w:bookmarkStart w:id="174" w:name="_Toc670110280_WPSOffice_Level2"/>
      <w:bookmarkStart w:id="175" w:name="_Toc1432931805_WPSOffice_Level2"/>
      <w:r>
        <w:rPr>
          <w:rFonts w:hint="eastAsia" w:ascii="黑体" w:hAnsi="宋体" w:eastAsia="黑体" w:cs="Times New Roman"/>
          <w:sz w:val="32"/>
          <w:szCs w:val="21"/>
          <w:lang w:eastAsia="zh-CN"/>
        </w:rPr>
        <w:t>一、</w:t>
      </w:r>
      <w:r>
        <w:rPr>
          <w:rFonts w:hint="eastAsia" w:ascii="黑体" w:hAnsi="宋体" w:eastAsia="黑体" w:cs="Times New Roman"/>
          <w:sz w:val="32"/>
          <w:szCs w:val="21"/>
        </w:rPr>
        <w:t>基本情况</w:t>
      </w:r>
    </w:p>
    <w:p>
      <w:pPr>
        <w:tabs>
          <w:tab w:val="left" w:pos="3885"/>
        </w:tabs>
        <w:snapToGrid w:val="0"/>
        <w:spacing w:line="600" w:lineRule="exact"/>
        <w:ind w:firstLine="642" w:firstLineChars="200"/>
        <w:jc w:val="both"/>
        <w:rPr>
          <w:rFonts w:hint="eastAsia" w:ascii="楷体_GB2312" w:hAnsi="仿宋_GB2312" w:eastAsia="楷体_GB2312" w:cs="仿宋_GB2312"/>
          <w:b/>
          <w:sz w:val="32"/>
          <w:szCs w:val="32"/>
        </w:rPr>
      </w:pPr>
      <w:r>
        <w:rPr>
          <w:rFonts w:hint="eastAsia" w:ascii="楷体_GB2312" w:hAnsi="仿宋_GB2312" w:eastAsia="楷体_GB2312" w:cs="仿宋_GB2312"/>
          <w:b/>
          <w:sz w:val="32"/>
          <w:szCs w:val="32"/>
        </w:rPr>
        <w:t>（一）项目概况</w:t>
      </w:r>
    </w:p>
    <w:p>
      <w:pPr>
        <w:tabs>
          <w:tab w:val="left" w:pos="3885"/>
        </w:tabs>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国家学生资助政策，不断完善并优化学院资助工作体系，推动学院资助工作逐步从保障型资助向发展型资助转变，使资助育人工作逐步发展成为立德树人的重要抓手，帮助学生更好成长成才，助力人才培养质量不断提升，设立学生资助经费项目。该项目主要用于我院学生国家奖学金、国家励志奖学金和国家助学金等项目。</w:t>
      </w:r>
    </w:p>
    <w:p>
      <w:pPr>
        <w:tabs>
          <w:tab w:val="left" w:pos="3885"/>
        </w:tabs>
        <w:snapToGrid w:val="0"/>
        <w:spacing w:line="600" w:lineRule="exact"/>
        <w:ind w:firstLine="642" w:firstLineChars="200"/>
        <w:jc w:val="both"/>
        <w:rPr>
          <w:rFonts w:hint="eastAsia" w:ascii="楷体_GB2312" w:hAnsi="仿宋_GB2312" w:eastAsia="楷体_GB2312" w:cs="仿宋_GB2312"/>
          <w:b/>
          <w:sz w:val="32"/>
          <w:szCs w:val="32"/>
        </w:rPr>
      </w:pPr>
      <w:r>
        <w:rPr>
          <w:rFonts w:hint="eastAsia" w:ascii="楷体_GB2312" w:hAnsi="仿宋_GB2312" w:eastAsia="楷体_GB2312" w:cs="仿宋_GB2312"/>
          <w:b/>
          <w:sz w:val="32"/>
          <w:szCs w:val="32"/>
        </w:rPr>
        <w:t>（二）项目实施情况</w:t>
      </w:r>
    </w:p>
    <w:p>
      <w:pPr>
        <w:tabs>
          <w:tab w:val="left" w:pos="3885"/>
        </w:tabs>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该项目的实施符合国家的现行贫困生资助政策，坚持“公平、公正、公开”的原则，专款专用，确保学生资助专项经费完全用于符合资助条件的学生，2020年受资助学生约6500人次，资助资金全部发放到位。</w:t>
      </w:r>
    </w:p>
    <w:p>
      <w:pPr>
        <w:tabs>
          <w:tab w:val="left" w:pos="3885"/>
        </w:tabs>
        <w:snapToGrid w:val="0"/>
        <w:spacing w:line="600" w:lineRule="exact"/>
        <w:ind w:firstLine="642" w:firstLineChars="200"/>
        <w:jc w:val="both"/>
        <w:rPr>
          <w:rFonts w:hint="eastAsia" w:ascii="楷体_GB2312" w:hAnsi="仿宋_GB2312" w:eastAsia="楷体_GB2312" w:cs="仿宋_GB2312"/>
          <w:b/>
          <w:sz w:val="32"/>
          <w:szCs w:val="32"/>
        </w:rPr>
      </w:pPr>
      <w:r>
        <w:rPr>
          <w:rFonts w:hint="eastAsia" w:ascii="楷体_GB2312" w:hAnsi="仿宋_GB2312" w:eastAsia="楷体_GB2312" w:cs="仿宋_GB2312"/>
          <w:b/>
          <w:sz w:val="32"/>
          <w:szCs w:val="32"/>
        </w:rPr>
        <w:t>（三）资金投入使用情况</w:t>
      </w:r>
    </w:p>
    <w:p>
      <w:pPr>
        <w:tabs>
          <w:tab w:val="left" w:pos="3885"/>
        </w:tabs>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2020年，我院资助经费项目资金到位率100%。截至2020年12月31日该项目累计支出1173.2万元，其中发放国家奖学金8万元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国家励志奖学金139.5万元</w:t>
      </w:r>
      <w:r>
        <w:rPr>
          <w:rFonts w:hint="eastAsia" w:ascii="仿宋_GB2312" w:hAnsi="仿宋_GB2312" w:eastAsia="仿宋_GB2312" w:cs="仿宋_GB2312"/>
          <w:sz w:val="32"/>
          <w:szCs w:val="32"/>
          <w:lang w:eastAsia="zh-CN"/>
        </w:rPr>
        <w:t>、春季</w:t>
      </w:r>
      <w:r>
        <w:rPr>
          <w:rFonts w:hint="eastAsia" w:ascii="仿宋_GB2312" w:hAnsi="仿宋_GB2312" w:eastAsia="仿宋_GB2312" w:cs="仿宋_GB2312"/>
          <w:sz w:val="32"/>
          <w:szCs w:val="32"/>
        </w:rPr>
        <w:t>国家助学金564.195万元</w:t>
      </w:r>
      <w:r>
        <w:rPr>
          <w:rFonts w:hint="eastAsia" w:ascii="仿宋_GB2312" w:hAnsi="仿宋_GB2312" w:eastAsia="仿宋_GB2312" w:cs="仿宋_GB2312"/>
          <w:sz w:val="32"/>
          <w:szCs w:val="32"/>
          <w:lang w:eastAsia="zh-CN"/>
        </w:rPr>
        <w:t>、秋季</w:t>
      </w:r>
      <w:r>
        <w:rPr>
          <w:rFonts w:hint="eastAsia" w:ascii="仿宋_GB2312" w:hAnsi="仿宋_GB2312" w:eastAsia="仿宋_GB2312" w:cs="仿宋_GB2312"/>
          <w:sz w:val="32"/>
          <w:szCs w:val="32"/>
        </w:rPr>
        <w:t>国家助学金461.505万元。所有经费发放全部到位，资助经费使用取得了良好的效果，得到学生的认可，为学生顺利完成学业提供保障。</w:t>
      </w:r>
    </w:p>
    <w:p>
      <w:pPr>
        <w:tabs>
          <w:tab w:val="left" w:pos="3885"/>
        </w:tabs>
        <w:snapToGrid w:val="0"/>
        <w:spacing w:line="600" w:lineRule="exact"/>
        <w:ind w:firstLine="642" w:firstLineChars="200"/>
        <w:jc w:val="both"/>
        <w:rPr>
          <w:rFonts w:hint="eastAsia" w:ascii="楷体_GB2312" w:hAnsi="仿宋_GB2312" w:eastAsia="楷体_GB2312" w:cs="仿宋_GB2312"/>
          <w:b/>
          <w:sz w:val="32"/>
          <w:szCs w:val="32"/>
        </w:rPr>
      </w:pPr>
      <w:r>
        <w:rPr>
          <w:rFonts w:hint="eastAsia" w:ascii="楷体_GB2312" w:hAnsi="仿宋_GB2312" w:eastAsia="楷体_GB2312" w:cs="仿宋_GB2312"/>
          <w:b/>
          <w:sz w:val="32"/>
          <w:szCs w:val="32"/>
        </w:rPr>
        <w:t>（四）项目绩效目标</w:t>
      </w:r>
    </w:p>
    <w:p>
      <w:pPr>
        <w:tabs>
          <w:tab w:val="left" w:pos="3885"/>
        </w:tabs>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进一步强化资助政策宣传，提升资助工作的精准度和有效性，强化经济资助与学生全面发展之间的契合，强化典型引领，更好发挥资助育人成效。</w:t>
      </w:r>
    </w:p>
    <w:p>
      <w:pPr>
        <w:numPr>
          <w:ilvl w:val="0"/>
          <w:numId w:val="0"/>
        </w:numPr>
        <w:tabs>
          <w:tab w:val="left" w:pos="3885"/>
        </w:tabs>
        <w:snapToGrid w:val="0"/>
        <w:spacing w:line="600" w:lineRule="exact"/>
        <w:ind w:firstLine="640" w:firstLineChars="200"/>
        <w:jc w:val="both"/>
        <w:rPr>
          <w:rFonts w:hint="eastAsia" w:ascii="黑体" w:hAnsi="宋体" w:eastAsia="黑体" w:cs="Times New Roman"/>
          <w:sz w:val="32"/>
          <w:szCs w:val="21"/>
          <w:lang w:eastAsia="zh-CN"/>
        </w:rPr>
      </w:pPr>
      <w:r>
        <w:rPr>
          <w:rFonts w:hint="eastAsia" w:ascii="黑体" w:hAnsi="宋体" w:eastAsia="黑体" w:cs="Times New Roman"/>
          <w:sz w:val="32"/>
          <w:szCs w:val="21"/>
          <w:lang w:eastAsia="zh-CN"/>
        </w:rPr>
        <w:t>二、评价工作开展情况</w:t>
      </w:r>
    </w:p>
    <w:p>
      <w:pPr>
        <w:tabs>
          <w:tab w:val="left" w:pos="3885"/>
        </w:tabs>
        <w:snapToGrid w:val="0"/>
        <w:spacing w:line="600" w:lineRule="exact"/>
        <w:ind w:firstLine="642" w:firstLineChars="200"/>
        <w:jc w:val="both"/>
        <w:rPr>
          <w:rFonts w:hint="eastAsia" w:ascii="楷体_GB2312" w:hAnsi="仿宋_GB2312" w:eastAsia="楷体_GB2312" w:cs="仿宋_GB2312"/>
          <w:b/>
          <w:sz w:val="32"/>
          <w:szCs w:val="32"/>
        </w:rPr>
      </w:pPr>
      <w:r>
        <w:rPr>
          <w:rFonts w:hint="eastAsia" w:ascii="楷体_GB2312" w:hAnsi="仿宋_GB2312" w:eastAsia="楷体_GB2312" w:cs="仿宋_GB2312"/>
          <w:b/>
          <w:sz w:val="32"/>
          <w:szCs w:val="32"/>
        </w:rPr>
        <w:t>（一）评价组织情况</w:t>
      </w:r>
    </w:p>
    <w:p>
      <w:pPr>
        <w:tabs>
          <w:tab w:val="left" w:pos="3885"/>
        </w:tabs>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本项目评价指标按照财政部门要求设置，并咨询相关评审专家，建立本项目的评价指标体系，对评价指标体系征求各部门意见，后形成本项目的评价指标体系，正式明确评价工作要求，自评评价指标和评分标准。</w:t>
      </w:r>
    </w:p>
    <w:p>
      <w:pPr>
        <w:tabs>
          <w:tab w:val="left" w:pos="3885"/>
        </w:tabs>
        <w:snapToGrid w:val="0"/>
        <w:spacing w:line="600" w:lineRule="exact"/>
        <w:ind w:firstLine="642" w:firstLineChars="200"/>
        <w:jc w:val="both"/>
        <w:rPr>
          <w:rFonts w:hint="eastAsia" w:ascii="楷体_GB2312" w:hAnsi="仿宋_GB2312" w:eastAsia="楷体_GB2312" w:cs="仿宋_GB2312"/>
          <w:b/>
          <w:sz w:val="32"/>
          <w:szCs w:val="32"/>
        </w:rPr>
      </w:pPr>
      <w:r>
        <w:rPr>
          <w:rFonts w:hint="eastAsia" w:ascii="楷体_GB2312" w:hAnsi="仿宋_GB2312" w:eastAsia="楷体_GB2312" w:cs="仿宋_GB2312"/>
          <w:b/>
          <w:sz w:val="32"/>
          <w:szCs w:val="32"/>
        </w:rPr>
        <w:t>（二）评价体系、评价方法和评价标准</w:t>
      </w:r>
    </w:p>
    <w:p>
      <w:pPr>
        <w:tabs>
          <w:tab w:val="left" w:pos="3885"/>
        </w:tabs>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本次评价原则主要集中于合规性、效率和效果三大原则，采用案卷调查法，从数量指标、时效指标、社会效益指标、可持续影响指标、满意度指标进行评价。具体的指标评价见附表—项目支出绩效自评表。</w:t>
      </w:r>
    </w:p>
    <w:p>
      <w:pPr>
        <w:tabs>
          <w:tab w:val="left" w:pos="3885"/>
        </w:tabs>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本项目的评价流程分为两个阶段，第一个阶段：学院财务处发放自评通知，并辅助设计指标；第二阶段：学生处召开处务会，讨论推进自评工作开展，根据项目自评表进行自评，提交项目自评报告。</w:t>
      </w:r>
    </w:p>
    <w:p>
      <w:pPr>
        <w:numPr>
          <w:ilvl w:val="0"/>
          <w:numId w:val="0"/>
        </w:numPr>
        <w:tabs>
          <w:tab w:val="left" w:pos="3885"/>
        </w:tabs>
        <w:snapToGrid w:val="0"/>
        <w:spacing w:line="600" w:lineRule="exact"/>
        <w:ind w:firstLine="640" w:firstLineChars="200"/>
        <w:jc w:val="both"/>
        <w:rPr>
          <w:rFonts w:hint="eastAsia" w:ascii="黑体" w:hAnsi="宋体" w:eastAsia="黑体" w:cs="Times New Roman"/>
          <w:sz w:val="32"/>
          <w:szCs w:val="21"/>
          <w:lang w:eastAsia="zh-CN"/>
        </w:rPr>
      </w:pPr>
      <w:r>
        <w:rPr>
          <w:rFonts w:hint="eastAsia" w:ascii="黑体" w:hAnsi="宋体" w:eastAsia="黑体" w:cs="Times New Roman"/>
          <w:sz w:val="32"/>
          <w:szCs w:val="21"/>
          <w:lang w:eastAsia="zh-CN"/>
        </w:rPr>
        <w:t>三、综合评价结论</w:t>
      </w:r>
    </w:p>
    <w:p>
      <w:pPr>
        <w:tabs>
          <w:tab w:val="left" w:pos="3885"/>
        </w:tabs>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该项目资金按时落实到位，项目实施工作有序开展，业务管理制度健全，并能得到执行，能够完成绩效目标申报表的考核指标，但在质量和过程中仍有待提高，自评等级为优秀。</w:t>
      </w:r>
    </w:p>
    <w:p>
      <w:pPr>
        <w:numPr>
          <w:ilvl w:val="0"/>
          <w:numId w:val="0"/>
        </w:numPr>
        <w:tabs>
          <w:tab w:val="left" w:pos="3885"/>
        </w:tabs>
        <w:snapToGrid w:val="0"/>
        <w:spacing w:line="600" w:lineRule="exact"/>
        <w:ind w:firstLine="640" w:firstLineChars="200"/>
        <w:jc w:val="both"/>
        <w:rPr>
          <w:rFonts w:hint="eastAsia" w:ascii="黑体" w:hAnsi="宋体" w:eastAsia="黑体" w:cs="Times New Roman"/>
          <w:sz w:val="32"/>
          <w:szCs w:val="21"/>
          <w:lang w:eastAsia="zh-CN"/>
        </w:rPr>
      </w:pPr>
      <w:r>
        <w:rPr>
          <w:rFonts w:hint="eastAsia" w:ascii="黑体" w:hAnsi="宋体" w:eastAsia="黑体" w:cs="Times New Roman"/>
          <w:sz w:val="32"/>
          <w:szCs w:val="21"/>
          <w:lang w:eastAsia="zh-CN"/>
        </w:rPr>
        <w:t>四、绩效评价分析</w:t>
      </w:r>
    </w:p>
    <w:p>
      <w:pPr>
        <w:tabs>
          <w:tab w:val="left" w:pos="3885"/>
        </w:tabs>
        <w:snapToGrid w:val="0"/>
        <w:spacing w:line="600" w:lineRule="exact"/>
        <w:ind w:firstLine="642" w:firstLineChars="200"/>
        <w:jc w:val="both"/>
        <w:rPr>
          <w:rFonts w:hint="eastAsia" w:ascii="楷体_GB2312" w:hAnsi="仿宋_GB2312" w:eastAsia="楷体_GB2312" w:cs="仿宋_GB2312"/>
          <w:b/>
          <w:sz w:val="32"/>
          <w:szCs w:val="32"/>
        </w:rPr>
      </w:pPr>
      <w:r>
        <w:rPr>
          <w:rFonts w:hint="eastAsia" w:ascii="楷体_GB2312" w:hAnsi="仿宋_GB2312" w:eastAsia="楷体_GB2312" w:cs="仿宋_GB2312"/>
          <w:b/>
          <w:sz w:val="32"/>
          <w:szCs w:val="32"/>
        </w:rPr>
        <w:t>（一）项目决策情况</w:t>
      </w:r>
    </w:p>
    <w:p>
      <w:pPr>
        <w:tabs>
          <w:tab w:val="left" w:pos="3885"/>
        </w:tabs>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立项程序合法。该项目根据国家奖助学金管理办法和2020年四川省教育厅下达的国家奖助学金具体名额进行设立。项目执行过程中严格使用和管理经费，专款专用，根据工作研究内容、总体目标和计划进度，制定资金使用计划，确保各项工作按计划进度进行</w:t>
      </w:r>
    </w:p>
    <w:p>
      <w:pPr>
        <w:tabs>
          <w:tab w:val="left" w:pos="3885"/>
        </w:tabs>
        <w:snapToGrid w:val="0"/>
        <w:spacing w:line="600" w:lineRule="exact"/>
        <w:ind w:firstLine="642" w:firstLineChars="200"/>
        <w:jc w:val="both"/>
        <w:rPr>
          <w:rFonts w:hint="eastAsia" w:ascii="楷体_GB2312" w:hAnsi="仿宋_GB2312" w:eastAsia="楷体_GB2312" w:cs="仿宋_GB2312"/>
          <w:b/>
          <w:sz w:val="32"/>
          <w:szCs w:val="32"/>
        </w:rPr>
      </w:pPr>
      <w:r>
        <w:rPr>
          <w:rFonts w:hint="eastAsia" w:ascii="楷体_GB2312" w:hAnsi="仿宋_GB2312" w:eastAsia="楷体_GB2312" w:cs="仿宋_GB2312"/>
          <w:b/>
          <w:sz w:val="32"/>
          <w:szCs w:val="32"/>
        </w:rPr>
        <w:t>（二）项目管理情况</w:t>
      </w:r>
    </w:p>
    <w:p>
      <w:pPr>
        <w:tabs>
          <w:tab w:val="left" w:pos="3885"/>
        </w:tabs>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执行过程规范合理、遴选公开公平。建立了健全的学生资助管理制度，并执行相关制度，监督机制健全，有关资料的归档和整理及时并且完整。资金的发放严格按照政策的要求发放到学生指定的银行卡上，资金使用合理，监督有效，不存在漏洞。</w:t>
      </w:r>
    </w:p>
    <w:p>
      <w:pPr>
        <w:tabs>
          <w:tab w:val="left" w:pos="3885"/>
        </w:tabs>
        <w:snapToGrid w:val="0"/>
        <w:spacing w:line="600" w:lineRule="exact"/>
        <w:ind w:firstLine="642" w:firstLineChars="200"/>
        <w:jc w:val="both"/>
        <w:rPr>
          <w:rFonts w:hint="eastAsia" w:ascii="楷体_GB2312" w:hAnsi="仿宋_GB2312" w:eastAsia="楷体_GB2312" w:cs="仿宋_GB2312"/>
          <w:b/>
          <w:sz w:val="32"/>
          <w:szCs w:val="32"/>
        </w:rPr>
      </w:pPr>
      <w:r>
        <w:rPr>
          <w:rFonts w:hint="eastAsia" w:ascii="楷体_GB2312" w:hAnsi="仿宋_GB2312" w:eastAsia="楷体_GB2312" w:cs="仿宋_GB2312"/>
          <w:b/>
          <w:sz w:val="32"/>
          <w:szCs w:val="32"/>
        </w:rPr>
        <w:t>（三）项目产出情况</w:t>
      </w:r>
    </w:p>
    <w:p>
      <w:pPr>
        <w:tabs>
          <w:tab w:val="left" w:pos="3885"/>
        </w:tabs>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学生资助管理工作已按省教育厅要求完成相关评选工作，并上报省教育厅，全年累计发放国家奖助学金1173.2万元，按计划完成既定目标。资金实施时间周期总体上较紧凑，于2020年12月底前按时按量完成资金的发放工作。</w:t>
      </w:r>
    </w:p>
    <w:p>
      <w:pPr>
        <w:tabs>
          <w:tab w:val="left" w:pos="3885"/>
        </w:tabs>
        <w:snapToGrid w:val="0"/>
        <w:spacing w:line="600" w:lineRule="exact"/>
        <w:ind w:firstLine="642" w:firstLineChars="200"/>
        <w:jc w:val="both"/>
        <w:rPr>
          <w:rFonts w:hint="eastAsia" w:ascii="楷体_GB2312" w:hAnsi="仿宋_GB2312" w:eastAsia="楷体_GB2312" w:cs="仿宋_GB2312"/>
          <w:b/>
          <w:sz w:val="32"/>
          <w:szCs w:val="32"/>
        </w:rPr>
      </w:pPr>
      <w:r>
        <w:rPr>
          <w:rFonts w:hint="eastAsia" w:ascii="楷体_GB2312" w:hAnsi="仿宋_GB2312" w:eastAsia="楷体_GB2312" w:cs="仿宋_GB2312"/>
          <w:b/>
          <w:sz w:val="32"/>
          <w:szCs w:val="32"/>
        </w:rPr>
        <w:t>（四）项目效益情况</w:t>
      </w:r>
    </w:p>
    <w:p>
      <w:pPr>
        <w:tabs>
          <w:tab w:val="left" w:pos="3885"/>
        </w:tabs>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资助经费一定程度满足所资助的贫困生生活的需求，缓解上学的经济压力，减轻了家庭经济困难学生的就学压力，确保困难学生可以正常完成学业。另一方面，通过奖学金的形式，对优秀学生进行奖励，在学生中树典型、立榜样，有助于良好学风的形成。该项目在扶贫的同时通过感恩、励志等活动，对学生进行扶志，得到了学生的一致认可，产生了良好的社会效益。</w:t>
      </w:r>
    </w:p>
    <w:p>
      <w:pPr>
        <w:numPr>
          <w:ilvl w:val="0"/>
          <w:numId w:val="0"/>
        </w:numPr>
        <w:tabs>
          <w:tab w:val="left" w:pos="3885"/>
        </w:tabs>
        <w:snapToGrid w:val="0"/>
        <w:spacing w:line="600" w:lineRule="exact"/>
        <w:ind w:firstLine="640" w:firstLineChars="200"/>
        <w:jc w:val="both"/>
        <w:rPr>
          <w:rFonts w:hint="eastAsia" w:ascii="黑体" w:hAnsi="宋体" w:eastAsia="黑体" w:cs="Times New Roman"/>
          <w:sz w:val="32"/>
          <w:szCs w:val="21"/>
          <w:lang w:eastAsia="zh-CN"/>
        </w:rPr>
      </w:pPr>
      <w:r>
        <w:rPr>
          <w:rFonts w:hint="eastAsia" w:ascii="黑体" w:hAnsi="宋体" w:eastAsia="黑体" w:cs="Times New Roman"/>
          <w:sz w:val="32"/>
          <w:szCs w:val="21"/>
          <w:lang w:eastAsia="zh-CN"/>
        </w:rPr>
        <w:t>五、存在主要问题</w:t>
      </w:r>
    </w:p>
    <w:p>
      <w:pPr>
        <w:tabs>
          <w:tab w:val="left" w:pos="3885"/>
        </w:tabs>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通过本次自查自评发现，我院存在对大一学生进行贫困认定和资助时的精准度不够，资助的精准度有待进一步提高。</w:t>
      </w:r>
    </w:p>
    <w:p>
      <w:pPr>
        <w:numPr>
          <w:ilvl w:val="0"/>
          <w:numId w:val="0"/>
        </w:numPr>
        <w:tabs>
          <w:tab w:val="left" w:pos="3885"/>
        </w:tabs>
        <w:snapToGrid w:val="0"/>
        <w:spacing w:line="600" w:lineRule="exact"/>
        <w:ind w:firstLine="640" w:firstLineChars="200"/>
        <w:jc w:val="both"/>
        <w:rPr>
          <w:rFonts w:hint="eastAsia" w:ascii="黑体" w:hAnsi="宋体" w:eastAsia="黑体" w:cs="Times New Roman"/>
          <w:sz w:val="32"/>
          <w:szCs w:val="21"/>
          <w:lang w:eastAsia="zh-CN"/>
        </w:rPr>
      </w:pPr>
      <w:r>
        <w:rPr>
          <w:rFonts w:hint="eastAsia" w:ascii="黑体" w:hAnsi="宋体" w:eastAsia="黑体" w:cs="Times New Roman"/>
          <w:sz w:val="32"/>
          <w:szCs w:val="21"/>
          <w:lang w:eastAsia="zh-CN"/>
        </w:rPr>
        <w:t>六、相关措施建议</w:t>
      </w:r>
    </w:p>
    <w:p>
      <w:pPr>
        <w:tabs>
          <w:tab w:val="left" w:pos="3885"/>
        </w:tabs>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针对以上问题，学院将采取以下措施：</w:t>
      </w:r>
    </w:p>
    <w:p>
      <w:pPr>
        <w:tabs>
          <w:tab w:val="left" w:pos="3885"/>
        </w:tabs>
        <w:snapToGrid w:val="0"/>
        <w:spacing w:line="600" w:lineRule="exact"/>
        <w:ind w:firstLine="642"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（一）建立灵活评审机制。通过对学生走访、谈话、家访等形式深入了解学生的家庭状况和生活情况。</w:t>
      </w:r>
    </w:p>
    <w:p>
      <w:pPr>
        <w:tabs>
          <w:tab w:val="left" w:pos="3885"/>
        </w:tabs>
        <w:snapToGrid w:val="0"/>
        <w:spacing w:line="600" w:lineRule="exact"/>
        <w:ind w:firstLine="642"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（二）联系学院各部门，充分利用大数据，广泛收集学生生活、消费相关的数据，提高认定对象的精准度。</w:t>
      </w:r>
    </w:p>
    <w:p>
      <w:pPr>
        <w:tabs>
          <w:tab w:val="left" w:pos="3885"/>
        </w:tabs>
        <w:snapToGrid w:val="0"/>
        <w:spacing w:line="600" w:lineRule="exact"/>
        <w:ind w:firstLine="640" w:firstLineChars="200"/>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宋体" w:eastAsia="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宋体" w:eastAsia="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宋体" w:eastAsia="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宋体" w:eastAsia="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宋体" w:eastAsia="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宋体" w:eastAsia="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宋体" w:eastAsia="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lang w:val="en-US" w:eastAsia="zh-CN"/>
        </w:rPr>
        <w:t>2020年部门预算项目支出绩效自评报告</w:t>
      </w:r>
      <w:bookmarkEnd w:id="174"/>
      <w:bookmarkEnd w:id="175"/>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outlineLvl w:val="9"/>
        <w:rPr>
          <w:rFonts w:hint="eastAsia" w:hAnsi="宋体" w:eastAsia="仿宋_GB2312"/>
          <w:color w:val="auto"/>
          <w:sz w:val="32"/>
          <w:szCs w:val="32"/>
          <w:highlight w:val="none"/>
        </w:rPr>
      </w:pPr>
      <w:r>
        <w:rPr>
          <w:rFonts w:hint="eastAsia" w:hAnsi="宋体" w:eastAsia="仿宋_GB2312"/>
          <w:color w:val="auto"/>
          <w:sz w:val="32"/>
          <w:szCs w:val="32"/>
          <w:highlight w:val="none"/>
        </w:rPr>
        <w:t>（</w:t>
      </w:r>
      <w:r>
        <w:rPr>
          <w:rFonts w:hint="eastAsia" w:ascii="仿宋_GB2312" w:hAnsi="仿宋_GB2312" w:eastAsia="仿宋_GB2312" w:cs="仿宋_GB2312"/>
          <w:b w:val="0"/>
          <w:bCs w:val="0"/>
          <w:color w:val="auto"/>
          <w:sz w:val="32"/>
          <w:szCs w:val="21"/>
          <w:highlight w:val="none"/>
          <w:lang w:val="en-US" w:eastAsia="zh-CN"/>
        </w:rPr>
        <w:t>两校区综合维修</w:t>
      </w:r>
      <w:r>
        <w:rPr>
          <w:rFonts w:hint="eastAsia" w:ascii="仿宋_GB2312" w:hAnsi="仿宋_GB2312" w:eastAsia="仿宋_GB2312" w:cs="仿宋_GB2312"/>
          <w:b w:val="0"/>
          <w:bCs w:val="0"/>
          <w:color w:val="auto"/>
          <w:sz w:val="32"/>
          <w:szCs w:val="21"/>
          <w:highlight w:val="none"/>
          <w:lang w:eastAsia="zh-CN"/>
        </w:rPr>
        <w:t>项目</w:t>
      </w:r>
      <w:r>
        <w:rPr>
          <w:rFonts w:hint="eastAsia" w:hAnsi="宋体" w:eastAsia="仿宋_GB2312"/>
          <w:color w:val="auto"/>
          <w:sz w:val="32"/>
          <w:szCs w:val="32"/>
          <w:highlight w:val="none"/>
        </w:rPr>
        <w:t>）</w:t>
      </w:r>
    </w:p>
    <w:p>
      <w:pPr>
        <w:pStyle w:val="2"/>
        <w:rPr>
          <w:rFonts w:hint="eastAsia"/>
        </w:rPr>
      </w:pPr>
    </w:p>
    <w:p>
      <w:pPr>
        <w:suppressAutoHyphens/>
        <w:bidi w:val="0"/>
        <w:spacing w:line="580" w:lineRule="exact"/>
        <w:ind w:firstLine="640" w:firstLineChars="200"/>
        <w:rPr>
          <w:rFonts w:hint="eastAsia" w:ascii="黑体" w:hAnsi="黑体" w:eastAsia="黑体"/>
          <w:b w:val="0"/>
          <w:bCs/>
          <w:color w:val="auto"/>
          <w:sz w:val="32"/>
          <w:szCs w:val="32"/>
          <w:lang w:eastAsia="zh-CN"/>
        </w:rPr>
      </w:pPr>
      <w:bookmarkStart w:id="176" w:name="_Toc1580677815_WPSOffice_Level2"/>
      <w:bookmarkStart w:id="177" w:name="_Toc779369069_WPSOffice_Level2"/>
      <w:r>
        <w:rPr>
          <w:rFonts w:hint="eastAsia" w:ascii="黑体" w:hAnsi="黑体" w:eastAsia="黑体"/>
          <w:b w:val="0"/>
          <w:bCs/>
          <w:color w:val="auto"/>
          <w:sz w:val="32"/>
          <w:szCs w:val="32"/>
          <w:lang w:eastAsia="zh-CN"/>
        </w:rPr>
        <w:t>一、基本情况</w:t>
      </w:r>
      <w:bookmarkEnd w:id="176"/>
      <w:bookmarkEnd w:id="177"/>
    </w:p>
    <w:p>
      <w:pPr>
        <w:suppressAutoHyphens/>
        <w:bidi w:val="0"/>
        <w:spacing w:line="580" w:lineRule="exact"/>
        <w:ind w:firstLine="642" w:firstLineChars="200"/>
        <w:rPr>
          <w:rFonts w:hint="eastAsia" w:ascii="楷体_GB2312" w:hAnsi="Times New Roman" w:eastAsia="楷体_GB2312"/>
          <w:b/>
          <w:color w:val="auto"/>
          <w:sz w:val="32"/>
          <w:szCs w:val="32"/>
          <w:lang w:val="en-US" w:eastAsia="zh-CN"/>
        </w:rPr>
      </w:pPr>
      <w:r>
        <w:rPr>
          <w:rFonts w:hint="eastAsia" w:ascii="楷体_GB2312" w:hAnsi="Times New Roman" w:eastAsia="楷体_GB2312"/>
          <w:b/>
          <w:color w:val="auto"/>
          <w:sz w:val="32"/>
          <w:szCs w:val="32"/>
          <w:lang w:val="en-US" w:eastAsia="zh-CN"/>
        </w:rPr>
        <w:t>（一）项目概况</w:t>
      </w:r>
    </w:p>
    <w:p>
      <w:pPr>
        <w:suppressAutoHyphens/>
        <w:bidi w:val="0"/>
        <w:spacing w:line="580" w:lineRule="exact"/>
        <w:ind w:firstLine="640" w:firstLineChars="200"/>
        <w:rPr>
          <w:rFonts w:hint="eastAsia" w:ascii="仿宋_GB2312" w:hAnsi="Times New Roman" w:eastAsia="仿宋_GB2312"/>
          <w:color w:val="auto"/>
          <w:sz w:val="32"/>
          <w:szCs w:val="32"/>
          <w:lang w:val="en-US" w:eastAsia="zh-CN"/>
        </w:rPr>
      </w:pPr>
      <w:r>
        <w:rPr>
          <w:rFonts w:hint="eastAsia" w:ascii="仿宋_GB2312" w:hAnsi="Times New Roman" w:eastAsia="仿宋_GB2312"/>
          <w:color w:val="auto"/>
          <w:sz w:val="32"/>
          <w:szCs w:val="32"/>
          <w:lang w:val="en-US" w:eastAsia="zh-CN"/>
        </w:rPr>
        <w:t>由于文家校区线路老化，部分原有建筑和遗留物品</w:t>
      </w:r>
      <w:r>
        <w:rPr>
          <w:rFonts w:hint="eastAsia" w:ascii="仿宋_GB2312" w:eastAsia="仿宋_GB2312"/>
          <w:color w:val="auto"/>
          <w:sz w:val="32"/>
          <w:szCs w:val="32"/>
          <w:lang w:val="en-US" w:eastAsia="zh-CN"/>
        </w:rPr>
        <w:t>存在</w:t>
      </w:r>
      <w:r>
        <w:rPr>
          <w:rFonts w:hint="eastAsia" w:ascii="仿宋_GB2312" w:hAnsi="Times New Roman" w:eastAsia="仿宋_GB2312"/>
          <w:color w:val="auto"/>
          <w:sz w:val="32"/>
          <w:szCs w:val="32"/>
          <w:lang w:val="en-US" w:eastAsia="zh-CN"/>
        </w:rPr>
        <w:t>严重安全隐患，原有值班室陈旧破损严重，根据防疫要求需设立隔离室，和盛校区教学楼沉降缝漏水严重等，为保障学院正常安全运行，给全院一万多师生较为舒适的学习和生活环境，特设立了两校区维修工程项目。</w:t>
      </w:r>
    </w:p>
    <w:p>
      <w:pPr>
        <w:suppressAutoHyphens/>
        <w:bidi w:val="0"/>
        <w:spacing w:line="580" w:lineRule="exact"/>
        <w:ind w:firstLine="642" w:firstLineChars="200"/>
        <w:rPr>
          <w:rFonts w:hint="eastAsia" w:ascii="楷体_GB2312" w:hAnsi="Times New Roman" w:eastAsia="楷体_GB2312"/>
          <w:b/>
          <w:color w:val="auto"/>
          <w:sz w:val="32"/>
          <w:szCs w:val="32"/>
          <w:lang w:val="en-US" w:eastAsia="zh-CN"/>
        </w:rPr>
      </w:pPr>
      <w:r>
        <w:rPr>
          <w:rFonts w:hint="eastAsia" w:ascii="楷体_GB2312" w:hAnsi="Times New Roman" w:eastAsia="楷体_GB2312"/>
          <w:b/>
          <w:color w:val="auto"/>
          <w:sz w:val="32"/>
          <w:szCs w:val="32"/>
          <w:lang w:val="en-US" w:eastAsia="zh-CN"/>
        </w:rPr>
        <w:t>（二）项目实施情况</w:t>
      </w:r>
    </w:p>
    <w:p>
      <w:pPr>
        <w:suppressAutoHyphens/>
        <w:bidi w:val="0"/>
        <w:spacing w:line="580" w:lineRule="exact"/>
        <w:ind w:firstLine="640" w:firstLineChars="200"/>
        <w:rPr>
          <w:rFonts w:hint="eastAsia" w:ascii="仿宋_GB2312" w:hAnsi="Times New Roman" w:eastAsia="仿宋_GB2312"/>
          <w:color w:val="auto"/>
          <w:sz w:val="32"/>
          <w:szCs w:val="32"/>
          <w:lang w:val="en-US" w:eastAsia="zh-CN"/>
        </w:rPr>
      </w:pPr>
      <w:r>
        <w:rPr>
          <w:rFonts w:hint="eastAsia" w:ascii="仿宋_GB2312" w:hAnsi="Times New Roman" w:eastAsia="仿宋_GB2312"/>
          <w:color w:val="auto"/>
          <w:sz w:val="32"/>
          <w:szCs w:val="32"/>
          <w:lang w:val="en-US" w:eastAsia="zh-CN"/>
        </w:rPr>
        <w:t>该项目的实施符合国家的现行政策，坚持“公平、公正、公开”的原则，专款专用，确保校园环境的安全，同时保障了教学和生活秩序的正常运行。</w:t>
      </w:r>
    </w:p>
    <w:p>
      <w:pPr>
        <w:suppressAutoHyphens/>
        <w:bidi w:val="0"/>
        <w:spacing w:line="580" w:lineRule="exact"/>
        <w:ind w:firstLine="642" w:firstLineChars="200"/>
        <w:rPr>
          <w:rFonts w:hint="eastAsia" w:ascii="楷体_GB2312" w:hAnsi="Times New Roman" w:eastAsia="楷体_GB2312"/>
          <w:b/>
          <w:color w:val="auto"/>
          <w:sz w:val="32"/>
          <w:szCs w:val="32"/>
          <w:lang w:val="en-US" w:eastAsia="zh-CN"/>
        </w:rPr>
      </w:pPr>
      <w:r>
        <w:rPr>
          <w:rFonts w:hint="eastAsia" w:ascii="楷体_GB2312" w:hAnsi="Times New Roman" w:eastAsia="楷体_GB2312"/>
          <w:b/>
          <w:color w:val="auto"/>
          <w:sz w:val="32"/>
          <w:szCs w:val="32"/>
          <w:lang w:val="en-US" w:eastAsia="zh-CN"/>
        </w:rPr>
        <w:t>（三）资金投入使用情况</w:t>
      </w:r>
    </w:p>
    <w:p>
      <w:pPr>
        <w:suppressAutoHyphens/>
        <w:bidi w:val="0"/>
        <w:spacing w:line="580" w:lineRule="exact"/>
        <w:ind w:firstLine="640" w:firstLineChars="200"/>
        <w:rPr>
          <w:rFonts w:hint="eastAsia" w:ascii="仿宋_GB2312" w:hAnsi="Times New Roman" w:eastAsia="仿宋_GB2312"/>
          <w:color w:val="auto"/>
          <w:sz w:val="32"/>
          <w:szCs w:val="32"/>
          <w:lang w:val="en-US" w:eastAsia="zh-CN"/>
        </w:rPr>
      </w:pPr>
      <w:r>
        <w:rPr>
          <w:rFonts w:hint="eastAsia" w:ascii="仿宋_GB2312" w:hAnsi="Times New Roman" w:eastAsia="仿宋_GB2312"/>
          <w:color w:val="auto"/>
          <w:sz w:val="32"/>
          <w:szCs w:val="32"/>
          <w:lang w:val="en-US" w:eastAsia="zh-CN"/>
        </w:rPr>
        <w:t>2020年，我院两校区维修专项资金到位率100%，预算金额100万，中标金额849991.59元，送审金额964969.53元，审定金额为758065.00元。根据合同，在项目完工验收合格并通过审计后按合同约定以审定金额止付，实际支付了758065.00元，剩余资金年末自动收回。</w:t>
      </w:r>
    </w:p>
    <w:p>
      <w:pPr>
        <w:suppressAutoHyphens/>
        <w:bidi w:val="0"/>
        <w:spacing w:line="580" w:lineRule="exact"/>
        <w:ind w:firstLine="642" w:firstLineChars="200"/>
        <w:rPr>
          <w:rFonts w:hint="eastAsia" w:ascii="楷体_GB2312" w:hAnsi="Times New Roman" w:eastAsia="楷体_GB2312"/>
          <w:b/>
          <w:color w:val="auto"/>
          <w:sz w:val="32"/>
          <w:szCs w:val="32"/>
          <w:lang w:val="en-US" w:eastAsia="zh-CN"/>
        </w:rPr>
      </w:pPr>
      <w:r>
        <w:rPr>
          <w:rFonts w:hint="eastAsia" w:ascii="楷体_GB2312" w:hAnsi="Times New Roman" w:eastAsia="楷体_GB2312"/>
          <w:b/>
          <w:color w:val="auto"/>
          <w:sz w:val="32"/>
          <w:szCs w:val="32"/>
          <w:lang w:val="en-US" w:eastAsia="zh-CN"/>
        </w:rPr>
        <w:t>（四）项目绩效目标</w:t>
      </w:r>
    </w:p>
    <w:p>
      <w:pPr>
        <w:suppressAutoHyphens/>
        <w:bidi w:val="0"/>
        <w:spacing w:line="580" w:lineRule="exact"/>
        <w:ind w:firstLine="640" w:firstLineChars="200"/>
        <w:rPr>
          <w:rFonts w:hint="eastAsia" w:ascii="仿宋_GB2312" w:hAnsi="Times New Roman" w:eastAsia="仿宋_GB2312"/>
          <w:color w:val="auto"/>
          <w:sz w:val="32"/>
          <w:szCs w:val="32"/>
          <w:lang w:val="en-US" w:eastAsia="zh-CN"/>
        </w:rPr>
      </w:pPr>
      <w:r>
        <w:rPr>
          <w:rFonts w:hint="eastAsia" w:ascii="仿宋_GB2312" w:hAnsi="Times New Roman" w:eastAsia="仿宋_GB2312"/>
          <w:color w:val="auto"/>
          <w:sz w:val="32"/>
          <w:szCs w:val="32"/>
          <w:lang w:val="en-US" w:eastAsia="zh-CN"/>
        </w:rPr>
        <w:t>完成了文家校区2000米的供电线路更换，新装配电柜一台，10套值班室（隔离房）改造（粉刷面积2600㎡）拆除了教学楼顶铁架、老木工房、东区食堂彩钢棚、东区锅炉房及设备等有严重安全隐患的建筑和设备，保证了文家校区供电线路安全运行，改善了值班人员和隔离室住宿条件。完成了和盛校区4个多功能厅的天沟更换和部分改造，教学楼地面沉降伸缩缝的拆除、安装，消除了教学楼漏水现象，同时新装6米单挑灯25套。所有项目在规定时间全部完成质量合格。确保了全院1万多师生的校园环境安全，同时保障了教学和生活秩序的正常运行，师生满意度达到85%。</w:t>
      </w:r>
    </w:p>
    <w:p>
      <w:pPr>
        <w:suppressAutoHyphens/>
        <w:bidi w:val="0"/>
        <w:spacing w:line="580" w:lineRule="exact"/>
        <w:ind w:firstLine="640" w:firstLineChars="200"/>
        <w:rPr>
          <w:rFonts w:hint="eastAsia" w:ascii="黑体" w:hAnsi="黑体" w:eastAsia="黑体"/>
          <w:b w:val="0"/>
          <w:bCs/>
          <w:color w:val="auto"/>
          <w:sz w:val="32"/>
          <w:szCs w:val="32"/>
          <w:lang w:val="en-US" w:eastAsia="zh-CN"/>
        </w:rPr>
      </w:pPr>
      <w:bookmarkStart w:id="178" w:name="_Toc1471452781_WPSOffice_Level2"/>
      <w:bookmarkStart w:id="179" w:name="_Toc1570791431_WPSOffice_Level2"/>
      <w:r>
        <w:rPr>
          <w:rFonts w:hint="eastAsia" w:ascii="黑体" w:hAnsi="黑体" w:eastAsia="黑体"/>
          <w:b w:val="0"/>
          <w:bCs/>
          <w:color w:val="auto"/>
          <w:sz w:val="32"/>
          <w:szCs w:val="32"/>
          <w:lang w:val="en-US" w:eastAsia="zh-CN"/>
        </w:rPr>
        <w:t>二、评价工作开展情况</w:t>
      </w:r>
      <w:bookmarkEnd w:id="178"/>
      <w:bookmarkEnd w:id="179"/>
    </w:p>
    <w:p>
      <w:pPr>
        <w:suppressAutoHyphens/>
        <w:bidi w:val="0"/>
        <w:spacing w:line="580" w:lineRule="exact"/>
        <w:ind w:firstLine="642" w:firstLineChars="200"/>
        <w:rPr>
          <w:rFonts w:hint="eastAsia" w:ascii="楷体_GB2312" w:hAnsi="Times New Roman" w:eastAsia="楷体_GB2312"/>
          <w:b/>
          <w:color w:val="auto"/>
          <w:sz w:val="32"/>
          <w:szCs w:val="32"/>
          <w:lang w:val="en-US" w:eastAsia="zh-CN"/>
        </w:rPr>
      </w:pPr>
      <w:r>
        <w:rPr>
          <w:rFonts w:hint="eastAsia" w:ascii="楷体_GB2312" w:hAnsi="Times New Roman" w:eastAsia="楷体_GB2312"/>
          <w:b/>
          <w:color w:val="auto"/>
          <w:sz w:val="32"/>
          <w:szCs w:val="32"/>
          <w:lang w:val="en-US" w:eastAsia="zh-CN"/>
        </w:rPr>
        <w:t>（一）评价组织情况</w:t>
      </w:r>
    </w:p>
    <w:p>
      <w:pPr>
        <w:suppressAutoHyphens/>
        <w:bidi w:val="0"/>
        <w:spacing w:line="580" w:lineRule="exact"/>
        <w:ind w:firstLine="640" w:firstLineChars="200"/>
        <w:rPr>
          <w:rFonts w:hint="eastAsia" w:ascii="仿宋_GB2312" w:hAnsi="Times New Roman" w:eastAsia="仿宋_GB2312"/>
          <w:color w:val="auto"/>
          <w:sz w:val="32"/>
          <w:szCs w:val="32"/>
          <w:lang w:val="en-US" w:eastAsia="zh-CN"/>
        </w:rPr>
      </w:pPr>
      <w:r>
        <w:rPr>
          <w:rFonts w:hint="eastAsia" w:ascii="仿宋_GB2312" w:hAnsi="Times New Roman" w:eastAsia="仿宋_GB2312"/>
          <w:color w:val="auto"/>
          <w:sz w:val="32"/>
          <w:szCs w:val="32"/>
          <w:lang w:val="en-US" w:eastAsia="zh-CN"/>
        </w:rPr>
        <w:t>本项目评价指标按照财政部门要求设置，并咨询相关评审专家，建立本项目的评价指标体系，对评价指标体系征求各部门意见，后形成本项目的评价指标体系，正式明确评价工作要求，自评评价指标和评分标准。</w:t>
      </w:r>
    </w:p>
    <w:p>
      <w:pPr>
        <w:suppressAutoHyphens/>
        <w:bidi w:val="0"/>
        <w:spacing w:line="580" w:lineRule="exact"/>
        <w:ind w:firstLine="642" w:firstLineChars="200"/>
        <w:rPr>
          <w:rFonts w:hint="eastAsia" w:ascii="楷体_GB2312" w:hAnsi="Times New Roman" w:eastAsia="楷体_GB2312"/>
          <w:b/>
          <w:color w:val="auto"/>
          <w:sz w:val="32"/>
          <w:szCs w:val="32"/>
          <w:lang w:val="en-US" w:eastAsia="zh-CN"/>
        </w:rPr>
      </w:pPr>
      <w:r>
        <w:rPr>
          <w:rFonts w:hint="eastAsia" w:ascii="楷体_GB2312" w:hAnsi="Times New Roman" w:eastAsia="楷体_GB2312"/>
          <w:b/>
          <w:color w:val="auto"/>
          <w:sz w:val="32"/>
          <w:szCs w:val="32"/>
          <w:lang w:val="en-US" w:eastAsia="zh-CN"/>
        </w:rPr>
        <w:t>（二）评价体系、评价方法和评价标准</w:t>
      </w:r>
    </w:p>
    <w:p>
      <w:pPr>
        <w:suppressAutoHyphens/>
        <w:bidi w:val="0"/>
        <w:spacing w:line="580" w:lineRule="exact"/>
        <w:ind w:firstLine="640" w:firstLineChars="200"/>
        <w:rPr>
          <w:rFonts w:hint="eastAsia" w:ascii="仿宋_GB2312" w:hAnsi="Times New Roman" w:eastAsia="仿宋_GB2312"/>
          <w:color w:val="auto"/>
          <w:sz w:val="32"/>
          <w:szCs w:val="32"/>
          <w:lang w:val="en-US" w:eastAsia="zh-CN"/>
        </w:rPr>
      </w:pPr>
      <w:r>
        <w:rPr>
          <w:rFonts w:hint="eastAsia" w:ascii="仿宋_GB2312" w:hAnsi="Times New Roman" w:eastAsia="仿宋_GB2312"/>
          <w:color w:val="auto"/>
          <w:sz w:val="32"/>
          <w:szCs w:val="32"/>
          <w:lang w:val="en-US" w:eastAsia="zh-CN"/>
        </w:rPr>
        <w:t>本次评价原则主要集中于合规性、效率和效果三大原则，采用案卷调查法，从数量指标、时效指标、社会效益指标、可持续影响指标、满意度指标进行评价。</w:t>
      </w:r>
    </w:p>
    <w:p>
      <w:pPr>
        <w:suppressAutoHyphens/>
        <w:bidi w:val="0"/>
        <w:spacing w:line="580" w:lineRule="exact"/>
        <w:ind w:firstLine="640" w:firstLineChars="200"/>
        <w:rPr>
          <w:rFonts w:hint="eastAsia" w:ascii="仿宋_GB2312" w:hAnsi="Times New Roman" w:eastAsia="仿宋_GB2312"/>
          <w:color w:val="auto"/>
          <w:sz w:val="32"/>
          <w:szCs w:val="32"/>
          <w:lang w:val="en-US" w:eastAsia="zh-CN"/>
        </w:rPr>
      </w:pPr>
      <w:r>
        <w:rPr>
          <w:rFonts w:hint="eastAsia" w:ascii="仿宋_GB2312" w:hAnsi="Times New Roman" w:eastAsia="仿宋_GB2312"/>
          <w:color w:val="auto"/>
          <w:sz w:val="32"/>
          <w:szCs w:val="32"/>
          <w:lang w:val="en-US" w:eastAsia="zh-CN"/>
        </w:rPr>
        <w:t>本项目的评价流程分为两个阶段，第一个阶段：学院财务处发放自评通知，并辅助设计指标；第二阶段：后勤处召开处务会，讨论推进自评工作开展，根据项目自评表进行自评，提交项目自评报告。</w:t>
      </w:r>
    </w:p>
    <w:p>
      <w:pPr>
        <w:suppressAutoHyphens/>
        <w:bidi w:val="0"/>
        <w:spacing w:line="580" w:lineRule="exact"/>
        <w:ind w:firstLine="640" w:firstLineChars="200"/>
        <w:rPr>
          <w:rFonts w:hint="eastAsia" w:ascii="黑体" w:hAnsi="黑体" w:eastAsia="黑体"/>
          <w:b w:val="0"/>
          <w:bCs/>
          <w:color w:val="auto"/>
          <w:sz w:val="32"/>
          <w:szCs w:val="32"/>
          <w:lang w:val="en-US" w:eastAsia="zh-CN"/>
        </w:rPr>
      </w:pPr>
      <w:bookmarkStart w:id="180" w:name="_Toc396006052_WPSOffice_Level2"/>
      <w:bookmarkStart w:id="181" w:name="_Toc998117431_WPSOffice_Level2"/>
      <w:r>
        <w:rPr>
          <w:rFonts w:hint="eastAsia" w:ascii="黑体" w:hAnsi="黑体" w:eastAsia="黑体"/>
          <w:b w:val="0"/>
          <w:bCs/>
          <w:color w:val="auto"/>
          <w:sz w:val="32"/>
          <w:szCs w:val="32"/>
          <w:lang w:val="en-US" w:eastAsia="zh-CN"/>
        </w:rPr>
        <w:t>三、综合评价结论</w:t>
      </w:r>
      <w:bookmarkEnd w:id="180"/>
      <w:bookmarkEnd w:id="181"/>
    </w:p>
    <w:p>
      <w:pPr>
        <w:suppressAutoHyphens/>
        <w:bidi w:val="0"/>
        <w:spacing w:line="580" w:lineRule="exact"/>
        <w:ind w:firstLine="640" w:firstLineChars="200"/>
        <w:rPr>
          <w:rFonts w:hint="eastAsia" w:ascii="仿宋_GB2312" w:hAnsi="Times New Roman" w:eastAsia="仿宋_GB2312"/>
          <w:color w:val="auto"/>
          <w:sz w:val="32"/>
          <w:szCs w:val="32"/>
          <w:lang w:val="en-US" w:eastAsia="zh-CN"/>
        </w:rPr>
      </w:pPr>
      <w:r>
        <w:rPr>
          <w:rFonts w:hint="eastAsia" w:ascii="仿宋_GB2312" w:hAnsi="Times New Roman" w:eastAsia="仿宋_GB2312"/>
          <w:color w:val="auto"/>
          <w:sz w:val="32"/>
          <w:szCs w:val="32"/>
          <w:lang w:val="en-US" w:eastAsia="zh-CN"/>
        </w:rPr>
        <w:t>该项目资金按时落实到位，项目实施工作有序开展，业务管理制度健全，并能得到执行，能够完成绩效目标申报表的考核指标，但在质量和过程中仍有待提高，自评等级为优秀。</w:t>
      </w:r>
    </w:p>
    <w:p>
      <w:pPr>
        <w:suppressAutoHyphens/>
        <w:bidi w:val="0"/>
        <w:spacing w:line="580" w:lineRule="exact"/>
        <w:ind w:firstLine="640" w:firstLineChars="200"/>
        <w:rPr>
          <w:rFonts w:hint="eastAsia" w:ascii="黑体" w:hAnsi="黑体" w:eastAsia="黑体"/>
          <w:b w:val="0"/>
          <w:bCs/>
          <w:color w:val="auto"/>
          <w:sz w:val="32"/>
          <w:szCs w:val="32"/>
          <w:lang w:val="en-US" w:eastAsia="zh-CN"/>
        </w:rPr>
      </w:pPr>
      <w:bookmarkStart w:id="182" w:name="_Toc60208196_WPSOffice_Level2"/>
      <w:bookmarkStart w:id="183" w:name="_Toc1800139034_WPSOffice_Level2"/>
      <w:r>
        <w:rPr>
          <w:rFonts w:hint="eastAsia" w:ascii="黑体" w:hAnsi="黑体" w:eastAsia="黑体"/>
          <w:b w:val="0"/>
          <w:bCs/>
          <w:color w:val="auto"/>
          <w:sz w:val="32"/>
          <w:szCs w:val="32"/>
          <w:lang w:val="en-US" w:eastAsia="zh-CN"/>
        </w:rPr>
        <w:t>四、绩效评价分析</w:t>
      </w:r>
      <w:bookmarkEnd w:id="182"/>
      <w:bookmarkEnd w:id="183"/>
    </w:p>
    <w:p>
      <w:pPr>
        <w:suppressAutoHyphens/>
        <w:bidi w:val="0"/>
        <w:spacing w:line="580" w:lineRule="exact"/>
        <w:ind w:firstLine="642" w:firstLineChars="200"/>
        <w:rPr>
          <w:rFonts w:hint="eastAsia" w:ascii="楷体_GB2312" w:hAnsi="Times New Roman" w:eastAsia="楷体_GB2312"/>
          <w:b/>
          <w:color w:val="auto"/>
          <w:sz w:val="32"/>
          <w:szCs w:val="32"/>
          <w:lang w:val="en-US" w:eastAsia="zh-CN"/>
        </w:rPr>
      </w:pPr>
      <w:r>
        <w:rPr>
          <w:rFonts w:hint="eastAsia" w:ascii="楷体_GB2312" w:hAnsi="Times New Roman" w:eastAsia="楷体_GB2312"/>
          <w:b/>
          <w:color w:val="auto"/>
          <w:sz w:val="32"/>
          <w:szCs w:val="32"/>
          <w:lang w:val="en-US" w:eastAsia="zh-CN"/>
        </w:rPr>
        <w:t>（一）项目决策情况</w:t>
      </w:r>
    </w:p>
    <w:p>
      <w:pPr>
        <w:suppressAutoHyphens/>
        <w:bidi w:val="0"/>
        <w:spacing w:line="580" w:lineRule="exact"/>
        <w:ind w:firstLine="640" w:firstLineChars="200"/>
        <w:rPr>
          <w:rFonts w:hint="eastAsia" w:ascii="仿宋_GB2312" w:hAnsi="Times New Roman" w:eastAsia="仿宋_GB2312"/>
          <w:color w:val="auto"/>
          <w:sz w:val="32"/>
          <w:szCs w:val="32"/>
          <w:lang w:val="en-US" w:eastAsia="zh-CN"/>
        </w:rPr>
      </w:pPr>
      <w:r>
        <w:rPr>
          <w:rFonts w:hint="eastAsia" w:ascii="仿宋_GB2312" w:hAnsi="Times New Roman" w:eastAsia="仿宋_GB2312"/>
          <w:color w:val="auto"/>
          <w:sz w:val="32"/>
          <w:szCs w:val="32"/>
          <w:lang w:val="en-US" w:eastAsia="zh-CN"/>
        </w:rPr>
        <w:t>项目立项程序合法。该项目根据学院各部门对两校区需维修项目上报后勤处，后勤处统计并组织相关人员评估后上报学院，通过学院预算委员会讨论通过后进行设立。项目执行过程中严格使用和管理经费，专款专用，根据工作研究内容、总体目标和计划进度，按照合同约定资金使用计划，确保各项工作按计划进度进行</w:t>
      </w:r>
      <w:r>
        <w:rPr>
          <w:rFonts w:hint="eastAsia" w:ascii="仿宋_GB2312" w:eastAsia="仿宋_GB2312"/>
          <w:color w:val="auto"/>
          <w:sz w:val="32"/>
          <w:szCs w:val="32"/>
          <w:lang w:val="en-US" w:eastAsia="zh-CN"/>
        </w:rPr>
        <w:t>。</w:t>
      </w:r>
    </w:p>
    <w:p>
      <w:pPr>
        <w:suppressAutoHyphens/>
        <w:bidi w:val="0"/>
        <w:spacing w:line="580" w:lineRule="exact"/>
        <w:ind w:firstLine="642" w:firstLineChars="200"/>
        <w:rPr>
          <w:rFonts w:hint="eastAsia" w:ascii="楷体_GB2312" w:hAnsi="Times New Roman" w:eastAsia="楷体_GB2312"/>
          <w:b/>
          <w:color w:val="auto"/>
          <w:sz w:val="32"/>
          <w:szCs w:val="32"/>
          <w:lang w:val="en-US" w:eastAsia="zh-CN"/>
        </w:rPr>
      </w:pPr>
      <w:r>
        <w:rPr>
          <w:rFonts w:hint="eastAsia" w:ascii="楷体_GB2312" w:hAnsi="Times New Roman" w:eastAsia="楷体_GB2312"/>
          <w:b/>
          <w:color w:val="auto"/>
          <w:sz w:val="32"/>
          <w:szCs w:val="32"/>
          <w:lang w:val="en-US" w:eastAsia="zh-CN"/>
        </w:rPr>
        <w:t>（二）项目管理情况</w:t>
      </w:r>
    </w:p>
    <w:p>
      <w:pPr>
        <w:suppressAutoHyphens/>
        <w:bidi w:val="0"/>
        <w:spacing w:line="580" w:lineRule="exact"/>
        <w:ind w:firstLine="640" w:firstLineChars="200"/>
        <w:rPr>
          <w:rFonts w:hint="eastAsia" w:ascii="仿宋_GB2312" w:hAnsi="Times New Roman" w:eastAsia="仿宋_GB2312"/>
          <w:color w:val="auto"/>
          <w:sz w:val="32"/>
          <w:szCs w:val="32"/>
          <w:lang w:val="en-US" w:eastAsia="zh-CN"/>
        </w:rPr>
      </w:pPr>
      <w:r>
        <w:rPr>
          <w:rFonts w:hint="eastAsia" w:ascii="仿宋_GB2312" w:hAnsi="Times New Roman" w:eastAsia="仿宋_GB2312"/>
          <w:color w:val="auto"/>
          <w:sz w:val="32"/>
          <w:szCs w:val="32"/>
          <w:lang w:val="en-US" w:eastAsia="zh-CN"/>
        </w:rPr>
        <w:t>项目招标严格按照学院招投标程序进行，施工过程学院派出现场管理人员，同时由学院招的工程监理严格管理，达到了监理要求，工程完工后由学院组织相关部门验收并通过了审计后才支付工程款。资金使用合理，监督有效，不存在漏洞。</w:t>
      </w:r>
    </w:p>
    <w:p>
      <w:pPr>
        <w:suppressAutoHyphens/>
        <w:bidi w:val="0"/>
        <w:spacing w:line="580" w:lineRule="exact"/>
        <w:ind w:firstLine="642" w:firstLineChars="200"/>
        <w:rPr>
          <w:rFonts w:hint="eastAsia" w:ascii="楷体_GB2312" w:hAnsi="Times New Roman" w:eastAsia="楷体_GB2312"/>
          <w:b/>
          <w:color w:val="auto"/>
          <w:sz w:val="32"/>
          <w:szCs w:val="32"/>
          <w:lang w:val="en-US" w:eastAsia="zh-CN"/>
        </w:rPr>
      </w:pPr>
      <w:r>
        <w:rPr>
          <w:rFonts w:hint="eastAsia" w:ascii="楷体_GB2312" w:hAnsi="Times New Roman" w:eastAsia="楷体_GB2312"/>
          <w:b/>
          <w:color w:val="auto"/>
          <w:sz w:val="32"/>
          <w:szCs w:val="32"/>
          <w:lang w:val="en-US" w:eastAsia="zh-CN"/>
        </w:rPr>
        <w:t>（三）项目产出情况</w:t>
      </w:r>
    </w:p>
    <w:p>
      <w:pPr>
        <w:suppressAutoHyphens/>
        <w:bidi w:val="0"/>
        <w:spacing w:line="580" w:lineRule="exact"/>
        <w:ind w:firstLine="640" w:firstLineChars="200"/>
        <w:rPr>
          <w:rFonts w:hint="eastAsia" w:ascii="仿宋_GB2312" w:hAnsi="Times New Roman" w:eastAsia="仿宋_GB2312"/>
          <w:color w:val="auto"/>
          <w:sz w:val="32"/>
          <w:szCs w:val="32"/>
          <w:lang w:val="en-US" w:eastAsia="zh-CN"/>
        </w:rPr>
      </w:pPr>
      <w:r>
        <w:rPr>
          <w:rFonts w:hint="eastAsia" w:ascii="仿宋_GB2312" w:hAnsi="Times New Roman" w:eastAsia="仿宋_GB2312"/>
          <w:color w:val="auto"/>
          <w:sz w:val="32"/>
          <w:szCs w:val="32"/>
          <w:lang w:val="en-US" w:eastAsia="zh-CN"/>
        </w:rPr>
        <w:t>2020年两校区维修按计划完成既定目标。</w:t>
      </w:r>
    </w:p>
    <w:p>
      <w:pPr>
        <w:suppressAutoHyphens/>
        <w:bidi w:val="0"/>
        <w:spacing w:line="580" w:lineRule="exact"/>
        <w:ind w:firstLine="642" w:firstLineChars="200"/>
        <w:rPr>
          <w:rFonts w:hint="eastAsia" w:ascii="楷体_GB2312" w:hAnsi="Times New Roman" w:eastAsia="楷体_GB2312"/>
          <w:b/>
          <w:color w:val="auto"/>
          <w:sz w:val="32"/>
          <w:szCs w:val="32"/>
          <w:lang w:val="en-US" w:eastAsia="zh-CN"/>
        </w:rPr>
      </w:pPr>
      <w:r>
        <w:rPr>
          <w:rFonts w:hint="eastAsia" w:ascii="楷体_GB2312" w:hAnsi="Times New Roman" w:eastAsia="楷体_GB2312"/>
          <w:b/>
          <w:color w:val="auto"/>
          <w:sz w:val="32"/>
          <w:szCs w:val="32"/>
          <w:lang w:val="en-US" w:eastAsia="zh-CN"/>
        </w:rPr>
        <w:t>（四）项目效益情况</w:t>
      </w:r>
    </w:p>
    <w:p>
      <w:pPr>
        <w:suppressAutoHyphens/>
        <w:bidi w:val="0"/>
        <w:spacing w:line="580" w:lineRule="exact"/>
        <w:ind w:firstLine="640" w:firstLineChars="200"/>
        <w:rPr>
          <w:rFonts w:hint="eastAsia" w:ascii="仿宋_GB2312" w:hAnsi="Times New Roman" w:eastAsia="仿宋_GB2312"/>
          <w:color w:val="auto"/>
          <w:sz w:val="32"/>
          <w:szCs w:val="32"/>
          <w:lang w:val="en-US" w:eastAsia="zh-CN"/>
        </w:rPr>
      </w:pPr>
      <w:r>
        <w:rPr>
          <w:rFonts w:hint="eastAsia" w:ascii="仿宋_GB2312" w:hAnsi="Times New Roman" w:eastAsia="仿宋_GB2312"/>
          <w:color w:val="auto"/>
          <w:sz w:val="32"/>
          <w:szCs w:val="32"/>
          <w:lang w:val="en-US" w:eastAsia="zh-CN"/>
        </w:rPr>
        <w:t>完成了文家校区2000米的供电线路更换，新装配电柜一台，10套值班室（隔离房）改造（粉刷面积2600㎡）拆除了教学楼顶铁架、老木工房、东区食堂彩钢棚、东区锅炉房及设备等有严重安全隐患的建筑和设备，保证了文家校区供电线路安全运行，改善了值班人员和隔离室住宿条件。完成了和盛校区4个多功能厅的天沟更换和部分改造，教学楼地面沉降伸缩缝的拆除、安装，消除了教学楼漏水现象，同时新装6米单挑灯25套。所有项目全部在规定时间全部完成质量合格。确保了全院1万多师生的校园环境安全，同时保障了教学和生活秩序的正常运行，师生满意度达到85%。</w:t>
      </w:r>
    </w:p>
    <w:p>
      <w:pPr>
        <w:suppressAutoHyphens/>
        <w:bidi w:val="0"/>
        <w:spacing w:line="580" w:lineRule="exact"/>
        <w:ind w:firstLine="640" w:firstLineChars="200"/>
        <w:rPr>
          <w:rFonts w:hint="eastAsia" w:ascii="黑体" w:hAnsi="黑体" w:eastAsia="黑体"/>
          <w:b w:val="0"/>
          <w:bCs/>
          <w:color w:val="auto"/>
          <w:sz w:val="32"/>
          <w:szCs w:val="32"/>
          <w:lang w:val="en-US" w:eastAsia="zh-CN"/>
        </w:rPr>
      </w:pPr>
      <w:bookmarkStart w:id="184" w:name="_Toc159742564_WPSOffice_Level2"/>
      <w:bookmarkStart w:id="185" w:name="_Toc905612833_WPSOffice_Level2"/>
      <w:r>
        <w:rPr>
          <w:rFonts w:hint="eastAsia" w:ascii="黑体" w:hAnsi="黑体" w:eastAsia="黑体"/>
          <w:b w:val="0"/>
          <w:bCs/>
          <w:color w:val="auto"/>
          <w:sz w:val="32"/>
          <w:szCs w:val="32"/>
          <w:lang w:val="en-US" w:eastAsia="zh-CN"/>
        </w:rPr>
        <w:t>五、存在主要问题</w:t>
      </w:r>
      <w:bookmarkEnd w:id="184"/>
      <w:bookmarkEnd w:id="185"/>
    </w:p>
    <w:p>
      <w:pPr>
        <w:suppressAutoHyphens/>
        <w:bidi w:val="0"/>
        <w:spacing w:line="580" w:lineRule="exact"/>
        <w:ind w:firstLine="640" w:firstLineChars="200"/>
        <w:rPr>
          <w:rFonts w:hint="eastAsia" w:ascii="仿宋_GB2312" w:hAnsi="Times New Roman" w:eastAsia="仿宋_GB2312"/>
          <w:color w:val="auto"/>
          <w:sz w:val="32"/>
          <w:szCs w:val="32"/>
          <w:lang w:val="en-US" w:eastAsia="zh-CN"/>
        </w:rPr>
      </w:pPr>
      <w:r>
        <w:rPr>
          <w:rFonts w:hint="eastAsia" w:ascii="仿宋_GB2312" w:hAnsi="Times New Roman" w:eastAsia="仿宋_GB2312"/>
          <w:color w:val="auto"/>
          <w:sz w:val="32"/>
          <w:szCs w:val="32"/>
          <w:lang w:val="en-US" w:eastAsia="zh-CN"/>
        </w:rPr>
        <w:t>通过本次自查自评发现，在计划工作和预算制定上还有不足之处。</w:t>
      </w:r>
    </w:p>
    <w:p>
      <w:pPr>
        <w:suppressAutoHyphens/>
        <w:bidi w:val="0"/>
        <w:spacing w:line="580" w:lineRule="exact"/>
        <w:ind w:firstLine="640" w:firstLineChars="200"/>
        <w:rPr>
          <w:rFonts w:hint="eastAsia"/>
          <w:lang w:val="en-US" w:eastAsia="zh-CN"/>
        </w:rPr>
      </w:pPr>
      <w:bookmarkStart w:id="186" w:name="_Toc2025886289_WPSOffice_Level2"/>
      <w:bookmarkStart w:id="187" w:name="_Toc2004265267_WPSOffice_Level2"/>
      <w:r>
        <w:rPr>
          <w:rFonts w:hint="eastAsia" w:ascii="黑体" w:hAnsi="黑体" w:eastAsia="黑体"/>
          <w:b w:val="0"/>
          <w:bCs/>
          <w:color w:val="auto"/>
          <w:sz w:val="32"/>
          <w:szCs w:val="32"/>
          <w:lang w:val="en-US" w:eastAsia="zh-CN"/>
        </w:rPr>
        <w:t>六、相关措施建议</w:t>
      </w:r>
      <w:bookmarkEnd w:id="186"/>
      <w:bookmarkEnd w:id="187"/>
    </w:p>
    <w:p>
      <w:pPr>
        <w:suppressAutoHyphens/>
        <w:bidi w:val="0"/>
        <w:spacing w:line="580" w:lineRule="exact"/>
        <w:ind w:firstLine="640" w:firstLineChars="200"/>
        <w:rPr>
          <w:rFonts w:hint="eastAsia" w:ascii="仿宋_GB2312" w:hAnsi="Times New Roman" w:eastAsia="仿宋_GB2312"/>
          <w:color w:val="auto"/>
          <w:sz w:val="32"/>
          <w:szCs w:val="32"/>
          <w:lang w:val="en-US" w:eastAsia="zh-CN"/>
        </w:rPr>
      </w:pPr>
      <w:bookmarkStart w:id="188" w:name="_Toc925221591_WPSOffice_Level1"/>
      <w:r>
        <w:rPr>
          <w:rFonts w:hint="eastAsia" w:ascii="仿宋_GB2312" w:hAnsi="Times New Roman" w:eastAsia="仿宋_GB2312"/>
          <w:color w:val="auto"/>
          <w:sz w:val="32"/>
          <w:szCs w:val="32"/>
          <w:lang w:val="en-US" w:eastAsia="zh-CN"/>
        </w:rPr>
        <w:t>针对以上问题，学院将采取以下措施：</w:t>
      </w:r>
      <w:bookmarkEnd w:id="188"/>
    </w:p>
    <w:p>
      <w:pPr>
        <w:suppressAutoHyphens/>
        <w:bidi w:val="0"/>
        <w:spacing w:line="580" w:lineRule="exact"/>
        <w:ind w:firstLine="642" w:firstLineChars="200"/>
        <w:rPr>
          <w:rFonts w:hint="eastAsia" w:ascii="楷体_GB2312" w:hAnsi="楷体_GB2312" w:eastAsia="楷体_GB2312" w:cs="楷体_GB2312"/>
          <w:b/>
          <w:bCs/>
          <w:color w:val="auto"/>
          <w:sz w:val="32"/>
          <w:szCs w:val="32"/>
          <w:lang w:val="en-US" w:eastAsia="zh-CN"/>
        </w:rPr>
      </w:pPr>
      <w:bookmarkStart w:id="189" w:name="_Toc436387834_WPSOffice_Level1"/>
      <w:r>
        <w:rPr>
          <w:rFonts w:hint="eastAsia" w:ascii="楷体_GB2312" w:hAnsi="楷体_GB2312" w:eastAsia="楷体_GB2312" w:cs="楷体_GB2312"/>
          <w:b/>
          <w:bCs/>
          <w:color w:val="auto"/>
          <w:sz w:val="32"/>
          <w:szCs w:val="32"/>
          <w:lang w:val="en-US" w:eastAsia="zh-CN"/>
        </w:rPr>
        <w:t>（一）计划工作和预算需通过使用部门进行评估。</w:t>
      </w:r>
      <w:bookmarkEnd w:id="189"/>
    </w:p>
    <w:p>
      <w:pPr>
        <w:suppressAutoHyphens/>
        <w:bidi w:val="0"/>
        <w:spacing w:line="580" w:lineRule="exact"/>
        <w:ind w:firstLine="642" w:firstLineChars="200"/>
        <w:rPr>
          <w:rFonts w:hint="eastAsia" w:ascii="楷体_GB2312" w:hAnsi="楷体_GB2312" w:eastAsia="楷体_GB2312" w:cs="楷体_GB2312"/>
          <w:b/>
          <w:bCs/>
          <w:color w:val="auto"/>
          <w:sz w:val="32"/>
          <w:szCs w:val="32"/>
          <w:lang w:val="en-US" w:eastAsia="zh-CN"/>
        </w:rPr>
      </w:pPr>
      <w:bookmarkStart w:id="190" w:name="_Toc869007289_WPSOffice_Level1"/>
      <w:r>
        <w:rPr>
          <w:rFonts w:hint="eastAsia" w:ascii="楷体_GB2312" w:hAnsi="楷体_GB2312" w:eastAsia="楷体_GB2312" w:cs="楷体_GB2312"/>
          <w:b/>
          <w:bCs/>
          <w:color w:val="auto"/>
          <w:sz w:val="32"/>
          <w:szCs w:val="32"/>
          <w:lang w:val="en-US" w:eastAsia="zh-CN"/>
        </w:rPr>
        <w:t>（二）计划工作和预算评估后请专业的造价公司完成最终价格制定。</w:t>
      </w:r>
      <w:bookmarkEnd w:id="190"/>
    </w:p>
    <w:p>
      <w:pPr>
        <w:pStyle w:val="2"/>
        <w:rPr>
          <w:rFonts w:hint="eastAsia"/>
          <w:lang w:val="en-US" w:eastAsia="zh-CN"/>
        </w:rPr>
      </w:pPr>
    </w:p>
    <w:p>
      <w:pPr>
        <w:suppressAutoHyphens/>
        <w:bidi w:val="0"/>
        <w:spacing w:line="580" w:lineRule="exact"/>
        <w:ind w:firstLine="640" w:firstLineChars="200"/>
        <w:rPr>
          <w:rFonts w:hint="eastAsia" w:ascii="仿宋_GB2312" w:hAnsi="Times New Roman" w:eastAsia="仿宋_GB2312" w:cs="Times New Roman"/>
          <w:color w:val="auto"/>
          <w:sz w:val="32"/>
          <w:szCs w:val="32"/>
          <w:lang w:val="en-US" w:eastAsia="zh-CN"/>
        </w:rPr>
      </w:pPr>
    </w:p>
    <w:p>
      <w:pPr>
        <w:pStyle w:val="2"/>
      </w:pPr>
    </w:p>
    <w:p>
      <w:pPr>
        <w:pStyle w:val="2"/>
      </w:pPr>
    </w:p>
    <w:p>
      <w:pPr>
        <w:pStyle w:val="2"/>
      </w:pPr>
    </w:p>
    <w:p>
      <w:pPr>
        <w:pStyle w:val="2"/>
      </w:pPr>
    </w:p>
    <w:p>
      <w:pPr>
        <w:widowControl/>
        <w:jc w:val="left"/>
        <w:rPr>
          <w:rStyle w:val="25"/>
          <w:rFonts w:ascii="黑体" w:hAnsi="黑体" w:eastAsia="黑体"/>
          <w:b w:val="0"/>
          <w:color w:val="auto"/>
          <w:highlight w:val="none"/>
        </w:rPr>
      </w:pPr>
    </w:p>
    <w:p>
      <w:pPr>
        <w:spacing w:line="600" w:lineRule="exact"/>
        <w:jc w:val="both"/>
        <w:outlineLvl w:val="9"/>
        <w:rPr>
          <w:rFonts w:hint="eastAsia" w:ascii="黑体" w:hAnsi="黑体" w:eastAsia="黑体"/>
          <w:color w:val="auto"/>
          <w:sz w:val="44"/>
          <w:szCs w:val="44"/>
          <w:highlight w:val="none"/>
        </w:rPr>
      </w:pPr>
      <w:bookmarkStart w:id="191" w:name="_Toc1340856973_WPSOffice_Level1"/>
      <w:bookmarkStart w:id="192" w:name="_Toc1499442466_WPSOffice_Level1"/>
      <w:bookmarkStart w:id="193" w:name="_Toc15396618"/>
      <w:bookmarkStart w:id="194" w:name="_Toc1600364920_WPSOffice_Level1"/>
    </w:p>
    <w:p>
      <w:pPr>
        <w:spacing w:line="600" w:lineRule="exact"/>
        <w:jc w:val="center"/>
        <w:outlineLvl w:val="0"/>
        <w:rPr>
          <w:rFonts w:hint="eastAsia" w:ascii="仿宋" w:hAnsi="仿宋" w:eastAsia="仿宋"/>
          <w:b w:val="0"/>
          <w:color w:val="auto"/>
          <w:highlight w:val="none"/>
        </w:rPr>
      </w:pPr>
      <w:bookmarkStart w:id="195" w:name="_Toc25361"/>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104"/>
      <w:bookmarkEnd w:id="191"/>
      <w:bookmarkEnd w:id="192"/>
      <w:bookmarkEnd w:id="193"/>
      <w:bookmarkEnd w:id="194"/>
      <w:bookmarkEnd w:id="195"/>
      <w:bookmarkStart w:id="196" w:name="_Toc15396619"/>
    </w:p>
    <w:p>
      <w:pPr>
        <w:pStyle w:val="4"/>
        <w:rPr>
          <w:rFonts w:hint="eastAsia" w:ascii="黑体" w:hAnsi="黑体" w:eastAsia="黑体" w:cs="黑体"/>
          <w:color w:val="auto"/>
          <w:highlight w:val="none"/>
        </w:rPr>
      </w:pPr>
      <w:bookmarkStart w:id="197" w:name="_Toc1870312499_WPSOffice_Level2"/>
      <w:bookmarkStart w:id="198" w:name="_Toc12558"/>
      <w:bookmarkStart w:id="199" w:name="_Toc2077396805_WPSOffice_Level2"/>
      <w:r>
        <w:rPr>
          <w:rFonts w:hint="eastAsia" w:ascii="黑体" w:hAnsi="黑体" w:eastAsia="黑体" w:cs="黑体"/>
          <w:b w:val="0"/>
          <w:color w:val="auto"/>
          <w:highlight w:val="none"/>
        </w:rPr>
        <w:t>一、收</w:t>
      </w:r>
      <w:r>
        <w:rPr>
          <w:rStyle w:val="26"/>
          <w:rFonts w:hint="eastAsia" w:ascii="黑体" w:hAnsi="黑体" w:eastAsia="黑体" w:cs="黑体"/>
          <w:b w:val="0"/>
          <w:bCs w:val="0"/>
          <w:color w:val="auto"/>
          <w:highlight w:val="none"/>
        </w:rPr>
        <w:t>入支出决算总表</w:t>
      </w:r>
      <w:bookmarkEnd w:id="196"/>
      <w:bookmarkEnd w:id="197"/>
      <w:bookmarkEnd w:id="198"/>
      <w:bookmarkEnd w:id="199"/>
    </w:p>
    <w:p>
      <w:pPr>
        <w:pStyle w:val="4"/>
        <w:rPr>
          <w:rFonts w:hint="eastAsia" w:ascii="黑体" w:hAnsi="黑体" w:eastAsia="黑体" w:cs="黑体"/>
          <w:color w:val="auto"/>
          <w:highlight w:val="none"/>
        </w:rPr>
      </w:pPr>
      <w:bookmarkStart w:id="200" w:name="_Toc11885"/>
      <w:bookmarkStart w:id="201" w:name="_Toc1965488962_WPSOffice_Level2"/>
      <w:bookmarkStart w:id="202" w:name="_Toc643423425_WPSOffice_Level2"/>
      <w:bookmarkStart w:id="203" w:name="_Toc15396620"/>
      <w:r>
        <w:rPr>
          <w:rFonts w:hint="eastAsia" w:ascii="黑体" w:hAnsi="黑体" w:eastAsia="黑体" w:cs="黑体"/>
          <w:b w:val="0"/>
          <w:color w:val="auto"/>
          <w:highlight w:val="none"/>
        </w:rPr>
        <w:t>二、收</w:t>
      </w:r>
      <w:r>
        <w:rPr>
          <w:rStyle w:val="26"/>
          <w:rFonts w:hint="eastAsia" w:ascii="黑体" w:hAnsi="黑体" w:eastAsia="黑体" w:cs="黑体"/>
          <w:b w:val="0"/>
          <w:bCs w:val="0"/>
          <w:color w:val="auto"/>
          <w:highlight w:val="none"/>
        </w:rPr>
        <w:t>入决算表</w:t>
      </w:r>
      <w:bookmarkEnd w:id="200"/>
      <w:bookmarkEnd w:id="201"/>
      <w:bookmarkEnd w:id="202"/>
      <w:bookmarkEnd w:id="203"/>
    </w:p>
    <w:p>
      <w:pPr>
        <w:pStyle w:val="4"/>
        <w:rPr>
          <w:rFonts w:hint="eastAsia" w:ascii="黑体" w:hAnsi="黑体" w:eastAsia="黑体" w:cs="黑体"/>
          <w:color w:val="auto"/>
          <w:highlight w:val="none"/>
        </w:rPr>
      </w:pPr>
      <w:bookmarkStart w:id="204" w:name="_Toc1891403019_WPSOffice_Level2"/>
      <w:bookmarkStart w:id="205" w:name="_Toc2006806961_WPSOffice_Level2"/>
      <w:bookmarkStart w:id="206" w:name="_Toc15396621"/>
      <w:bookmarkStart w:id="207" w:name="_Toc25922"/>
      <w:r>
        <w:rPr>
          <w:rStyle w:val="26"/>
          <w:rFonts w:hint="eastAsia" w:ascii="黑体" w:hAnsi="黑体" w:eastAsia="黑体" w:cs="黑体"/>
          <w:b w:val="0"/>
          <w:bCs w:val="0"/>
          <w:color w:val="auto"/>
          <w:highlight w:val="none"/>
        </w:rPr>
        <w:t>三、</w:t>
      </w:r>
      <w:r>
        <w:rPr>
          <w:rFonts w:hint="eastAsia" w:ascii="黑体" w:hAnsi="黑体" w:eastAsia="黑体" w:cs="黑体"/>
          <w:b w:val="0"/>
          <w:color w:val="auto"/>
          <w:highlight w:val="none"/>
        </w:rPr>
        <w:t>支</w:t>
      </w:r>
      <w:r>
        <w:rPr>
          <w:rStyle w:val="26"/>
          <w:rFonts w:hint="eastAsia" w:ascii="黑体" w:hAnsi="黑体" w:eastAsia="黑体" w:cs="黑体"/>
          <w:b w:val="0"/>
          <w:bCs w:val="0"/>
          <w:color w:val="auto"/>
          <w:highlight w:val="none"/>
        </w:rPr>
        <w:t>出决算表</w:t>
      </w:r>
      <w:bookmarkEnd w:id="204"/>
      <w:bookmarkEnd w:id="205"/>
      <w:bookmarkEnd w:id="206"/>
      <w:bookmarkEnd w:id="207"/>
    </w:p>
    <w:p>
      <w:pPr>
        <w:pStyle w:val="4"/>
        <w:rPr>
          <w:rFonts w:hint="eastAsia" w:ascii="黑体" w:hAnsi="黑体" w:eastAsia="黑体" w:cs="黑体"/>
          <w:b w:val="0"/>
          <w:color w:val="auto"/>
          <w:highlight w:val="none"/>
        </w:rPr>
      </w:pPr>
      <w:bookmarkStart w:id="208" w:name="_Toc577682110_WPSOffice_Level2"/>
      <w:bookmarkStart w:id="209" w:name="_Toc17691"/>
      <w:bookmarkStart w:id="210" w:name="_Toc15396622"/>
      <w:bookmarkStart w:id="211" w:name="_Toc450042266_WPSOffice_Level2"/>
      <w:r>
        <w:rPr>
          <w:rStyle w:val="26"/>
          <w:rFonts w:hint="eastAsia" w:ascii="黑体" w:hAnsi="黑体" w:eastAsia="黑体" w:cs="黑体"/>
          <w:b w:val="0"/>
          <w:bCs w:val="0"/>
          <w:color w:val="auto"/>
          <w:highlight w:val="none"/>
        </w:rPr>
        <w:t>四、</w:t>
      </w:r>
      <w:r>
        <w:rPr>
          <w:rFonts w:hint="eastAsia" w:ascii="黑体" w:hAnsi="黑体" w:eastAsia="黑体" w:cs="黑体"/>
          <w:b w:val="0"/>
          <w:color w:val="auto"/>
          <w:highlight w:val="none"/>
        </w:rPr>
        <w:t>财</w:t>
      </w:r>
      <w:r>
        <w:rPr>
          <w:rStyle w:val="26"/>
          <w:rFonts w:hint="eastAsia" w:ascii="黑体" w:hAnsi="黑体" w:eastAsia="黑体" w:cs="黑体"/>
          <w:b w:val="0"/>
          <w:bCs w:val="0"/>
          <w:color w:val="auto"/>
          <w:highlight w:val="none"/>
        </w:rPr>
        <w:t>政拨款收入支出决算总表</w:t>
      </w:r>
      <w:bookmarkEnd w:id="208"/>
      <w:bookmarkEnd w:id="209"/>
      <w:bookmarkEnd w:id="210"/>
      <w:bookmarkEnd w:id="211"/>
    </w:p>
    <w:p>
      <w:pPr>
        <w:pStyle w:val="4"/>
        <w:rPr>
          <w:rStyle w:val="26"/>
          <w:rFonts w:hint="eastAsia" w:ascii="黑体" w:hAnsi="黑体" w:eastAsia="黑体" w:cs="黑体"/>
          <w:b w:val="0"/>
          <w:bCs w:val="0"/>
          <w:color w:val="auto"/>
          <w:highlight w:val="none"/>
        </w:rPr>
      </w:pPr>
      <w:bookmarkStart w:id="212" w:name="_Toc15396623"/>
      <w:bookmarkStart w:id="213" w:name="_Toc176599969_WPSOffice_Level2"/>
      <w:bookmarkStart w:id="214" w:name="_Toc403171264_WPSOffice_Level2"/>
      <w:bookmarkStart w:id="215" w:name="_Toc9463"/>
      <w:r>
        <w:rPr>
          <w:rStyle w:val="26"/>
          <w:rFonts w:hint="eastAsia" w:ascii="黑体" w:hAnsi="黑体" w:eastAsia="黑体" w:cs="黑体"/>
          <w:b w:val="0"/>
          <w:bCs w:val="0"/>
          <w:color w:val="auto"/>
          <w:highlight w:val="none"/>
        </w:rPr>
        <w:t>五、</w:t>
      </w:r>
      <w:r>
        <w:rPr>
          <w:rFonts w:hint="eastAsia" w:ascii="黑体" w:hAnsi="黑体" w:eastAsia="黑体" w:cs="黑体"/>
          <w:b w:val="0"/>
          <w:color w:val="auto"/>
          <w:highlight w:val="none"/>
        </w:rPr>
        <w:t>财</w:t>
      </w:r>
      <w:r>
        <w:rPr>
          <w:rStyle w:val="26"/>
          <w:rFonts w:hint="eastAsia" w:ascii="黑体" w:hAnsi="黑体" w:eastAsia="黑体" w:cs="黑体"/>
          <w:b w:val="0"/>
          <w:bCs w:val="0"/>
          <w:color w:val="auto"/>
          <w:highlight w:val="none"/>
        </w:rPr>
        <w:t>政拨款支出决算明细表</w:t>
      </w:r>
      <w:bookmarkEnd w:id="212"/>
      <w:bookmarkEnd w:id="213"/>
      <w:bookmarkEnd w:id="214"/>
      <w:bookmarkEnd w:id="215"/>
      <w:bookmarkStart w:id="216" w:name="_Toc15396624"/>
    </w:p>
    <w:p>
      <w:pPr>
        <w:pStyle w:val="4"/>
        <w:rPr>
          <w:rFonts w:hint="eastAsia" w:ascii="黑体" w:hAnsi="黑体" w:eastAsia="黑体" w:cs="黑体"/>
          <w:color w:val="auto"/>
          <w:highlight w:val="none"/>
        </w:rPr>
      </w:pPr>
      <w:bookmarkStart w:id="217" w:name="_Toc216413231_WPSOffice_Level2"/>
      <w:bookmarkStart w:id="218" w:name="_Toc8670"/>
      <w:bookmarkStart w:id="219" w:name="_Toc228957479_WPSOffice_Level2"/>
      <w:r>
        <w:rPr>
          <w:rStyle w:val="26"/>
          <w:rFonts w:hint="eastAsia" w:ascii="黑体" w:hAnsi="黑体" w:eastAsia="黑体" w:cs="黑体"/>
          <w:b w:val="0"/>
          <w:bCs w:val="0"/>
          <w:color w:val="auto"/>
          <w:highlight w:val="none"/>
        </w:rPr>
        <w:t>六、</w:t>
      </w:r>
      <w:r>
        <w:rPr>
          <w:rFonts w:hint="eastAsia" w:ascii="黑体" w:hAnsi="黑体" w:eastAsia="黑体" w:cs="黑体"/>
          <w:b w:val="0"/>
          <w:color w:val="auto"/>
          <w:highlight w:val="none"/>
        </w:rPr>
        <w:t>一</w:t>
      </w:r>
      <w:r>
        <w:rPr>
          <w:rStyle w:val="26"/>
          <w:rFonts w:hint="eastAsia" w:ascii="黑体" w:hAnsi="黑体" w:eastAsia="黑体" w:cs="黑体"/>
          <w:b w:val="0"/>
          <w:bCs w:val="0"/>
          <w:color w:val="auto"/>
          <w:highlight w:val="none"/>
        </w:rPr>
        <w:t>般公共预算财政拨款支出决算表</w:t>
      </w:r>
      <w:bookmarkEnd w:id="216"/>
      <w:bookmarkEnd w:id="217"/>
      <w:bookmarkEnd w:id="218"/>
      <w:bookmarkEnd w:id="219"/>
    </w:p>
    <w:p>
      <w:pPr>
        <w:pStyle w:val="4"/>
        <w:rPr>
          <w:rFonts w:hint="eastAsia" w:ascii="黑体" w:hAnsi="黑体" w:eastAsia="黑体" w:cs="黑体"/>
          <w:color w:val="auto"/>
          <w:highlight w:val="none"/>
        </w:rPr>
      </w:pPr>
      <w:bookmarkStart w:id="220" w:name="_Toc15396625"/>
      <w:bookmarkStart w:id="221" w:name="_Toc17831"/>
      <w:bookmarkStart w:id="222" w:name="_Toc322130193_WPSOffice_Level2"/>
      <w:bookmarkStart w:id="223" w:name="_Toc1467284504_WPSOffice_Level2"/>
      <w:r>
        <w:rPr>
          <w:rStyle w:val="26"/>
          <w:rFonts w:hint="eastAsia" w:ascii="黑体" w:hAnsi="黑体" w:eastAsia="黑体" w:cs="黑体"/>
          <w:b w:val="0"/>
          <w:bCs w:val="0"/>
          <w:color w:val="auto"/>
          <w:highlight w:val="none"/>
        </w:rPr>
        <w:t>七、</w:t>
      </w:r>
      <w:r>
        <w:rPr>
          <w:rFonts w:hint="eastAsia" w:ascii="黑体" w:hAnsi="黑体" w:eastAsia="黑体" w:cs="黑体"/>
          <w:b w:val="0"/>
          <w:color w:val="auto"/>
          <w:highlight w:val="none"/>
        </w:rPr>
        <w:t>一</w:t>
      </w:r>
      <w:r>
        <w:rPr>
          <w:rStyle w:val="26"/>
          <w:rFonts w:hint="eastAsia" w:ascii="黑体" w:hAnsi="黑体" w:eastAsia="黑体" w:cs="黑体"/>
          <w:b w:val="0"/>
          <w:bCs w:val="0"/>
          <w:color w:val="auto"/>
          <w:highlight w:val="none"/>
        </w:rPr>
        <w:t>般公共预算财政拨款支出决算明细表</w:t>
      </w:r>
      <w:bookmarkEnd w:id="220"/>
      <w:bookmarkEnd w:id="221"/>
      <w:bookmarkEnd w:id="222"/>
      <w:bookmarkEnd w:id="223"/>
    </w:p>
    <w:p>
      <w:pPr>
        <w:pStyle w:val="4"/>
        <w:rPr>
          <w:rFonts w:hint="eastAsia" w:ascii="黑体" w:hAnsi="黑体" w:eastAsia="黑体" w:cs="黑体"/>
          <w:color w:val="auto"/>
          <w:highlight w:val="none"/>
        </w:rPr>
      </w:pPr>
      <w:bookmarkStart w:id="224" w:name="_Toc15396626"/>
      <w:bookmarkStart w:id="225" w:name="_Toc31489"/>
      <w:bookmarkStart w:id="226" w:name="_Toc2115867953_WPSOffice_Level2"/>
      <w:bookmarkStart w:id="227" w:name="_Toc864224377_WPSOffice_Level2"/>
      <w:r>
        <w:rPr>
          <w:rStyle w:val="26"/>
          <w:rFonts w:hint="eastAsia" w:ascii="黑体" w:hAnsi="黑体" w:eastAsia="黑体" w:cs="黑体"/>
          <w:b w:val="0"/>
          <w:bCs w:val="0"/>
          <w:color w:val="auto"/>
          <w:highlight w:val="none"/>
        </w:rPr>
        <w:t>八、</w:t>
      </w:r>
      <w:r>
        <w:rPr>
          <w:rFonts w:hint="eastAsia" w:ascii="黑体" w:hAnsi="黑体" w:eastAsia="黑体" w:cs="黑体"/>
          <w:b w:val="0"/>
          <w:color w:val="auto"/>
          <w:highlight w:val="none"/>
        </w:rPr>
        <w:t>一</w:t>
      </w:r>
      <w:r>
        <w:rPr>
          <w:rStyle w:val="26"/>
          <w:rFonts w:hint="eastAsia" w:ascii="黑体" w:hAnsi="黑体" w:eastAsia="黑体" w:cs="黑体"/>
          <w:b w:val="0"/>
          <w:bCs w:val="0"/>
          <w:color w:val="auto"/>
          <w:highlight w:val="none"/>
        </w:rPr>
        <w:t>般公共预算财政拨款基本支出决算表</w:t>
      </w:r>
      <w:bookmarkEnd w:id="224"/>
      <w:bookmarkEnd w:id="225"/>
      <w:bookmarkEnd w:id="226"/>
      <w:bookmarkEnd w:id="227"/>
    </w:p>
    <w:p>
      <w:pPr>
        <w:pStyle w:val="4"/>
        <w:rPr>
          <w:rFonts w:hint="eastAsia" w:ascii="黑体" w:hAnsi="黑体" w:eastAsia="黑体" w:cs="黑体"/>
          <w:color w:val="auto"/>
          <w:highlight w:val="none"/>
        </w:rPr>
      </w:pPr>
      <w:bookmarkStart w:id="228" w:name="_Toc1925509163_WPSOffice_Level2"/>
      <w:bookmarkStart w:id="229" w:name="_Toc26692"/>
      <w:bookmarkStart w:id="230" w:name="_Toc1232457944_WPSOffice_Level2"/>
      <w:bookmarkStart w:id="231" w:name="_Toc15396627"/>
      <w:r>
        <w:rPr>
          <w:rStyle w:val="26"/>
          <w:rFonts w:hint="eastAsia" w:ascii="黑体" w:hAnsi="黑体" w:eastAsia="黑体" w:cs="黑体"/>
          <w:b w:val="0"/>
          <w:bCs w:val="0"/>
          <w:color w:val="auto"/>
          <w:highlight w:val="none"/>
        </w:rPr>
        <w:t>九、</w:t>
      </w:r>
      <w:r>
        <w:rPr>
          <w:rFonts w:hint="eastAsia" w:ascii="黑体" w:hAnsi="黑体" w:eastAsia="黑体" w:cs="黑体"/>
          <w:b w:val="0"/>
          <w:color w:val="auto"/>
          <w:highlight w:val="none"/>
        </w:rPr>
        <w:t>一</w:t>
      </w:r>
      <w:r>
        <w:rPr>
          <w:rStyle w:val="26"/>
          <w:rFonts w:hint="eastAsia" w:ascii="黑体" w:hAnsi="黑体" w:eastAsia="黑体" w:cs="黑体"/>
          <w:b w:val="0"/>
          <w:bCs w:val="0"/>
          <w:color w:val="auto"/>
          <w:highlight w:val="none"/>
        </w:rPr>
        <w:t>般公共预算财政拨款项目支出决算表</w:t>
      </w:r>
      <w:bookmarkEnd w:id="228"/>
      <w:bookmarkEnd w:id="229"/>
      <w:bookmarkEnd w:id="230"/>
      <w:bookmarkEnd w:id="231"/>
    </w:p>
    <w:p>
      <w:pPr>
        <w:pStyle w:val="4"/>
        <w:rPr>
          <w:rFonts w:hint="eastAsia" w:ascii="黑体" w:hAnsi="黑体" w:eastAsia="黑体" w:cs="黑体"/>
          <w:color w:val="auto"/>
          <w:highlight w:val="none"/>
        </w:rPr>
      </w:pPr>
      <w:bookmarkStart w:id="232" w:name="_Toc15396628"/>
      <w:bookmarkStart w:id="233" w:name="_Toc27193"/>
      <w:bookmarkStart w:id="234" w:name="_Toc1814319701_WPSOffice_Level2"/>
      <w:bookmarkStart w:id="235" w:name="_Toc937165996_WPSOffice_Level2"/>
      <w:r>
        <w:rPr>
          <w:rStyle w:val="26"/>
          <w:rFonts w:hint="eastAsia" w:ascii="黑体" w:hAnsi="黑体" w:eastAsia="黑体" w:cs="黑体"/>
          <w:b w:val="0"/>
          <w:bCs w:val="0"/>
          <w:color w:val="auto"/>
          <w:highlight w:val="none"/>
        </w:rPr>
        <w:t>十、</w:t>
      </w:r>
      <w:r>
        <w:rPr>
          <w:rFonts w:hint="eastAsia" w:ascii="黑体" w:hAnsi="黑体" w:eastAsia="黑体" w:cs="黑体"/>
          <w:b w:val="0"/>
          <w:color w:val="auto"/>
          <w:highlight w:val="none"/>
        </w:rPr>
        <w:t>一</w:t>
      </w:r>
      <w:r>
        <w:rPr>
          <w:rStyle w:val="26"/>
          <w:rFonts w:hint="eastAsia" w:ascii="黑体" w:hAnsi="黑体" w:eastAsia="黑体" w:cs="黑体"/>
          <w:b w:val="0"/>
          <w:bCs w:val="0"/>
          <w:color w:val="auto"/>
          <w:highlight w:val="none"/>
        </w:rPr>
        <w:t>般公共预算财政拨款“三公”经费支出决算表</w:t>
      </w:r>
      <w:bookmarkEnd w:id="232"/>
      <w:bookmarkEnd w:id="233"/>
      <w:bookmarkEnd w:id="234"/>
      <w:bookmarkEnd w:id="235"/>
    </w:p>
    <w:p>
      <w:pPr>
        <w:pStyle w:val="4"/>
        <w:rPr>
          <w:rFonts w:hint="eastAsia" w:ascii="黑体" w:hAnsi="黑体" w:eastAsia="黑体" w:cs="黑体"/>
          <w:color w:val="auto"/>
          <w:highlight w:val="none"/>
        </w:rPr>
      </w:pPr>
      <w:bookmarkStart w:id="236" w:name="_Toc2021428779_WPSOffice_Level2"/>
      <w:bookmarkStart w:id="237" w:name="_Toc29200"/>
      <w:bookmarkStart w:id="238" w:name="_Toc15396629"/>
      <w:bookmarkStart w:id="239" w:name="_Toc368235521_WPSOffice_Level2"/>
      <w:r>
        <w:rPr>
          <w:rStyle w:val="26"/>
          <w:rFonts w:hint="eastAsia" w:ascii="黑体" w:hAnsi="黑体" w:eastAsia="黑体" w:cs="黑体"/>
          <w:b w:val="0"/>
          <w:bCs w:val="0"/>
          <w:color w:val="auto"/>
          <w:highlight w:val="none"/>
        </w:rPr>
        <w:t>十一、</w:t>
      </w:r>
      <w:r>
        <w:rPr>
          <w:rFonts w:hint="eastAsia" w:ascii="黑体" w:hAnsi="黑体" w:eastAsia="黑体" w:cs="黑体"/>
          <w:b w:val="0"/>
          <w:color w:val="auto"/>
          <w:highlight w:val="none"/>
        </w:rPr>
        <w:t>政</w:t>
      </w:r>
      <w:r>
        <w:rPr>
          <w:rStyle w:val="26"/>
          <w:rFonts w:hint="eastAsia" w:ascii="黑体" w:hAnsi="黑体" w:eastAsia="黑体" w:cs="黑体"/>
          <w:b w:val="0"/>
          <w:bCs w:val="0"/>
          <w:color w:val="auto"/>
          <w:highlight w:val="none"/>
        </w:rPr>
        <w:t>府性基金预算财政拨款收入支出决算表</w:t>
      </w:r>
      <w:bookmarkEnd w:id="236"/>
      <w:bookmarkEnd w:id="237"/>
      <w:bookmarkEnd w:id="238"/>
      <w:bookmarkEnd w:id="239"/>
    </w:p>
    <w:p>
      <w:pPr>
        <w:pStyle w:val="4"/>
        <w:rPr>
          <w:rFonts w:hint="eastAsia" w:ascii="黑体" w:hAnsi="黑体" w:eastAsia="黑体" w:cs="黑体"/>
          <w:color w:val="auto"/>
          <w:highlight w:val="none"/>
        </w:rPr>
      </w:pPr>
      <w:bookmarkStart w:id="240" w:name="_Toc12441"/>
      <w:bookmarkStart w:id="241" w:name="_Toc332817430_WPSOffice_Level2"/>
      <w:bookmarkStart w:id="242" w:name="_Toc730895180_WPSOffice_Level2"/>
      <w:bookmarkStart w:id="243" w:name="_Toc15396630"/>
      <w:r>
        <w:rPr>
          <w:rStyle w:val="26"/>
          <w:rFonts w:hint="eastAsia" w:ascii="黑体" w:hAnsi="黑体" w:eastAsia="黑体" w:cs="黑体"/>
          <w:b w:val="0"/>
          <w:bCs w:val="0"/>
          <w:color w:val="auto"/>
          <w:highlight w:val="none"/>
        </w:rPr>
        <w:t>十二、</w:t>
      </w:r>
      <w:r>
        <w:rPr>
          <w:rFonts w:hint="eastAsia" w:ascii="黑体" w:hAnsi="黑体" w:eastAsia="黑体" w:cs="黑体"/>
          <w:b w:val="0"/>
          <w:color w:val="auto"/>
          <w:highlight w:val="none"/>
        </w:rPr>
        <w:t>政</w:t>
      </w:r>
      <w:r>
        <w:rPr>
          <w:rStyle w:val="26"/>
          <w:rFonts w:hint="eastAsia" w:ascii="黑体" w:hAnsi="黑体" w:eastAsia="黑体" w:cs="黑体"/>
          <w:b w:val="0"/>
          <w:bCs w:val="0"/>
          <w:color w:val="auto"/>
          <w:highlight w:val="none"/>
        </w:rPr>
        <w:t>府性基金预算财政拨款“三公”经费支出决算表</w:t>
      </w:r>
      <w:bookmarkEnd w:id="240"/>
      <w:bookmarkEnd w:id="241"/>
      <w:bookmarkEnd w:id="242"/>
      <w:bookmarkEnd w:id="243"/>
    </w:p>
    <w:p>
      <w:pPr>
        <w:pStyle w:val="4"/>
        <w:rPr>
          <w:rStyle w:val="26"/>
          <w:rFonts w:hint="eastAsia" w:ascii="黑体" w:hAnsi="黑体" w:eastAsia="黑体" w:cs="黑体"/>
          <w:b w:val="0"/>
          <w:bCs w:val="0"/>
          <w:color w:val="auto"/>
          <w:highlight w:val="none"/>
        </w:rPr>
      </w:pPr>
      <w:bookmarkStart w:id="244" w:name="_Toc15396631"/>
      <w:bookmarkStart w:id="245" w:name="_Toc1614236170_WPSOffice_Level2"/>
      <w:bookmarkStart w:id="246" w:name="_Toc1107677527_WPSOffice_Level2"/>
      <w:bookmarkStart w:id="247" w:name="_Toc13637"/>
      <w:r>
        <w:rPr>
          <w:rStyle w:val="26"/>
          <w:rFonts w:hint="eastAsia" w:ascii="黑体" w:hAnsi="黑体" w:eastAsia="黑体" w:cs="黑体"/>
          <w:b w:val="0"/>
          <w:bCs w:val="0"/>
          <w:color w:val="auto"/>
          <w:highlight w:val="none"/>
        </w:rPr>
        <w:t>十三、</w:t>
      </w:r>
      <w:r>
        <w:rPr>
          <w:rFonts w:hint="eastAsia" w:ascii="黑体" w:hAnsi="黑体" w:eastAsia="黑体" w:cs="黑体"/>
          <w:b w:val="0"/>
          <w:color w:val="auto"/>
          <w:highlight w:val="none"/>
        </w:rPr>
        <w:t>国</w:t>
      </w:r>
      <w:r>
        <w:rPr>
          <w:rStyle w:val="26"/>
          <w:rFonts w:hint="eastAsia" w:ascii="黑体" w:hAnsi="黑体" w:eastAsia="黑体" w:cs="黑体"/>
          <w:b w:val="0"/>
          <w:bCs w:val="0"/>
          <w:color w:val="auto"/>
          <w:highlight w:val="none"/>
        </w:rPr>
        <w:t>有资本经营预算</w:t>
      </w:r>
      <w:r>
        <w:rPr>
          <w:rStyle w:val="26"/>
          <w:rFonts w:hint="eastAsia" w:ascii="黑体" w:hAnsi="黑体" w:eastAsia="黑体" w:cs="黑体"/>
          <w:b w:val="0"/>
          <w:bCs w:val="0"/>
          <w:color w:val="auto"/>
          <w:highlight w:val="none"/>
          <w:lang w:eastAsia="zh-CN"/>
        </w:rPr>
        <w:t>财政拨款收入</w:t>
      </w:r>
      <w:r>
        <w:rPr>
          <w:rStyle w:val="26"/>
          <w:rFonts w:hint="eastAsia" w:ascii="黑体" w:hAnsi="黑体" w:eastAsia="黑体" w:cs="黑体"/>
          <w:b w:val="0"/>
          <w:bCs w:val="0"/>
          <w:color w:val="auto"/>
          <w:highlight w:val="none"/>
        </w:rPr>
        <w:t>支出决算表</w:t>
      </w:r>
      <w:bookmarkEnd w:id="244"/>
      <w:bookmarkEnd w:id="245"/>
      <w:bookmarkEnd w:id="246"/>
      <w:bookmarkEnd w:id="247"/>
    </w:p>
    <w:p>
      <w:pPr>
        <w:rPr>
          <w:rFonts w:hint="eastAsia" w:ascii="黑体" w:hAnsi="黑体" w:eastAsia="黑体" w:cs="黑体"/>
          <w:color w:val="auto"/>
          <w:highlight w:val="none"/>
          <w:lang w:eastAsia="zh-CN"/>
        </w:rPr>
      </w:pPr>
      <w:bookmarkStart w:id="248" w:name="_Toc1656207530_WPSOffice_Level2"/>
      <w:bookmarkStart w:id="249" w:name="_Toc1948680674_WPSOffice_Level2"/>
      <w:bookmarkStart w:id="250" w:name="_Toc24348"/>
      <w:r>
        <w:rPr>
          <w:rStyle w:val="26"/>
          <w:rFonts w:hint="eastAsia" w:ascii="黑体" w:hAnsi="黑体" w:eastAsia="黑体" w:cs="黑体"/>
          <w:b w:val="0"/>
          <w:bCs w:val="0"/>
          <w:color w:val="auto"/>
          <w:highlight w:val="none"/>
          <w:lang w:eastAsia="zh-CN"/>
        </w:rPr>
        <w:t>十四、国有资本经营预算财政拨款支出决算表</w:t>
      </w:r>
      <w:bookmarkEnd w:id="248"/>
      <w:bookmarkEnd w:id="249"/>
      <w:bookmarkEnd w:id="250"/>
    </w:p>
    <w:p>
      <w:pPr>
        <w:rPr>
          <w:rFonts w:hint="eastAsia" w:eastAsia="仿宋"/>
          <w:color w:val="auto"/>
          <w:highlight w:val="none"/>
          <w:lang w:eastAsia="zh-CN"/>
        </w:rPr>
      </w:pP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064A595"/>
    <w:multiLevelType w:val="singleLevel"/>
    <w:tmpl w:val="3064A595"/>
    <w:lvl w:ilvl="0" w:tentative="0">
      <w:start w:val="1"/>
      <w:numFmt w:val="chineseCounting"/>
      <w:suff w:val="nothing"/>
      <w:lvlText w:val="%1、"/>
      <w:lvlJc w:val="left"/>
      <w:rPr>
        <w:rFonts w:hint="eastAsia"/>
      </w:rPr>
    </w:lvl>
  </w:abstractNum>
  <w:abstractNum w:abstractNumId="4">
    <w:nsid w:val="76F22955"/>
    <w:multiLevelType w:val="singleLevel"/>
    <w:tmpl w:val="76F22955"/>
    <w:lvl w:ilvl="0" w:tentative="0">
      <w:start w:val="2"/>
      <w:numFmt w:val="chineseCounting"/>
      <w:suff w:val="nothing"/>
      <w:lvlText w:val="（%1）"/>
      <w:lvlJc w:val="left"/>
      <w:rPr>
        <w:rFonts w:hint="eastAsia"/>
      </w:rPr>
    </w:lvl>
  </w:abstractNum>
  <w:abstractNum w:abstractNumId="5">
    <w:nsid w:val="7FFEFA9E"/>
    <w:multiLevelType w:val="singleLevel"/>
    <w:tmpl w:val="7FFEFA9E"/>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6E0107"/>
    <w:rsid w:val="0A2032A3"/>
    <w:rsid w:val="101860EC"/>
    <w:rsid w:val="10C055FF"/>
    <w:rsid w:val="118107EC"/>
    <w:rsid w:val="16BB723D"/>
    <w:rsid w:val="1BE8440E"/>
    <w:rsid w:val="1D155CEE"/>
    <w:rsid w:val="1F0A3831"/>
    <w:rsid w:val="23860B96"/>
    <w:rsid w:val="240371BF"/>
    <w:rsid w:val="29FD04D3"/>
    <w:rsid w:val="2C8A61B5"/>
    <w:rsid w:val="2DF04E50"/>
    <w:rsid w:val="2FDFBE37"/>
    <w:rsid w:val="319F7F4E"/>
    <w:rsid w:val="337EE15A"/>
    <w:rsid w:val="33FF5D7D"/>
    <w:rsid w:val="36AA5135"/>
    <w:rsid w:val="37BAB971"/>
    <w:rsid w:val="3D98207C"/>
    <w:rsid w:val="3EF9EE69"/>
    <w:rsid w:val="3F770353"/>
    <w:rsid w:val="3FD80611"/>
    <w:rsid w:val="3FFFA24B"/>
    <w:rsid w:val="4B4F25DA"/>
    <w:rsid w:val="4BE068DB"/>
    <w:rsid w:val="4D577224"/>
    <w:rsid w:val="4D7F7C4B"/>
    <w:rsid w:val="4ECE2238"/>
    <w:rsid w:val="4F7821BF"/>
    <w:rsid w:val="5674C8B9"/>
    <w:rsid w:val="58EBD716"/>
    <w:rsid w:val="5B5F1185"/>
    <w:rsid w:val="5CD71FC4"/>
    <w:rsid w:val="5DA6757E"/>
    <w:rsid w:val="5DBFFEB8"/>
    <w:rsid w:val="5FFF8AE5"/>
    <w:rsid w:val="67ED6F07"/>
    <w:rsid w:val="67FF69AD"/>
    <w:rsid w:val="6C4A05C8"/>
    <w:rsid w:val="6E7E3605"/>
    <w:rsid w:val="6EDA08C4"/>
    <w:rsid w:val="6F2EC27B"/>
    <w:rsid w:val="6F7E8A0D"/>
    <w:rsid w:val="71DF0EA0"/>
    <w:rsid w:val="72734D90"/>
    <w:rsid w:val="73FAD6F9"/>
    <w:rsid w:val="75F79C27"/>
    <w:rsid w:val="77BE2D3A"/>
    <w:rsid w:val="77FF4D47"/>
    <w:rsid w:val="7B353AC7"/>
    <w:rsid w:val="7B3C7F01"/>
    <w:rsid w:val="7DDF5D0F"/>
    <w:rsid w:val="7EDD4BC1"/>
    <w:rsid w:val="7F5FF217"/>
    <w:rsid w:val="7FA30C79"/>
    <w:rsid w:val="7FBE4AF3"/>
    <w:rsid w:val="7FFB95D2"/>
    <w:rsid w:val="7FFDE0D7"/>
    <w:rsid w:val="9BFD2F14"/>
    <w:rsid w:val="9D2B2FD4"/>
    <w:rsid w:val="9D4B5CFF"/>
    <w:rsid w:val="A7F9BDA8"/>
    <w:rsid w:val="AAEEB1F6"/>
    <w:rsid w:val="ADF213C5"/>
    <w:rsid w:val="B3461AED"/>
    <w:rsid w:val="B7E9CDC5"/>
    <w:rsid w:val="BA7B23C6"/>
    <w:rsid w:val="BDBA5C12"/>
    <w:rsid w:val="BFE52082"/>
    <w:rsid w:val="C7EB22E1"/>
    <w:rsid w:val="CA5FD2F6"/>
    <w:rsid w:val="CD77BD8F"/>
    <w:rsid w:val="CDBF9171"/>
    <w:rsid w:val="DDEF5246"/>
    <w:rsid w:val="DEA7E085"/>
    <w:rsid w:val="DFDFA2BA"/>
    <w:rsid w:val="E7F7F834"/>
    <w:rsid w:val="EAFFC7DA"/>
    <w:rsid w:val="EC5FC6C5"/>
    <w:rsid w:val="ED995AA3"/>
    <w:rsid w:val="EDB7FF9D"/>
    <w:rsid w:val="EEE7C942"/>
    <w:rsid w:val="EF073DFD"/>
    <w:rsid w:val="F167E6D7"/>
    <w:rsid w:val="F1BBFCF5"/>
    <w:rsid w:val="F5F11954"/>
    <w:rsid w:val="F7443D8B"/>
    <w:rsid w:val="F7B87717"/>
    <w:rsid w:val="F7EE2410"/>
    <w:rsid w:val="F7FF739B"/>
    <w:rsid w:val="F9161DC8"/>
    <w:rsid w:val="FB594D53"/>
    <w:rsid w:val="FDAF78D8"/>
    <w:rsid w:val="FDBB7970"/>
    <w:rsid w:val="FE734873"/>
    <w:rsid w:val="FFCF38A6"/>
    <w:rsid w:val="FFD5E710"/>
    <w:rsid w:val="FFEDF67F"/>
    <w:rsid w:val="FFF31B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page number"/>
    <w:basedOn w:val="13"/>
    <w:qFormat/>
    <w:uiPriority w:val="0"/>
  </w:style>
  <w:style w:type="character" w:styleId="16">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3"/>
    <w:qFormat/>
    <w:uiPriority w:val="9"/>
    <w:rPr>
      <w:rFonts w:ascii="Times New Roman" w:hAnsi="Times New Roman"/>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正文 New New New New"/>
    <w:qFormat/>
    <w:uiPriority w:val="0"/>
    <w:pPr>
      <w:widowControl w:val="0"/>
      <w:jc w:val="both"/>
    </w:pPr>
    <w:rPr>
      <w:rFonts w:ascii="Times New Roman" w:hAnsi="Times New Roman" w:eastAsia="宋体" w:cstheme="minorBidi"/>
      <w:kern w:val="2"/>
      <w:sz w:val="21"/>
      <w:lang w:val="en-US" w:eastAsia="zh-CN"/>
    </w:rPr>
  </w:style>
  <w:style w:type="character" w:customStyle="1" w:styleId="32">
    <w:name w:val="要点 New"/>
    <w:qFormat/>
    <w:uiPriority w:val="0"/>
    <w:rPr>
      <w:b/>
      <w:bCs/>
    </w:rPr>
  </w:style>
  <w:style w:type="character" w:customStyle="1" w:styleId="33">
    <w:name w:val="要点 New New"/>
    <w:qFormat/>
    <w:uiPriority w:val="0"/>
    <w:rPr>
      <w:b/>
      <w:bCs/>
    </w:rPr>
  </w:style>
  <w:style w:type="character" w:customStyle="1" w:styleId="34">
    <w:name w:val="要点 New New New"/>
    <w:qFormat/>
    <w:uiPriority w:val="0"/>
    <w:rPr>
      <w:b/>
      <w:bCs/>
    </w:rPr>
  </w:style>
  <w:style w:type="character" w:customStyle="1" w:styleId="35">
    <w:name w:val="要点 New New New New"/>
    <w:qFormat/>
    <w:uiPriority w:val="0"/>
    <w:rPr>
      <w:b/>
      <w:bCs/>
    </w:rPr>
  </w:style>
  <w:style w:type="character" w:customStyle="1" w:styleId="36">
    <w:name w:val="要点 New New New New New"/>
    <w:qFormat/>
    <w:uiPriority w:val="0"/>
    <w:rPr>
      <w:b/>
      <w:bCs/>
    </w:rPr>
  </w:style>
  <w:style w:type="character" w:customStyle="1" w:styleId="37">
    <w:name w:val="要点 New New New New New New"/>
    <w:qFormat/>
    <w:uiPriority w:val="0"/>
    <w:rPr>
      <w:b/>
      <w:bCs/>
    </w:rPr>
  </w:style>
  <w:style w:type="character" w:customStyle="1" w:styleId="38">
    <w:name w:val="要点 New New New New New New New"/>
    <w:qFormat/>
    <w:uiPriority w:val="0"/>
    <w:rPr>
      <w:b/>
      <w:bCs/>
    </w:rPr>
  </w:style>
  <w:style w:type="paragraph" w:customStyle="1" w:styleId="39">
    <w:name w:val=" Char1 Char Char Char"/>
    <w:basedOn w:val="1"/>
    <w:qFormat/>
    <w:uiPriority w:val="0"/>
    <w:pPr>
      <w:widowControl/>
      <w:spacing w:after="160" w:line="240" w:lineRule="exact"/>
      <w:jc w:val="left"/>
    </w:pPr>
  </w:style>
  <w:style w:type="paragraph" w:customStyle="1" w:styleId="40">
    <w:name w:val="WPSOffice手动目录 1"/>
    <w:qFormat/>
    <w:uiPriority w:val="0"/>
    <w:pPr>
      <w:ind w:leftChars="0"/>
    </w:pPr>
    <w:rPr>
      <w:rFonts w:ascii="Times New Roman" w:hAnsi="Times New Roman" w:eastAsia="宋体" w:cs="Times New Roman"/>
      <w:sz w:val="20"/>
      <w:szCs w:val="20"/>
    </w:rPr>
  </w:style>
  <w:style w:type="paragraph" w:customStyle="1" w:styleId="4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home/user/Desktop/&#24037;&#20316;&#35760;&#24405;.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home/user/Desktop/&#24037;&#20316;&#35760;&#24405;.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home/user/Desktop/&#24037;&#20316;&#35760;&#24405;.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home/user/Desktop/&#24037;&#20316;&#35760;&#24405;.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home/user/Desktop/&#24037;&#20316;&#35760;&#24405;.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home/user/Desktop/&#24037;&#20316;&#35760;&#24405;.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home/user/Desktop/&#24037;&#20316;&#35760;&#2440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a:t>
            </a:r>
            <a:r>
              <a:t>收、支决算总计变动情况图</a:t>
            </a:r>
          </a:p>
        </c:rich>
      </c:tx>
      <c:layout/>
      <c:overlay val="false"/>
      <c:spPr>
        <a:noFill/>
        <a:ln>
          <a:noFill/>
        </a:ln>
        <a:effectLst/>
      </c:spPr>
    </c:title>
    <c:autoTitleDeleted val="false"/>
    <c:plotArea>
      <c:layout/>
      <c:barChart>
        <c:barDir val="col"/>
        <c:grouping val="clustered"/>
        <c:varyColors val="false"/>
        <c:ser>
          <c:idx val="0"/>
          <c:order val="0"/>
          <c:tx>
            <c:strRef>
              <c:f>[工作记录.xls]Sheet5!$D$1</c:f>
              <c:strCache>
                <c:ptCount val="1"/>
                <c:pt idx="0">
                  <c:v>收、支决算总计变动情况图</c:v>
                </c:pt>
              </c:strCache>
            </c:strRef>
          </c:tx>
          <c:spPr>
            <a:solidFill>
              <a:schemeClr val="accent1"/>
            </a:solidFill>
            <a:ln>
              <a:noFill/>
            </a:ln>
            <a:effectLst/>
          </c:spPr>
          <c:invertIfNegative val="false"/>
          <c:dPt>
            <c:idx val="1"/>
            <c:invertIfNegative val="false"/>
            <c:bubble3D val="false"/>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[工作记录.xls]Sheet5!$C$2:$C$3</c:f>
              <c:strCache>
                <c:ptCount val="2"/>
                <c:pt idx="0">
                  <c:v>2019年</c:v>
                </c:pt>
                <c:pt idx="1">
                  <c:v>2020年</c:v>
                </c:pt>
              </c:strCache>
            </c:strRef>
          </c:cat>
          <c:val>
            <c:numRef>
              <c:f>[工作记录.xls]Sheet5!$D$2:$D$3</c:f>
              <c:numCache>
                <c:formatCode>General</c:formatCode>
                <c:ptCount val="2"/>
                <c:pt idx="0">
                  <c:v>53745.88</c:v>
                </c:pt>
                <c:pt idx="1">
                  <c:v>50749.34</c:v>
                </c:pt>
              </c:numCache>
            </c:numRef>
          </c:val>
        </c:ser>
        <c:dLbls>
          <c:showLegendKey val="false"/>
          <c:showVal val="true"/>
          <c:showCatName val="false"/>
          <c:showSerName val="false"/>
          <c:showPercent val="false"/>
          <c:showBubbleSize val="false"/>
        </c:dLbls>
        <c:gapWidth val="219"/>
        <c:overlap val="-27"/>
        <c:axId val="205073106"/>
        <c:axId val="672304906"/>
      </c:barChart>
      <c:catAx>
        <c:axId val="205073106"/>
        <c:scaling>
          <c:orientation val="minMax"/>
        </c:scaling>
        <c:delete val="false"/>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72304906"/>
        <c:crosses val="autoZero"/>
        <c:auto val="true"/>
        <c:lblAlgn val="ctr"/>
        <c:lblOffset val="100"/>
        <c:noMultiLvlLbl val="false"/>
      </c:catAx>
      <c:valAx>
        <c:axId val="672304906"/>
        <c:scaling>
          <c:orientation val="minMax"/>
        </c:scaling>
        <c:delete val="true"/>
        <c:axPos val="l"/>
        <c:numFmt formatCode="General" sourceLinked="true"/>
        <c:majorTickMark val="out"/>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05073106"/>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Lbl>
              <c:idx val="1"/>
              <c:layout>
                <c:manualLayout>
                  <c:x val="0.0652121626782766"/>
                  <c:y val="0.26510953524020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207626958217803"/>
                  <c:y val="-0.0055116283741207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956271608543521"/>
                  <c:y val="0.039634771587255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[工作记录.xls]Sheet5!$C$23:$C$26</c:f>
              <c:strCache>
                <c:ptCount val="4"/>
                <c:pt idx="0">
                  <c:v>一般公共预算财政拨款收入</c:v>
                </c:pt>
                <c:pt idx="1">
                  <c:v>事业收入</c:v>
                </c:pt>
                <c:pt idx="2">
                  <c:v>经营收入</c:v>
                </c:pt>
                <c:pt idx="3">
                  <c:v>其他收入</c:v>
                </c:pt>
              </c:strCache>
            </c:strRef>
          </c:cat>
          <c:val>
            <c:numRef>
              <c:f>[工作记录.xls]Sheet5!$D$23:$D$26</c:f>
              <c:numCache>
                <c:formatCode>#,##0.00</c:formatCode>
                <c:ptCount val="4"/>
                <c:pt idx="0">
                  <c:v>38105.69</c:v>
                </c:pt>
                <c:pt idx="1">
                  <c:v>3913.79</c:v>
                </c:pt>
                <c:pt idx="2">
                  <c:v>775.03</c:v>
                </c:pt>
                <c:pt idx="3">
                  <c:v>145.6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图3：支出决算结构图</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[工作记录.xls]Sheet5!$C$40:$C$42</c:f>
              <c:strCache>
                <c:ptCount val="3"/>
                <c:pt idx="0">
                  <c:v>基本支出</c:v>
                </c:pt>
                <c:pt idx="1">
                  <c:v>项目支出</c:v>
                </c:pt>
                <c:pt idx="2">
                  <c:v>经营支出</c:v>
                </c:pt>
              </c:strCache>
            </c:strRef>
          </c:cat>
          <c:val>
            <c:numRef>
              <c:f>[工作记录.xls]Sheet5!$D$40:$D$42</c:f>
              <c:numCache>
                <c:formatCode>#,##0.00</c:formatCode>
                <c:ptCount val="3"/>
                <c:pt idx="0">
                  <c:v>20070.08</c:v>
                </c:pt>
                <c:pt idx="1">
                  <c:v>22985.08</c:v>
                </c:pt>
                <c:pt idx="2">
                  <c:v>762.92</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图4：财政拨款收、支决算总计变动情况</a:t>
            </a:r>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Pt>
            <c:idx val="1"/>
            <c:invertIfNegative val="false"/>
            <c:bubble3D val="false"/>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[工作记录.xls]Sheet5!$C$54:$C$55</c:f>
              <c:strCache>
                <c:ptCount val="2"/>
                <c:pt idx="0">
                  <c:v>2019年</c:v>
                </c:pt>
                <c:pt idx="1">
                  <c:v>2020年</c:v>
                </c:pt>
              </c:strCache>
            </c:strRef>
          </c:cat>
          <c:val>
            <c:numRef>
              <c:f>[工作记录.xls]Sheet5!$D$54:$D$55</c:f>
              <c:numCache>
                <c:formatCode>General</c:formatCode>
                <c:ptCount val="2"/>
                <c:pt idx="0">
                  <c:v>37501.63</c:v>
                </c:pt>
                <c:pt idx="1">
                  <c:v>38137.69</c:v>
                </c:pt>
              </c:numCache>
            </c:numRef>
          </c:val>
        </c:ser>
        <c:dLbls>
          <c:showLegendKey val="false"/>
          <c:showVal val="true"/>
          <c:showCatName val="false"/>
          <c:showSerName val="false"/>
          <c:showPercent val="false"/>
          <c:showBubbleSize val="false"/>
        </c:dLbls>
        <c:gapWidth val="219"/>
        <c:overlap val="-27"/>
        <c:axId val="270364194"/>
        <c:axId val="673056138"/>
      </c:barChart>
      <c:catAx>
        <c:axId val="270364194"/>
        <c:scaling>
          <c:orientation val="minMax"/>
        </c:scaling>
        <c:delete val="false"/>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73056138"/>
        <c:crosses val="autoZero"/>
        <c:auto val="true"/>
        <c:lblAlgn val="ctr"/>
        <c:lblOffset val="100"/>
        <c:noMultiLvlLbl val="false"/>
      </c:catAx>
      <c:valAx>
        <c:axId val="673056138"/>
        <c:scaling>
          <c:orientation val="minMax"/>
        </c:scaling>
        <c:delete val="true"/>
        <c:axPos val="l"/>
        <c:numFmt formatCode="General" sourceLinked="true"/>
        <c:majorTickMark val="out"/>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70364194"/>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图5：一般公共预算财政拨款支出决算变动情况</a:t>
            </a:r>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Pt>
            <c:idx val="1"/>
            <c:invertIfNegative val="false"/>
            <c:bubble3D val="false"/>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[工作记录.xls]Sheet5!$C$68:$C$69</c:f>
              <c:strCache>
                <c:ptCount val="2"/>
                <c:pt idx="0">
                  <c:v>2019年</c:v>
                </c:pt>
                <c:pt idx="1">
                  <c:v>2020年</c:v>
                </c:pt>
              </c:strCache>
            </c:strRef>
          </c:cat>
          <c:val>
            <c:numRef>
              <c:f>[工作记录.xls]Sheet5!$D$68:$D$69</c:f>
              <c:numCache>
                <c:formatCode>General</c:formatCode>
                <c:ptCount val="2"/>
                <c:pt idx="0">
                  <c:v>25463.37</c:v>
                </c:pt>
                <c:pt idx="1">
                  <c:v>38099.54</c:v>
                </c:pt>
              </c:numCache>
            </c:numRef>
          </c:val>
        </c:ser>
        <c:dLbls>
          <c:showLegendKey val="false"/>
          <c:showVal val="true"/>
          <c:showCatName val="false"/>
          <c:showSerName val="false"/>
          <c:showPercent val="false"/>
          <c:showBubbleSize val="false"/>
        </c:dLbls>
        <c:gapWidth val="219"/>
        <c:overlap val="-27"/>
        <c:axId val="922157977"/>
        <c:axId val="354733328"/>
      </c:barChart>
      <c:catAx>
        <c:axId val="922157977"/>
        <c:scaling>
          <c:orientation val="minMax"/>
        </c:scaling>
        <c:delete val="false"/>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54733328"/>
        <c:crosses val="autoZero"/>
        <c:auto val="true"/>
        <c:lblAlgn val="ctr"/>
        <c:lblOffset val="100"/>
        <c:noMultiLvlLbl val="false"/>
      </c:catAx>
      <c:valAx>
        <c:axId val="354733328"/>
        <c:scaling>
          <c:orientation val="minMax"/>
        </c:scaling>
        <c:delete val="true"/>
        <c:axPos val="l"/>
        <c:numFmt formatCode="General" sourceLinked="true"/>
        <c:majorTickMark val="out"/>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22157977"/>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图6：一般公共预算财政拨款支出决算结构</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Pt>
            <c:idx val="6"/>
            <c:bubble3D val="false"/>
            <c:spPr>
              <a:solidFill>
                <a:schemeClr val="accent1">
                  <a:lumMod val="60000"/>
                </a:schemeClr>
              </a:solidFill>
              <a:ln w="19050">
                <a:solidFill>
                  <a:schemeClr val="lt1"/>
                </a:solidFill>
              </a:ln>
              <a:effectLst/>
            </c:spPr>
          </c:dPt>
          <c:dPt>
            <c:idx val="7"/>
            <c:bubble3D val="false"/>
            <c:spPr>
              <a:solidFill>
                <a:schemeClr val="accent2">
                  <a:lumMod val="60000"/>
                </a:schemeClr>
              </a:solidFill>
              <a:ln w="19050">
                <a:solidFill>
                  <a:schemeClr val="lt1"/>
                </a:solidFill>
              </a:ln>
              <a:effectLst/>
            </c:spPr>
          </c:dPt>
          <c:dLbls>
            <c:dLbl>
              <c:idx val="2"/>
              <c:layout>
                <c:manualLayout>
                  <c:x val="0.0560197757202716"/>
                  <c:y val="0.0213963154091111"/>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275001135352753"/>
                  <c:y val="-0.0371830916909238"/>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6"/>
              <c:layout>
                <c:manualLayout>
                  <c:x val="-0.0827863417670954"/>
                  <c:y val="0.0048236596309434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7"/>
              <c:layout>
                <c:manualLayout>
                  <c:x val="0.0743099787685775"/>
                  <c:y val="0"/>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[工作记录.xls]Sheet5!$C$75:$C$82</c:f>
              <c:strCache>
                <c:ptCount val="8"/>
                <c:pt idx="0">
                  <c:v>一般公共服务支出</c:v>
                </c:pt>
                <c:pt idx="1">
                  <c:v>教育支出</c:v>
                </c:pt>
                <c:pt idx="2">
                  <c:v>科学技术支出</c:v>
                </c:pt>
                <c:pt idx="3">
                  <c:v>社会保障和就业支出</c:v>
                </c:pt>
                <c:pt idx="4">
                  <c:v>卫生健康支出</c:v>
                </c:pt>
                <c:pt idx="5">
                  <c:v>商业服务业等支出</c:v>
                </c:pt>
                <c:pt idx="6">
                  <c:v>住房保障支出</c:v>
                </c:pt>
                <c:pt idx="7">
                  <c:v>灾害防治及应急管理支出</c:v>
                </c:pt>
              </c:strCache>
            </c:strRef>
          </c:cat>
          <c:val>
            <c:numRef>
              <c:f>[工作记录.xls]Sheet5!$D$75:$D$82</c:f>
              <c:numCache>
                <c:formatCode>#,##0.00</c:formatCode>
                <c:ptCount val="8"/>
                <c:pt idx="0">
                  <c:v>5604.4</c:v>
                </c:pt>
                <c:pt idx="1">
                  <c:v>14924.18</c:v>
                </c:pt>
                <c:pt idx="2">
                  <c:v>180.23</c:v>
                </c:pt>
                <c:pt idx="3">
                  <c:v>1975.52</c:v>
                </c:pt>
                <c:pt idx="4">
                  <c:v>400.97</c:v>
                </c:pt>
                <c:pt idx="5">
                  <c:v>14234.94</c:v>
                </c:pt>
                <c:pt idx="6">
                  <c:v>774.3</c:v>
                </c:pt>
                <c:pt idx="7">
                  <c:v>5</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图7：“三公”经费财政拨款支出结构</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2"/>
              <c:layout>
                <c:manualLayout>
                  <c:x val="0.0137441773869223"/>
                  <c:y val="0.16046847109285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[工作记录.xls]Sheet5!$C$88:$C$90</c:f>
              <c:strCache>
                <c:ptCount val="3"/>
                <c:pt idx="0">
                  <c:v>因公出国（境）费支出</c:v>
                </c:pt>
                <c:pt idx="1">
                  <c:v>公务用车购置及运行维护费支出</c:v>
                </c:pt>
                <c:pt idx="2">
                  <c:v>公务接待费支出</c:v>
                </c:pt>
              </c:strCache>
            </c:strRef>
          </c:cat>
          <c:val>
            <c:numRef>
              <c:f>[工作记录.xls]Sheet5!$D$88:$D$90</c:f>
              <c:numCache>
                <c:formatCode>General</c:formatCode>
                <c:ptCount val="3"/>
                <c:pt idx="0">
                  <c:v>0</c:v>
                </c:pt>
                <c:pt idx="1">
                  <c:v>95.54</c:v>
                </c:pt>
                <c:pt idx="2">
                  <c:v>6.57</c:v>
                </c:pt>
              </c:numCache>
            </c:numRef>
          </c:val>
        </c:ser>
        <c:ser>
          <c:idx val="1"/>
          <c:order val="1"/>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[工作记录.xls]Sheet5!$C$88:$C$90</c:f>
              <c:strCache>
                <c:ptCount val="3"/>
                <c:pt idx="0">
                  <c:v>因公出国（境）费支出</c:v>
                </c:pt>
                <c:pt idx="1">
                  <c:v>公务用车购置及运行维护费支出</c:v>
                </c:pt>
                <c:pt idx="2">
                  <c:v>公务接待费支出</c:v>
                </c:pt>
              </c:strCache>
            </c:strRef>
          </c:cat>
          <c:val>
            <c:numRef>
              <c:f>[工作记录.xls]Sheet5!$E$88:$E$90</c:f>
              <c:numCache>
                <c:formatCode>General</c:formatCode>
                <c:ptCount val="3"/>
                <c:pt idx="1" c:formatCode="0.00%">
                  <c:v>0.935657624130839</c:v>
                </c:pt>
                <c:pt idx="2" c:formatCode="0.00%">
                  <c:v>0.0643423758691607</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15</TotalTime>
  <ScaleCrop>false</ScaleCrop>
  <LinksUpToDate>false</LinksUpToDate>
  <CharactersWithSpaces>8692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2020-08-07T09:49:00Z</dcterms:created>
  <dc:creator>曹颖</dc:creator>
  <cp:lastModifiedBy>user</cp:lastModifiedBy>
  <cp:lastPrinted>2021-08-26T19:28:00Z</cp:lastPrinted>
  <dcterms:modified xsi:type="dcterms:W3CDTF">2022-06-08T09:54:55Z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