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E8" w:rsidRDefault="005F59E8">
      <w:pPr>
        <w:spacing w:line="600" w:lineRule="exact"/>
        <w:jc w:val="left"/>
        <w:rPr>
          <w:rFonts w:ascii="方正小标宋简体" w:eastAsia="方正小标宋简体" w:hAnsi="宋体"/>
          <w:color w:val="000000"/>
          <w:sz w:val="30"/>
          <w:szCs w:val="30"/>
        </w:rPr>
      </w:pPr>
      <w:bookmarkStart w:id="0" w:name="_Toc15306267"/>
    </w:p>
    <w:p w:rsidR="005F59E8" w:rsidRDefault="005F59E8">
      <w:pPr>
        <w:spacing w:line="600" w:lineRule="exact"/>
        <w:jc w:val="center"/>
        <w:rPr>
          <w:rFonts w:ascii="方正小标宋简体" w:eastAsia="方正小标宋简体" w:hAnsi="宋体"/>
          <w:color w:val="000000"/>
          <w:sz w:val="72"/>
          <w:szCs w:val="72"/>
        </w:rPr>
      </w:pPr>
    </w:p>
    <w:p w:rsidR="005F59E8" w:rsidRDefault="005F59E8">
      <w:pPr>
        <w:spacing w:line="1200" w:lineRule="exact"/>
        <w:jc w:val="center"/>
        <w:rPr>
          <w:rFonts w:ascii="方正小标宋简体" w:eastAsia="方正小标宋简体" w:hAnsi="宋体"/>
          <w:color w:val="000000"/>
          <w:sz w:val="72"/>
          <w:szCs w:val="72"/>
        </w:rPr>
      </w:pPr>
    </w:p>
    <w:p w:rsidR="005F59E8" w:rsidRDefault="005F59E8">
      <w:pPr>
        <w:spacing w:line="1200" w:lineRule="exact"/>
        <w:jc w:val="center"/>
        <w:rPr>
          <w:rFonts w:ascii="方正小标宋_GBK" w:eastAsia="方正小标宋_GBK" w:hAnsi="方正小标宋_GBK" w:cs="方正小标宋_GBK"/>
          <w:b/>
          <w:bCs/>
          <w:color w:val="000000"/>
          <w:sz w:val="72"/>
          <w:szCs w:val="72"/>
        </w:rPr>
      </w:pPr>
    </w:p>
    <w:p w:rsidR="005F59E8" w:rsidRDefault="00B958CE">
      <w:pPr>
        <w:adjustRightInd w:val="0"/>
        <w:snapToGrid w:val="0"/>
        <w:spacing w:line="1200" w:lineRule="exact"/>
        <w:jc w:val="center"/>
        <w:rPr>
          <w:rFonts w:ascii="方正小标宋_GBK" w:eastAsia="方正小标宋_GBK" w:hAnsi="方正小标宋_GBK" w:cs="方正小标宋_GBK"/>
          <w:b/>
          <w:bCs/>
          <w:color w:val="000000"/>
          <w:sz w:val="72"/>
          <w:szCs w:val="72"/>
        </w:rPr>
      </w:pPr>
      <w:bookmarkStart w:id="1" w:name="_Toc15396597"/>
      <w:bookmarkStart w:id="2" w:name="_Toc15377425"/>
      <w:bookmarkStart w:id="3" w:name="_Toc15377193"/>
      <w:bookmarkStart w:id="4" w:name="_Toc15378441"/>
      <w:bookmarkStart w:id="5" w:name="_Toc15396475"/>
      <w:r>
        <w:rPr>
          <w:rFonts w:ascii="方正小标宋_GBK" w:eastAsia="方正小标宋_GBK" w:hAnsi="方正小标宋_GBK" w:cs="方正小标宋_GBK" w:hint="eastAsia"/>
          <w:b/>
          <w:bCs/>
          <w:color w:val="000000"/>
          <w:sz w:val="72"/>
          <w:szCs w:val="72"/>
        </w:rPr>
        <w:t>2020年度</w:t>
      </w:r>
      <w:bookmarkEnd w:id="1"/>
      <w:bookmarkEnd w:id="2"/>
      <w:bookmarkEnd w:id="3"/>
      <w:bookmarkEnd w:id="4"/>
      <w:bookmarkEnd w:id="5"/>
    </w:p>
    <w:p w:rsidR="005F59E8" w:rsidRDefault="00B958CE">
      <w:pPr>
        <w:adjustRightInd w:val="0"/>
        <w:snapToGrid w:val="0"/>
        <w:spacing w:line="1200" w:lineRule="exact"/>
        <w:jc w:val="center"/>
        <w:rPr>
          <w:rFonts w:ascii="方正小标宋_GBK" w:eastAsia="方正小标宋_GBK" w:hAnsi="方正小标宋_GBK" w:cs="方正小标宋_GBK"/>
          <w:b/>
          <w:bCs/>
          <w:color w:val="000000"/>
          <w:sz w:val="72"/>
          <w:szCs w:val="72"/>
        </w:rPr>
      </w:pPr>
      <w:bookmarkStart w:id="6" w:name="_Toc15396598"/>
      <w:bookmarkStart w:id="7" w:name="_Toc15377426"/>
      <w:bookmarkStart w:id="8" w:name="_Toc15378442"/>
      <w:bookmarkStart w:id="9" w:name="_Toc15377194"/>
      <w:bookmarkStart w:id="10" w:name="_Toc15396476"/>
      <w:r>
        <w:rPr>
          <w:rFonts w:ascii="方正小标宋_GBK" w:eastAsia="方正小标宋_GBK" w:hAnsi="方正小标宋_GBK" w:cs="方正小标宋_GBK" w:hint="eastAsia"/>
          <w:b/>
          <w:bCs/>
          <w:color w:val="000000"/>
          <w:sz w:val="72"/>
          <w:szCs w:val="72"/>
        </w:rPr>
        <w:t>四川省</w:t>
      </w:r>
      <w:bookmarkStart w:id="11" w:name="_Toc15306268"/>
      <w:bookmarkEnd w:id="0"/>
      <w:r>
        <w:rPr>
          <w:rFonts w:ascii="方正小标宋_GBK" w:eastAsia="方正小标宋_GBK" w:hAnsi="方正小标宋_GBK" w:cs="方正小标宋_GBK" w:hint="eastAsia"/>
          <w:b/>
          <w:bCs/>
          <w:color w:val="000000"/>
          <w:sz w:val="72"/>
          <w:szCs w:val="72"/>
        </w:rPr>
        <w:t>商务学校单位决算</w:t>
      </w:r>
      <w:bookmarkEnd w:id="6"/>
      <w:bookmarkEnd w:id="7"/>
      <w:bookmarkEnd w:id="8"/>
      <w:bookmarkEnd w:id="9"/>
      <w:bookmarkEnd w:id="10"/>
      <w:bookmarkEnd w:id="11"/>
    </w:p>
    <w:p w:rsidR="005F59E8" w:rsidRDefault="00B958CE">
      <w:pPr>
        <w:widowControl/>
        <w:jc w:val="center"/>
        <w:rPr>
          <w:rFonts w:ascii="黑体" w:eastAsia="黑体" w:hAnsi="黑体" w:cstheme="minorBidi"/>
          <w:sz w:val="28"/>
          <w:szCs w:val="28"/>
        </w:rPr>
      </w:pPr>
      <w:r>
        <w:rPr>
          <w:rFonts w:ascii="方正小标宋简体" w:eastAsia="方正小标宋简体" w:hAnsi="宋体"/>
          <w:color w:val="000000"/>
          <w:sz w:val="36"/>
          <w:szCs w:val="36"/>
        </w:rPr>
        <w:br w:type="page"/>
      </w:r>
      <w:r>
        <w:rPr>
          <w:rFonts w:ascii="方正小标宋_GBK" w:eastAsia="方正小标宋_GBK" w:hAnsi="方正小标宋_GBK" w:cs="方正小标宋_GBK" w:hint="eastAsia"/>
          <w:color w:val="000000"/>
          <w:sz w:val="44"/>
          <w:szCs w:val="44"/>
        </w:rPr>
        <w:lastRenderedPageBreak/>
        <w:t>目 录</w:t>
      </w:r>
    </w:p>
    <w:p w:rsidR="005F59E8" w:rsidRDefault="00B958CE">
      <w:pPr>
        <w:pStyle w:val="10"/>
        <w:rPr>
          <w:rFonts w:ascii="仿宋_GB2312" w:eastAsia="仿宋_GB2312" w:hAnsi="仿宋_GB2312" w:cs="仿宋_GB2312"/>
          <w:sz w:val="32"/>
          <w:szCs w:val="32"/>
        </w:rPr>
      </w:pPr>
      <w:r>
        <w:rPr>
          <w:rFonts w:ascii="仿宋_GB2312" w:eastAsia="仿宋_GB2312" w:hAnsi="仿宋_GB2312" w:cs="仿宋_GB2312" w:hint="eastAsia"/>
          <w:sz w:val="32"/>
          <w:szCs w:val="32"/>
        </w:rPr>
        <w:t>公开时间：2021年9月10日</w:t>
      </w:r>
    </w:p>
    <w:sdt>
      <w:sdtPr>
        <w:rPr>
          <w:rFonts w:ascii="宋体" w:hAnsi="宋体"/>
        </w:rPr>
        <w:id w:val="147465009"/>
        <w:docPartObj>
          <w:docPartGallery w:val="Table of Contents"/>
          <w:docPartUnique/>
        </w:docPartObj>
      </w:sdtPr>
      <w:sdtEndPr>
        <w:rPr>
          <w:rFonts w:ascii="黑体" w:eastAsia="黑体" w:hAnsi="黑体" w:cs="黑体" w:hint="eastAsia"/>
          <w:b/>
          <w:color w:val="FF0000"/>
          <w:sz w:val="24"/>
        </w:rPr>
      </w:sdtEndPr>
      <w:sdtContent>
        <w:p w:rsidR="000428D6" w:rsidRDefault="000428D6">
          <w:pPr>
            <w:jc w:val="center"/>
          </w:pPr>
        </w:p>
        <w:p w:rsidR="000428D6" w:rsidRDefault="00AD5F71">
          <w:pPr>
            <w:pStyle w:val="10"/>
            <w:tabs>
              <w:tab w:val="clear" w:pos="8296"/>
              <w:tab w:val="right" w:leader="dot" w:pos="8306"/>
            </w:tabs>
            <w:spacing w:before="0" w:line="300" w:lineRule="exact"/>
            <w:ind w:firstLineChars="200" w:firstLine="480"/>
            <w:jc w:val="both"/>
            <w:rPr>
              <w:rFonts w:ascii="黑体" w:eastAsia="黑体" w:hAnsi="黑体" w:cs="黑体"/>
              <w:noProof/>
              <w:sz w:val="24"/>
              <w:szCs w:val="24"/>
            </w:rPr>
          </w:pPr>
          <w:r>
            <w:rPr>
              <w:rFonts w:ascii="黑体" w:eastAsia="黑体" w:hAnsi="黑体" w:cs="黑体" w:hint="eastAsia"/>
              <w:color w:val="FF0000"/>
              <w:sz w:val="24"/>
              <w:szCs w:val="24"/>
            </w:rPr>
            <w:fldChar w:fldCharType="begin"/>
          </w:r>
          <w:r w:rsidR="000428D6">
            <w:rPr>
              <w:rFonts w:ascii="黑体" w:eastAsia="黑体" w:hAnsi="黑体" w:cs="黑体" w:hint="eastAsia"/>
              <w:color w:val="FF0000"/>
              <w:sz w:val="24"/>
              <w:szCs w:val="24"/>
            </w:rPr>
            <w:instrText xml:space="preserve">TOC \o "1-2" \h \u </w:instrText>
          </w:r>
          <w:r>
            <w:rPr>
              <w:rFonts w:ascii="黑体" w:eastAsia="黑体" w:hAnsi="黑体" w:cs="黑体" w:hint="eastAsia"/>
              <w:color w:val="FF0000"/>
              <w:sz w:val="24"/>
              <w:szCs w:val="24"/>
            </w:rPr>
            <w:fldChar w:fldCharType="separate"/>
          </w:r>
          <w:hyperlink w:anchor="_Toc6695" w:history="1">
            <w:r w:rsidR="000428D6">
              <w:rPr>
                <w:rFonts w:ascii="黑体" w:eastAsia="黑体" w:hAnsi="黑体" w:cs="黑体" w:hint="eastAsia"/>
                <w:noProof/>
                <w:sz w:val="24"/>
                <w:szCs w:val="24"/>
              </w:rPr>
              <w:t>第一部分 单位概况</w:t>
            </w:r>
            <w:r w:rsidR="000428D6">
              <w:rPr>
                <w:rFonts w:ascii="黑体" w:eastAsia="黑体" w:hAnsi="黑体" w:cs="黑体" w:hint="eastAsia"/>
                <w:noProof/>
                <w:sz w:val="24"/>
                <w:szCs w:val="24"/>
              </w:rPr>
              <w:tab/>
              <w:t>1</w:t>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4379" w:history="1">
            <w:r w:rsidR="000428D6">
              <w:rPr>
                <w:rFonts w:ascii="黑体" w:eastAsia="黑体" w:hAnsi="黑体" w:cs="黑体" w:hint="eastAsia"/>
                <w:noProof/>
                <w:sz w:val="24"/>
              </w:rPr>
              <w:t>一、职能简介</w:t>
            </w:r>
            <w:r w:rsidR="000428D6">
              <w:rPr>
                <w:rFonts w:ascii="黑体" w:eastAsia="黑体" w:hAnsi="黑体" w:cs="黑体" w:hint="eastAsia"/>
                <w:noProof/>
                <w:sz w:val="24"/>
              </w:rPr>
              <w:tab/>
              <w:t>1</w:t>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0353" w:history="1">
            <w:r w:rsidR="000428D6">
              <w:rPr>
                <w:rFonts w:ascii="黑体" w:eastAsia="黑体" w:hAnsi="黑体" w:cs="黑体" w:hint="eastAsia"/>
                <w:noProof/>
                <w:sz w:val="24"/>
              </w:rPr>
              <w:t>二、2020年重点工作完成情况</w:t>
            </w:r>
            <w:r w:rsidR="000428D6">
              <w:rPr>
                <w:rFonts w:ascii="黑体" w:eastAsia="黑体" w:hAnsi="黑体" w:cs="黑体" w:hint="eastAsia"/>
                <w:noProof/>
                <w:sz w:val="24"/>
              </w:rPr>
              <w:tab/>
              <w:t>2</w:t>
            </w:r>
          </w:hyperlink>
        </w:p>
        <w:p w:rsidR="000428D6" w:rsidRDefault="00AD5F71" w:rsidP="000428D6">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0353" w:history="1">
            <w:r w:rsidR="000428D6">
              <w:rPr>
                <w:rFonts w:ascii="黑体" w:eastAsia="黑体" w:hAnsi="黑体" w:cs="黑体" w:hint="eastAsia"/>
                <w:noProof/>
                <w:sz w:val="24"/>
              </w:rPr>
              <w:t>三、机构设置情况</w:t>
            </w:r>
            <w:r w:rsidR="000428D6">
              <w:rPr>
                <w:rFonts w:ascii="黑体" w:eastAsia="黑体" w:hAnsi="黑体" w:cs="黑体" w:hint="eastAsia"/>
                <w:noProof/>
                <w:sz w:val="24"/>
              </w:rPr>
              <w:tab/>
              <w:t>7</w:t>
            </w:r>
          </w:hyperlink>
        </w:p>
        <w:p w:rsidR="000428D6" w:rsidRDefault="00AD5F71">
          <w:pPr>
            <w:pStyle w:val="10"/>
            <w:tabs>
              <w:tab w:val="clear" w:pos="8296"/>
              <w:tab w:val="right" w:leader="dot" w:pos="8306"/>
            </w:tabs>
            <w:spacing w:before="0" w:line="300" w:lineRule="exact"/>
            <w:ind w:firstLineChars="200" w:firstLine="560"/>
            <w:jc w:val="both"/>
            <w:rPr>
              <w:rFonts w:ascii="黑体" w:eastAsia="黑体" w:hAnsi="黑体" w:cs="黑体"/>
              <w:noProof/>
              <w:sz w:val="24"/>
              <w:szCs w:val="24"/>
            </w:rPr>
          </w:pPr>
          <w:hyperlink w:anchor="_Toc19803" w:history="1">
            <w:r w:rsidR="000428D6">
              <w:rPr>
                <w:rFonts w:ascii="黑体" w:eastAsia="黑体" w:hAnsi="黑体" w:cs="黑体" w:hint="eastAsia"/>
                <w:noProof/>
                <w:sz w:val="24"/>
                <w:szCs w:val="24"/>
              </w:rPr>
              <w:t>第二部分 2020年度</w:t>
            </w:r>
            <w:r w:rsidR="000428D6">
              <w:rPr>
                <w:rFonts w:ascii="黑体" w:eastAsia="黑体" w:hAnsi="黑体" w:cs="黑体" w:hint="eastAsia"/>
                <w:bCs/>
                <w:noProof/>
                <w:sz w:val="24"/>
                <w:szCs w:val="24"/>
              </w:rPr>
              <w:t>单位决算情况说明</w:t>
            </w:r>
            <w:r w:rsidR="000428D6">
              <w:rPr>
                <w:rFonts w:ascii="黑体" w:eastAsia="黑体" w:hAnsi="黑体" w:cs="黑体" w:hint="eastAsia"/>
                <w:noProof/>
                <w:sz w:val="24"/>
                <w:szCs w:val="24"/>
              </w:rPr>
              <w:tab/>
              <w:t>8</w:t>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58" w:history="1">
            <w:r w:rsidR="000428D6">
              <w:rPr>
                <w:rFonts w:ascii="黑体" w:eastAsia="黑体" w:hAnsi="黑体" w:cs="黑体" w:hint="eastAsia"/>
                <w:noProof/>
                <w:sz w:val="24"/>
              </w:rPr>
              <w:t>一、收入支出决算总体情况说明</w:t>
            </w:r>
            <w:r w:rsidR="000428D6">
              <w:rPr>
                <w:rFonts w:ascii="黑体" w:eastAsia="黑体" w:hAnsi="黑体" w:cs="黑体" w:hint="eastAsia"/>
                <w:noProof/>
                <w:sz w:val="24"/>
              </w:rPr>
              <w:tab/>
              <w:t>8</w:t>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2789" w:history="1">
            <w:r w:rsidR="000428D6">
              <w:rPr>
                <w:rFonts w:ascii="黑体" w:eastAsia="黑体" w:hAnsi="黑体" w:cs="黑体" w:hint="eastAsia"/>
                <w:noProof/>
                <w:sz w:val="24"/>
              </w:rPr>
              <w:t>二、收入决算情况说明</w:t>
            </w:r>
            <w:r w:rsidR="000428D6">
              <w:rPr>
                <w:rFonts w:ascii="黑体" w:eastAsia="黑体" w:hAnsi="黑体" w:cs="黑体" w:hint="eastAsia"/>
                <w:noProof/>
                <w:sz w:val="24"/>
              </w:rPr>
              <w:tab/>
              <w:t>8</w:t>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2112" w:history="1">
            <w:r w:rsidR="000428D6">
              <w:rPr>
                <w:rFonts w:ascii="黑体" w:eastAsia="黑体" w:hAnsi="黑体" w:cs="黑体" w:hint="eastAsia"/>
                <w:noProof/>
                <w:sz w:val="24"/>
              </w:rPr>
              <w:t>三、支出决算情况说明</w:t>
            </w:r>
            <w:r w:rsidR="000428D6">
              <w:rPr>
                <w:rFonts w:ascii="黑体" w:eastAsia="黑体" w:hAnsi="黑体" w:cs="黑体" w:hint="eastAsia"/>
                <w:noProof/>
                <w:sz w:val="24"/>
              </w:rPr>
              <w:tab/>
              <w:t>9</w:t>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9511" w:history="1">
            <w:r w:rsidR="000428D6">
              <w:rPr>
                <w:rFonts w:ascii="黑体" w:eastAsia="黑体" w:hAnsi="黑体" w:cs="黑体" w:hint="eastAsia"/>
                <w:noProof/>
                <w:sz w:val="24"/>
              </w:rPr>
              <w:t>四、财政拨款收入支出决算总体情况说明</w:t>
            </w:r>
            <w:r w:rsidR="000428D6">
              <w:rPr>
                <w:rFonts w:ascii="黑体" w:eastAsia="黑体" w:hAnsi="黑体" w:cs="黑体" w:hint="eastAsia"/>
                <w:noProof/>
                <w:sz w:val="24"/>
              </w:rPr>
              <w:tab/>
              <w:t>9</w:t>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6428" w:history="1">
            <w:r w:rsidR="000428D6">
              <w:rPr>
                <w:rFonts w:ascii="黑体" w:eastAsia="黑体" w:hAnsi="黑体" w:cs="黑体" w:hint="eastAsia"/>
                <w:noProof/>
                <w:sz w:val="24"/>
              </w:rPr>
              <w:t>五、一般公共预算财政拨款支出决算情况说明</w:t>
            </w:r>
            <w:r w:rsidR="000428D6">
              <w:rPr>
                <w:rFonts w:ascii="黑体" w:eastAsia="黑体" w:hAnsi="黑体" w:cs="黑体" w:hint="eastAsia"/>
                <w:noProof/>
                <w:sz w:val="24"/>
              </w:rPr>
              <w:tab/>
              <w:t>1</w:t>
            </w:r>
          </w:hyperlink>
          <w:r w:rsidR="000428D6">
            <w:rPr>
              <w:rFonts w:ascii="黑体" w:eastAsia="黑体" w:hAnsi="黑体" w:cs="黑体" w:hint="eastAsia"/>
              <w:noProof/>
              <w:sz w:val="24"/>
            </w:rPr>
            <w:t>0</w:t>
          </w:r>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16310" w:history="1">
            <w:r w:rsidR="000428D6">
              <w:rPr>
                <w:rFonts w:ascii="黑体" w:eastAsia="黑体" w:hAnsi="黑体" w:cs="黑体" w:hint="eastAsia"/>
                <w:noProof/>
                <w:sz w:val="24"/>
              </w:rPr>
              <w:t>六、一般公共预算财政拨款基本支出决算情况说明</w:t>
            </w:r>
            <w:r w:rsidR="000428D6">
              <w:rPr>
                <w:rFonts w:ascii="黑体" w:eastAsia="黑体" w:hAnsi="黑体" w:cs="黑体" w:hint="eastAsia"/>
                <w:noProof/>
                <w:sz w:val="24"/>
              </w:rPr>
              <w:tab/>
              <w:t>1</w:t>
            </w:r>
          </w:hyperlink>
          <w:r w:rsidR="000428D6">
            <w:rPr>
              <w:rFonts w:ascii="黑体" w:eastAsia="黑体" w:hAnsi="黑体" w:cs="黑体" w:hint="eastAsia"/>
              <w:noProof/>
              <w:sz w:val="24"/>
            </w:rPr>
            <w:t>2</w:t>
          </w:r>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6796" w:history="1">
            <w:r w:rsidR="000428D6">
              <w:rPr>
                <w:rFonts w:ascii="黑体" w:eastAsia="黑体" w:hAnsi="黑体" w:cs="黑体" w:hint="eastAsia"/>
                <w:noProof/>
                <w:sz w:val="24"/>
              </w:rPr>
              <w:t>七、“三公”经费财政拨款支出决算情况说明</w:t>
            </w:r>
            <w:r w:rsidR="000428D6">
              <w:rPr>
                <w:rFonts w:ascii="黑体" w:eastAsia="黑体" w:hAnsi="黑体" w:cs="黑体" w:hint="eastAsia"/>
                <w:noProof/>
                <w:sz w:val="24"/>
              </w:rPr>
              <w:tab/>
              <w:t>1</w:t>
            </w:r>
          </w:hyperlink>
          <w:r w:rsidR="000428D6">
            <w:rPr>
              <w:rFonts w:ascii="黑体" w:eastAsia="黑体" w:hAnsi="黑体" w:cs="黑体" w:hint="eastAsia"/>
              <w:noProof/>
              <w:sz w:val="24"/>
            </w:rPr>
            <w:t>3</w:t>
          </w:r>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6475" w:history="1">
            <w:r w:rsidR="000428D6">
              <w:rPr>
                <w:rFonts w:ascii="黑体" w:eastAsia="黑体" w:hAnsi="黑体" w:cs="黑体" w:hint="eastAsia"/>
                <w:noProof/>
                <w:sz w:val="24"/>
              </w:rPr>
              <w:t>八、政府性基金预算支出决算情况说明</w:t>
            </w:r>
            <w:r w:rsidR="000428D6">
              <w:rPr>
                <w:rFonts w:ascii="黑体" w:eastAsia="黑体" w:hAnsi="黑体" w:cs="黑体" w:hint="eastAsia"/>
                <w:noProof/>
                <w:sz w:val="24"/>
              </w:rPr>
              <w:tab/>
              <w:t>1</w:t>
            </w:r>
          </w:hyperlink>
          <w:r w:rsidR="000428D6">
            <w:rPr>
              <w:rFonts w:ascii="黑体" w:eastAsia="黑体" w:hAnsi="黑体" w:cs="黑体" w:hint="eastAsia"/>
              <w:noProof/>
              <w:sz w:val="24"/>
            </w:rPr>
            <w:t>5</w:t>
          </w:r>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15802" w:history="1">
            <w:r w:rsidR="000428D6">
              <w:rPr>
                <w:rFonts w:ascii="黑体" w:eastAsia="黑体" w:hAnsi="黑体" w:cs="黑体" w:hint="eastAsia"/>
                <w:noProof/>
                <w:sz w:val="24"/>
              </w:rPr>
              <w:t>九、国有资本经营预算支出决算情况说明</w:t>
            </w:r>
            <w:r w:rsidR="000428D6">
              <w:rPr>
                <w:rFonts w:ascii="黑体" w:eastAsia="黑体" w:hAnsi="黑体" w:cs="黑体" w:hint="eastAsia"/>
                <w:noProof/>
                <w:sz w:val="24"/>
              </w:rPr>
              <w:tab/>
              <w:t>1</w:t>
            </w:r>
          </w:hyperlink>
          <w:r w:rsidR="000428D6">
            <w:rPr>
              <w:rFonts w:ascii="黑体" w:eastAsia="黑体" w:hAnsi="黑体" w:cs="黑体" w:hint="eastAsia"/>
              <w:noProof/>
              <w:sz w:val="24"/>
            </w:rPr>
            <w:t>5</w:t>
          </w:r>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17174" w:history="1">
            <w:r w:rsidR="000428D6">
              <w:rPr>
                <w:rFonts w:ascii="黑体" w:eastAsia="黑体" w:hAnsi="黑体" w:cs="黑体" w:hint="eastAsia"/>
                <w:noProof/>
                <w:sz w:val="24"/>
              </w:rPr>
              <w:t>十、其他重要事项的情况说明</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_Toc17174 </w:instrText>
            </w:r>
            <w:r>
              <w:rPr>
                <w:rFonts w:ascii="黑体" w:eastAsia="黑体" w:hAnsi="黑体" w:cs="黑体" w:hint="eastAsia"/>
                <w:noProof/>
                <w:sz w:val="24"/>
              </w:rPr>
              <w:fldChar w:fldCharType="separate"/>
            </w:r>
            <w:r w:rsidR="000428D6">
              <w:rPr>
                <w:rFonts w:ascii="黑体" w:eastAsia="黑体" w:hAnsi="黑体" w:cs="黑体"/>
                <w:noProof/>
                <w:sz w:val="24"/>
              </w:rPr>
              <w:t>15</w:t>
            </w:r>
            <w:r>
              <w:rPr>
                <w:rFonts w:ascii="黑体" w:eastAsia="黑体" w:hAnsi="黑体" w:cs="黑体" w:hint="eastAsia"/>
                <w:noProof/>
                <w:sz w:val="24"/>
              </w:rPr>
              <w:fldChar w:fldCharType="end"/>
            </w:r>
          </w:hyperlink>
        </w:p>
        <w:p w:rsidR="000428D6" w:rsidRDefault="00AD5F71">
          <w:pPr>
            <w:pStyle w:val="10"/>
            <w:tabs>
              <w:tab w:val="clear" w:pos="8296"/>
              <w:tab w:val="right" w:leader="dot" w:pos="8306"/>
            </w:tabs>
            <w:spacing w:before="0" w:line="300" w:lineRule="exact"/>
            <w:ind w:firstLineChars="200" w:firstLine="560"/>
            <w:jc w:val="both"/>
            <w:rPr>
              <w:rFonts w:ascii="黑体" w:eastAsia="黑体" w:hAnsi="黑体" w:cs="黑体"/>
              <w:noProof/>
              <w:sz w:val="24"/>
              <w:szCs w:val="24"/>
            </w:rPr>
          </w:pPr>
          <w:hyperlink w:anchor="_Toc7419" w:history="1">
            <w:r w:rsidR="000428D6">
              <w:rPr>
                <w:rFonts w:ascii="黑体" w:eastAsia="黑体" w:hAnsi="黑体" w:cs="黑体" w:hint="eastAsia"/>
                <w:noProof/>
                <w:sz w:val="24"/>
                <w:szCs w:val="24"/>
              </w:rPr>
              <w:t>第三部分 名词解释</w:t>
            </w:r>
            <w:r w:rsidR="000428D6">
              <w:rPr>
                <w:rFonts w:ascii="黑体" w:eastAsia="黑体" w:hAnsi="黑体" w:cs="黑体" w:hint="eastAsia"/>
                <w:noProof/>
                <w:sz w:val="24"/>
                <w:szCs w:val="24"/>
              </w:rPr>
              <w:tab/>
            </w:r>
            <w:r>
              <w:rPr>
                <w:rFonts w:ascii="黑体" w:eastAsia="黑体" w:hAnsi="黑体" w:cs="黑体" w:hint="eastAsia"/>
                <w:noProof/>
                <w:sz w:val="24"/>
                <w:szCs w:val="24"/>
              </w:rPr>
              <w:fldChar w:fldCharType="begin"/>
            </w:r>
            <w:r w:rsidR="000428D6">
              <w:rPr>
                <w:rFonts w:ascii="黑体" w:eastAsia="黑体" w:hAnsi="黑体" w:cs="黑体" w:hint="eastAsia"/>
                <w:noProof/>
                <w:sz w:val="24"/>
                <w:szCs w:val="24"/>
              </w:rPr>
              <w:instrText xml:space="preserve"> PAGEREF _Toc7419 </w:instrText>
            </w:r>
            <w:r>
              <w:rPr>
                <w:rFonts w:ascii="黑体" w:eastAsia="黑体" w:hAnsi="黑体" w:cs="黑体" w:hint="eastAsia"/>
                <w:noProof/>
                <w:sz w:val="24"/>
                <w:szCs w:val="24"/>
              </w:rPr>
              <w:fldChar w:fldCharType="separate"/>
            </w:r>
            <w:r w:rsidR="000428D6">
              <w:rPr>
                <w:rFonts w:ascii="黑体" w:eastAsia="黑体" w:hAnsi="黑体" w:cs="黑体"/>
                <w:noProof/>
                <w:sz w:val="24"/>
                <w:szCs w:val="24"/>
              </w:rPr>
              <w:t>23</w:t>
            </w:r>
            <w:r>
              <w:rPr>
                <w:rFonts w:ascii="黑体" w:eastAsia="黑体" w:hAnsi="黑体" w:cs="黑体" w:hint="eastAsia"/>
                <w:noProof/>
                <w:sz w:val="24"/>
                <w:szCs w:val="24"/>
              </w:rPr>
              <w:fldChar w:fldCharType="end"/>
            </w:r>
          </w:hyperlink>
        </w:p>
        <w:p w:rsidR="000428D6" w:rsidRDefault="00AD5F71">
          <w:pPr>
            <w:pStyle w:val="10"/>
            <w:tabs>
              <w:tab w:val="clear" w:pos="8296"/>
              <w:tab w:val="right" w:leader="dot" w:pos="8306"/>
            </w:tabs>
            <w:spacing w:before="0" w:line="300" w:lineRule="exact"/>
            <w:ind w:firstLineChars="200" w:firstLine="560"/>
            <w:jc w:val="both"/>
            <w:rPr>
              <w:rFonts w:ascii="黑体" w:eastAsia="黑体" w:hAnsi="黑体" w:cs="黑体"/>
              <w:noProof/>
              <w:sz w:val="24"/>
              <w:szCs w:val="24"/>
            </w:rPr>
          </w:pPr>
          <w:hyperlink w:anchor="_Toc19344" w:history="1">
            <w:r w:rsidR="000428D6">
              <w:rPr>
                <w:rFonts w:ascii="黑体" w:eastAsia="黑体" w:hAnsi="黑体" w:cs="黑体" w:hint="eastAsia"/>
                <w:noProof/>
                <w:sz w:val="24"/>
                <w:szCs w:val="24"/>
              </w:rPr>
              <w:t>第四部分 附件</w:t>
            </w:r>
            <w:r w:rsidR="000428D6">
              <w:rPr>
                <w:rFonts w:ascii="黑体" w:eastAsia="黑体" w:hAnsi="黑体" w:cs="黑体" w:hint="eastAsia"/>
                <w:noProof/>
                <w:sz w:val="24"/>
                <w:szCs w:val="24"/>
              </w:rPr>
              <w:tab/>
            </w:r>
            <w:r>
              <w:rPr>
                <w:rFonts w:ascii="黑体" w:eastAsia="黑体" w:hAnsi="黑体" w:cs="黑体" w:hint="eastAsia"/>
                <w:noProof/>
                <w:sz w:val="24"/>
                <w:szCs w:val="24"/>
              </w:rPr>
              <w:fldChar w:fldCharType="begin"/>
            </w:r>
            <w:r w:rsidR="000428D6">
              <w:rPr>
                <w:rFonts w:ascii="黑体" w:eastAsia="黑体" w:hAnsi="黑体" w:cs="黑体" w:hint="eastAsia"/>
                <w:noProof/>
                <w:sz w:val="24"/>
                <w:szCs w:val="24"/>
              </w:rPr>
              <w:instrText xml:space="preserve"> PAGEREF _Toc19344 </w:instrText>
            </w:r>
            <w:r>
              <w:rPr>
                <w:rFonts w:ascii="黑体" w:eastAsia="黑体" w:hAnsi="黑体" w:cs="黑体" w:hint="eastAsia"/>
                <w:noProof/>
                <w:sz w:val="24"/>
                <w:szCs w:val="24"/>
              </w:rPr>
              <w:fldChar w:fldCharType="separate"/>
            </w:r>
            <w:r w:rsidR="000428D6">
              <w:rPr>
                <w:rFonts w:ascii="黑体" w:eastAsia="黑体" w:hAnsi="黑体" w:cs="黑体"/>
                <w:noProof/>
                <w:sz w:val="24"/>
                <w:szCs w:val="24"/>
              </w:rPr>
              <w:t>26</w:t>
            </w:r>
            <w:r>
              <w:rPr>
                <w:rFonts w:ascii="黑体" w:eastAsia="黑体" w:hAnsi="黑体" w:cs="黑体" w:hint="eastAsia"/>
                <w:noProof/>
                <w:sz w:val="24"/>
                <w:szCs w:val="24"/>
              </w:rPr>
              <w:fldChar w:fldCharType="end"/>
            </w:r>
          </w:hyperlink>
        </w:p>
        <w:p w:rsidR="000428D6" w:rsidRDefault="00AD5F71">
          <w:pPr>
            <w:pStyle w:val="10"/>
            <w:tabs>
              <w:tab w:val="clear" w:pos="8296"/>
              <w:tab w:val="right" w:leader="dot" w:pos="8306"/>
            </w:tabs>
            <w:spacing w:before="0" w:line="300" w:lineRule="exact"/>
            <w:ind w:firstLineChars="200" w:firstLine="560"/>
            <w:jc w:val="both"/>
            <w:rPr>
              <w:rFonts w:ascii="黑体" w:eastAsia="黑体" w:hAnsi="黑体" w:cs="黑体"/>
              <w:noProof/>
              <w:sz w:val="24"/>
              <w:szCs w:val="24"/>
            </w:rPr>
          </w:pPr>
          <w:hyperlink w:anchor="_Toc23666" w:history="1">
            <w:r w:rsidR="000428D6">
              <w:rPr>
                <w:rFonts w:ascii="黑体" w:eastAsia="黑体" w:hAnsi="黑体" w:cs="黑体" w:hint="eastAsia"/>
                <w:noProof/>
                <w:kern w:val="0"/>
                <w:sz w:val="24"/>
                <w:szCs w:val="24"/>
              </w:rPr>
              <w:t>第</w:t>
            </w:r>
            <w:r w:rsidR="000428D6">
              <w:rPr>
                <w:rFonts w:ascii="黑体" w:eastAsia="黑体" w:hAnsi="黑体" w:cs="黑体" w:hint="eastAsia"/>
                <w:bCs/>
                <w:noProof/>
                <w:kern w:val="0"/>
                <w:sz w:val="24"/>
                <w:szCs w:val="24"/>
              </w:rPr>
              <w:t>五部分 附表</w:t>
            </w:r>
            <w:r w:rsidR="000428D6">
              <w:rPr>
                <w:rFonts w:ascii="黑体" w:eastAsia="黑体" w:hAnsi="黑体" w:cs="黑体" w:hint="eastAsia"/>
                <w:noProof/>
                <w:sz w:val="24"/>
                <w:szCs w:val="24"/>
              </w:rPr>
              <w:tab/>
            </w:r>
            <w:r>
              <w:rPr>
                <w:rFonts w:ascii="黑体" w:eastAsia="黑体" w:hAnsi="黑体" w:cs="黑体" w:hint="eastAsia"/>
                <w:noProof/>
                <w:sz w:val="24"/>
                <w:szCs w:val="24"/>
              </w:rPr>
              <w:fldChar w:fldCharType="begin"/>
            </w:r>
            <w:r w:rsidR="000428D6">
              <w:rPr>
                <w:rFonts w:ascii="黑体" w:eastAsia="黑体" w:hAnsi="黑体" w:cs="黑体" w:hint="eastAsia"/>
                <w:noProof/>
                <w:sz w:val="24"/>
                <w:szCs w:val="24"/>
              </w:rPr>
              <w:instrText xml:space="preserve"> PAGEREF _Toc23666 </w:instrText>
            </w:r>
            <w:r>
              <w:rPr>
                <w:rFonts w:ascii="黑体" w:eastAsia="黑体" w:hAnsi="黑体" w:cs="黑体" w:hint="eastAsia"/>
                <w:noProof/>
                <w:sz w:val="24"/>
                <w:szCs w:val="24"/>
              </w:rPr>
              <w:fldChar w:fldCharType="separate"/>
            </w:r>
            <w:r w:rsidR="000428D6">
              <w:rPr>
                <w:rFonts w:ascii="黑体" w:eastAsia="黑体" w:hAnsi="黑体" w:cs="黑体"/>
                <w:noProof/>
                <w:sz w:val="24"/>
                <w:szCs w:val="24"/>
              </w:rPr>
              <w:t>35</w:t>
            </w:r>
            <w:r>
              <w:rPr>
                <w:rFonts w:ascii="黑体" w:eastAsia="黑体" w:hAnsi="黑体" w:cs="黑体" w:hint="eastAsia"/>
                <w:noProof/>
                <w:sz w:val="24"/>
                <w:szCs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8094" w:history="1">
            <w:r w:rsidR="000428D6">
              <w:rPr>
                <w:rFonts w:ascii="黑体" w:eastAsia="黑体" w:hAnsi="黑体" w:cs="黑体" w:hint="eastAsia"/>
                <w:noProof/>
                <w:sz w:val="24"/>
              </w:rPr>
              <w:t>一、收入支出决算总表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_Toc8094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0881" w:history="1">
            <w:r w:rsidR="000428D6">
              <w:rPr>
                <w:rFonts w:ascii="黑体" w:eastAsia="黑体" w:hAnsi="黑体" w:cs="黑体" w:hint="eastAsia"/>
                <w:noProof/>
                <w:sz w:val="24"/>
              </w:rPr>
              <w:t>二、收入决算表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_Toc20881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9311" w:history="1">
            <w:r w:rsidR="000428D6">
              <w:rPr>
                <w:rFonts w:ascii="黑体" w:eastAsia="黑体" w:hAnsi="黑体" w:cs="黑体" w:hint="eastAsia"/>
                <w:noProof/>
                <w:sz w:val="24"/>
              </w:rPr>
              <w:t>三、支出决算表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_Toc29311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12243" w:history="1">
            <w:r w:rsidR="000428D6">
              <w:rPr>
                <w:rFonts w:ascii="黑体" w:eastAsia="黑体" w:hAnsi="黑体" w:cs="黑体" w:hint="eastAsia"/>
                <w:noProof/>
                <w:sz w:val="24"/>
              </w:rPr>
              <w:t>四、财政拨款收入支出决算总表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_Toc12243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608" w:history="1">
            <w:r w:rsidR="000428D6">
              <w:rPr>
                <w:rFonts w:ascii="黑体" w:eastAsia="黑体" w:hAnsi="黑体" w:cs="黑体" w:hint="eastAsia"/>
                <w:noProof/>
                <w:sz w:val="24"/>
              </w:rPr>
              <w:t>五、财政拨款支出决算明细表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_Toc2608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11260" w:history="1">
            <w:r w:rsidR="000428D6">
              <w:rPr>
                <w:rFonts w:ascii="黑体" w:eastAsia="黑体" w:hAnsi="黑体" w:cs="黑体" w:hint="eastAsia"/>
                <w:noProof/>
                <w:sz w:val="24"/>
              </w:rPr>
              <w:t>六、一般公共预算财政拨款支出决算表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_Toc11260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15388" w:history="1">
            <w:r w:rsidR="000428D6">
              <w:rPr>
                <w:rFonts w:ascii="黑体" w:eastAsia="黑体" w:hAnsi="黑体" w:cs="黑体" w:hint="eastAsia"/>
                <w:noProof/>
                <w:sz w:val="24"/>
              </w:rPr>
              <w:t>七、一般公共预算财政拨款支出决算明细表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_Toc15388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1156" w:history="1">
            <w:r w:rsidR="000428D6">
              <w:rPr>
                <w:rFonts w:ascii="黑体" w:eastAsia="黑体" w:hAnsi="黑体" w:cs="黑体" w:hint="eastAsia"/>
                <w:noProof/>
                <w:sz w:val="24"/>
              </w:rPr>
              <w:t>八、一般公共预算财政拨款基本支出决算表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_Toc21156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1030" w:history="1">
            <w:r w:rsidR="000428D6">
              <w:rPr>
                <w:rFonts w:ascii="黑体" w:eastAsia="黑体" w:hAnsi="黑体" w:cs="黑体" w:hint="eastAsia"/>
                <w:noProof/>
                <w:sz w:val="24"/>
              </w:rPr>
              <w:t>九、一般公共预算财政拨款项目支出决算表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_Toc1030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9661" w:history="1">
            <w:r w:rsidR="000428D6">
              <w:rPr>
                <w:rFonts w:ascii="黑体" w:eastAsia="黑体" w:hAnsi="黑体" w:cs="黑体" w:hint="eastAsia"/>
                <w:noProof/>
                <w:sz w:val="24"/>
              </w:rPr>
              <w:t>十、一般公共预算财政拨款“三公”经费支出决算表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_Toc29661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12181" w:history="1">
            <w:r w:rsidR="000428D6">
              <w:rPr>
                <w:rFonts w:ascii="黑体" w:eastAsia="黑体" w:hAnsi="黑体" w:cs="黑体" w:hint="eastAsia"/>
                <w:noProof/>
                <w:sz w:val="24"/>
              </w:rPr>
              <w:t>十一、政府性基金预算财政拨款收入支出决算表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_Toc12181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21800" w:history="1">
            <w:r w:rsidR="000428D6">
              <w:rPr>
                <w:rFonts w:ascii="黑体" w:eastAsia="黑体" w:hAnsi="黑体" w:cs="黑体" w:hint="eastAsia"/>
                <w:noProof/>
                <w:sz w:val="24"/>
              </w:rPr>
              <w:t>十二、政府性基金预算财政拨款“三公”经费支出决算表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_Toc21800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10985" w:history="1">
            <w:r w:rsidR="000428D6">
              <w:rPr>
                <w:rFonts w:ascii="黑体" w:eastAsia="黑体" w:hAnsi="黑体" w:cs="黑体" w:hint="eastAsia"/>
                <w:noProof/>
                <w:sz w:val="24"/>
              </w:rPr>
              <w:t>十三、国有资本经营预算财政拨款收入支出决算表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_Toc10985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0428D6" w:rsidRDefault="00AD5F71">
          <w:pPr>
            <w:pStyle w:val="20"/>
            <w:tabs>
              <w:tab w:val="clear" w:pos="8296"/>
              <w:tab w:val="right" w:leader="dot" w:pos="8306"/>
            </w:tabs>
            <w:spacing w:line="300" w:lineRule="exact"/>
            <w:ind w:leftChars="0" w:left="0" w:firstLineChars="200" w:firstLine="420"/>
            <w:rPr>
              <w:rFonts w:ascii="黑体" w:eastAsia="黑体" w:hAnsi="黑体" w:cs="黑体"/>
              <w:noProof/>
              <w:sz w:val="24"/>
            </w:rPr>
          </w:pPr>
          <w:hyperlink w:anchor="_Toc9256" w:history="1">
            <w:r w:rsidR="000428D6">
              <w:rPr>
                <w:rFonts w:ascii="黑体" w:eastAsia="黑体" w:hAnsi="黑体" w:cs="黑体" w:hint="eastAsia"/>
                <w:noProof/>
                <w:sz w:val="24"/>
              </w:rPr>
              <w:t>十四、国有资本经营预算财政拨款支出决算表</w:t>
            </w:r>
            <w:r w:rsidR="000428D6">
              <w:rPr>
                <w:rFonts w:ascii="黑体" w:eastAsia="黑体" w:hAnsi="黑体" w:cs="黑体" w:hint="eastAsia"/>
                <w:noProof/>
                <w:sz w:val="24"/>
              </w:rPr>
              <w:tab/>
            </w:r>
            <w:r>
              <w:rPr>
                <w:rFonts w:ascii="黑体" w:eastAsia="黑体" w:hAnsi="黑体" w:cs="黑体" w:hint="eastAsia"/>
                <w:noProof/>
                <w:sz w:val="24"/>
              </w:rPr>
              <w:fldChar w:fldCharType="begin"/>
            </w:r>
            <w:r w:rsidR="000428D6">
              <w:rPr>
                <w:rFonts w:ascii="黑体" w:eastAsia="黑体" w:hAnsi="黑体" w:cs="黑体" w:hint="eastAsia"/>
                <w:noProof/>
                <w:sz w:val="24"/>
              </w:rPr>
              <w:instrText xml:space="preserve"> PAGEREF _Toc9256 </w:instrText>
            </w:r>
            <w:r>
              <w:rPr>
                <w:rFonts w:ascii="黑体" w:eastAsia="黑体" w:hAnsi="黑体" w:cs="黑体" w:hint="eastAsia"/>
                <w:noProof/>
                <w:sz w:val="24"/>
              </w:rPr>
              <w:fldChar w:fldCharType="separate"/>
            </w:r>
            <w:r w:rsidR="000428D6">
              <w:rPr>
                <w:rFonts w:ascii="黑体" w:eastAsia="黑体" w:hAnsi="黑体" w:cs="黑体"/>
                <w:noProof/>
                <w:sz w:val="24"/>
              </w:rPr>
              <w:t>35</w:t>
            </w:r>
            <w:r>
              <w:rPr>
                <w:rFonts w:ascii="黑体" w:eastAsia="黑体" w:hAnsi="黑体" w:cs="黑体" w:hint="eastAsia"/>
                <w:noProof/>
                <w:sz w:val="24"/>
              </w:rPr>
              <w:fldChar w:fldCharType="end"/>
            </w:r>
          </w:hyperlink>
        </w:p>
        <w:p w:rsidR="005F59E8" w:rsidRDefault="00AD5F71">
          <w:pPr>
            <w:rPr>
              <w:rFonts w:ascii="黑体" w:eastAsia="黑体" w:hAnsi="黑体" w:cs="黑体"/>
              <w:sz w:val="24"/>
            </w:rPr>
          </w:pPr>
          <w:r>
            <w:rPr>
              <w:rFonts w:ascii="黑体" w:eastAsia="黑体" w:hAnsi="黑体" w:cs="黑体" w:hint="eastAsia"/>
              <w:color w:val="FF0000"/>
              <w:sz w:val="24"/>
            </w:rPr>
            <w:fldChar w:fldCharType="end"/>
          </w:r>
        </w:p>
      </w:sdtContent>
    </w:sdt>
    <w:p w:rsidR="005F59E8" w:rsidRDefault="005F59E8">
      <w:pPr>
        <w:rPr>
          <w:rFonts w:ascii="黑体" w:eastAsia="黑体" w:hAnsi="黑体"/>
        </w:rPr>
      </w:pPr>
      <w:bookmarkStart w:id="12" w:name="_Toc6695"/>
      <w:bookmarkStart w:id="13" w:name="_Toc15377204"/>
      <w:bookmarkStart w:id="14" w:name="_Toc15396602"/>
    </w:p>
    <w:p w:rsidR="005F59E8" w:rsidRDefault="005F59E8">
      <w:pPr>
        <w:rPr>
          <w:rFonts w:ascii="黑体" w:eastAsia="黑体" w:hAnsi="黑体"/>
        </w:rPr>
      </w:pPr>
    </w:p>
    <w:p w:rsidR="005F59E8" w:rsidRDefault="005F59E8">
      <w:pPr>
        <w:rPr>
          <w:rFonts w:ascii="黑体" w:eastAsia="黑体" w:hAnsi="黑体"/>
        </w:rPr>
      </w:pPr>
    </w:p>
    <w:p w:rsidR="005F59E8" w:rsidRDefault="005F59E8">
      <w:pPr>
        <w:rPr>
          <w:rFonts w:ascii="黑体" w:eastAsia="黑体" w:hAnsi="黑体"/>
        </w:rPr>
      </w:pPr>
    </w:p>
    <w:p w:rsidR="005F59E8" w:rsidRDefault="005F59E8">
      <w:pPr>
        <w:rPr>
          <w:rFonts w:ascii="黑体" w:eastAsia="黑体" w:hAnsi="黑体"/>
        </w:rPr>
      </w:pPr>
    </w:p>
    <w:p w:rsidR="005F59E8" w:rsidRDefault="005F59E8">
      <w:pPr>
        <w:rPr>
          <w:rFonts w:ascii="黑体" w:eastAsia="黑体" w:hAnsi="黑体" w:cs="黑体"/>
          <w:sz w:val="32"/>
          <w:szCs w:val="32"/>
        </w:rPr>
        <w:sectPr w:rsidR="005F59E8">
          <w:headerReference w:type="default" r:id="rId8"/>
          <w:pgSz w:w="11906" w:h="16838"/>
          <w:pgMar w:top="1440" w:right="1800" w:bottom="1440" w:left="1800" w:header="851" w:footer="992" w:gutter="0"/>
          <w:pgNumType w:start="1"/>
          <w:cols w:space="425"/>
          <w:titlePg/>
          <w:docGrid w:type="lines" w:linePitch="312"/>
        </w:sectPr>
      </w:pPr>
    </w:p>
    <w:p w:rsidR="005F59E8" w:rsidRDefault="00B958CE">
      <w:pPr>
        <w:jc w:val="center"/>
        <w:rPr>
          <w:rFonts w:ascii="黑体" w:eastAsia="黑体" w:hAnsi="黑体" w:cs="黑体"/>
          <w:sz w:val="32"/>
          <w:szCs w:val="32"/>
        </w:rPr>
      </w:pPr>
      <w:r>
        <w:rPr>
          <w:rFonts w:ascii="黑体" w:eastAsia="黑体" w:hAnsi="黑体" w:cs="黑体" w:hint="eastAsia"/>
          <w:sz w:val="32"/>
          <w:szCs w:val="32"/>
        </w:rPr>
        <w:lastRenderedPageBreak/>
        <w:t>第一部分 单位概况</w:t>
      </w:r>
      <w:bookmarkEnd w:id="12"/>
    </w:p>
    <w:p w:rsidR="005F59E8" w:rsidRDefault="005F59E8">
      <w:pPr>
        <w:spacing w:line="560" w:lineRule="exact"/>
        <w:ind w:firstLineChars="200" w:firstLine="640"/>
        <w:rPr>
          <w:rStyle w:val="2Char"/>
          <w:rFonts w:ascii="黑体" w:eastAsia="黑体" w:hAnsi="黑体" w:cs="黑体"/>
          <w:b w:val="0"/>
          <w:bCs w:val="0"/>
        </w:rPr>
      </w:pPr>
      <w:bookmarkStart w:id="15" w:name="_Toc24379"/>
    </w:p>
    <w:p w:rsidR="005F59E8" w:rsidRDefault="00B958CE">
      <w:pPr>
        <w:spacing w:line="560" w:lineRule="exact"/>
        <w:ind w:firstLineChars="200" w:firstLine="640"/>
        <w:rPr>
          <w:rStyle w:val="2Char"/>
          <w:rFonts w:ascii="黑体" w:eastAsia="黑体" w:hAnsi="黑体" w:cs="黑体"/>
          <w:b w:val="0"/>
          <w:bCs w:val="0"/>
        </w:rPr>
      </w:pPr>
      <w:r>
        <w:rPr>
          <w:rStyle w:val="2Char"/>
          <w:rFonts w:ascii="黑体" w:eastAsia="黑体" w:hAnsi="黑体" w:cs="黑体" w:hint="eastAsia"/>
          <w:b w:val="0"/>
          <w:bCs w:val="0"/>
        </w:rPr>
        <w:t>一、职能简介</w:t>
      </w:r>
      <w:bookmarkEnd w:id="15"/>
    </w:p>
    <w:p w:rsidR="005F59E8" w:rsidRDefault="00B958CE">
      <w:pPr>
        <w:widowControl/>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四川省商务学校是经四川省政府批准的全日制国家公办中等职业学校，隶属于四川省商务厅。1965年建校，至今已有56年的办学历史。学校在商务厅、教育厅等上级有关部门的正确领导下，始终坚持以党建为引领“围绕国家规划、弘扬时代精神、对接市场需求、遵循职教规律、聚焦立德树人、服务学生成长”的办学理念。全校教职工人心思进，干事创业、教书育人氛围浓厚，教学质量不断提高，就业升学满意度不断提升。目前，学校紧扣全省服务业大会精神，建立紧密对接我省产业链、创新链的专业体系，大力发展“4+6”现代服务业领域相关专业，以旅游服务类、信息经贸类2个大专业群为抓手，推动优势专业改革创新，为培养现代商务人才，为促进区域经济的发展作出了积极贡献。</w:t>
      </w:r>
    </w:p>
    <w:p w:rsidR="005F59E8" w:rsidRDefault="00B958CE">
      <w:pPr>
        <w:widowControl/>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学校占地面积近200亩，建筑面积近11万平方米，固定资产3.68亿元。主校区位于成都市郫都区安靖镇，占地面积170余亩；武侯校区位于成都市武侯祠横街，占地面积20余亩。现有教职工总数367人，在校3200多人，其中，</w:t>
      </w:r>
      <w:r>
        <w:rPr>
          <w:rFonts w:ascii="仿宋_GB2312" w:eastAsia="仿宋_GB2312" w:hAnsi="仿宋_GB2312" w:cs="仿宋_GB2312" w:hint="eastAsia"/>
          <w:bCs/>
          <w:sz w:val="32"/>
          <w:szCs w:val="32"/>
        </w:rPr>
        <w:t>彝区“9+3”450人，为成都市彝区“9+3”学生最多的学校。</w:t>
      </w:r>
    </w:p>
    <w:p w:rsidR="005F59E8" w:rsidRDefault="00B958CE">
      <w:pPr>
        <w:widowControl/>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学校是教育部批准为国家中等职业教育改革发展示范学校。是国家重点中等职业学校、首批省部级重点中专，教育部首批七所“全国烹饪示范专业学校”之一（西南片区唯一一所学校）、2020年4月省教育厅将中餐烹饪专业批准为省</w:t>
      </w:r>
      <w:r>
        <w:rPr>
          <w:rFonts w:ascii="仿宋_GB2312" w:eastAsia="仿宋_GB2312" w:hAnsi="仿宋_GB2312" w:cs="仿宋_GB2312" w:hint="eastAsia"/>
          <w:sz w:val="32"/>
          <w:szCs w:val="32"/>
        </w:rPr>
        <w:lastRenderedPageBreak/>
        <w:t>级示范（特色）专业。2015年被市人社厅批准为成都市高技能人才培训基地，年均培训量800人次以上，2019年被省人社厅批准为四川省高技能人才培训基地（建设期两年）。学校是人民大会堂、外交部、商务部、公安部、省政府驻京办等政府机关定点选聘川菜厨师和服务人员的学校。被誉为川菜教育的“黄埔军校”。</w:t>
      </w:r>
    </w:p>
    <w:p w:rsidR="005F59E8" w:rsidRDefault="00B958CE">
      <w:pPr>
        <w:spacing w:line="560" w:lineRule="exact"/>
        <w:ind w:firstLineChars="200" w:firstLine="640"/>
        <w:rPr>
          <w:rFonts w:ascii="黑体" w:eastAsia="黑体" w:hAnsi="黑体" w:cs="黑体"/>
          <w:sz w:val="32"/>
          <w:szCs w:val="32"/>
        </w:rPr>
      </w:pPr>
      <w:bookmarkStart w:id="16" w:name="_Toc20353"/>
      <w:r>
        <w:rPr>
          <w:rFonts w:ascii="黑体" w:eastAsia="黑体" w:hAnsi="黑体" w:cs="黑体" w:hint="eastAsia"/>
          <w:sz w:val="32"/>
          <w:szCs w:val="32"/>
        </w:rPr>
        <w:t>二、2020年重点工作完成情况</w:t>
      </w:r>
      <w:bookmarkEnd w:id="16"/>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2020年，学校班子精诚团结，履职尽责，有思路、有措施、有成效，扎实推动完成各项年度工作任务。</w:t>
      </w:r>
    </w:p>
    <w:p w:rsidR="005F59E8" w:rsidRDefault="00B958CE" w:rsidP="000428D6">
      <w:pPr>
        <w:suppressAutoHyphens/>
        <w:spacing w:line="560" w:lineRule="exact"/>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rPr>
        <w:t>（一）以党建为引领，发挥保障作用</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政治担当，领导班子团结奋进。一年来，学校领导班子坚持党的全面领导，发挥集体智慧，严格执行党委集体领导下的校长负责制，确保权力公开规范运行，提升科学决策能力、水平。由于班子团结，率先垂范，干部职工面貌有了很大变化，学校会风、作风、校风、教风、学风不断好转。</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重党建引领，发挥先锋模范作用。党委把党建工作与业务工作同谋划、同部署、同落实、同考评。以党建和思想政治工作带动学校各项工作不断提升，把党建工作目标任务落实到各支部。加强对学校共青团等群团组织和学生会组织建设的指导。深入基层党支部，抓点示范，指导基层党支部工作，进一步规范党支部工作。各党支部书记积极发挥表率作用，与支委一起做好思想政治工作和意识形态工作。新发展预备党员工作，安排了8名入党积极分子参加了省直机关党员培训班，3名预备党员按期转正。</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巩固脱贫成果，决胜脱贫攻坚。今年是脱贫攻坚战收官之年，时间紧任务重，又遭遇疫情影响，我校在巩固脱贫攻坚成果的基础上，全员参加扶贫工作。6名下派驻村干部继续战斗在一线，做好“以购代捐”，组织党员购买广元利州区、黑水县扶贫产品及捐款约3万元，援助广元市利州区白朝乡观音村改厕改厨资金21.6万元。</w:t>
      </w:r>
    </w:p>
    <w:p w:rsidR="005F59E8" w:rsidRDefault="00B958CE" w:rsidP="000428D6">
      <w:pPr>
        <w:suppressAutoHyphens/>
        <w:spacing w:line="560" w:lineRule="exact"/>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rPr>
        <w:t>（二）加强内部管理，坚持依法治校</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狠抓工作作风，强化干部管理及干部选拔任用工作。学校制定并实施《四川省商务学校作风建设九项规定》,加强对党员干部和教职工的政治引领、思想教育和师德师风教育，狠抓工作作风的转变，以工作纪律、工作状态、工作效率为重点，进一步强化对中层干部、支部书记和党员的监督管理，提高执行力和工作效率。严格按照规定选拔任用干部，完善了《四川省商务学校中层干部选拔任用工作办法》，规范选拔任用程序，加强中层干部管理，选拔和培养优秀青年作为后备干部队伍，不断优化队伍结构，加强梯队建设。</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依法治校，严格依法办事。扎实推进制度废改立，新制定或修订完善了《四川省商务学校“三重一大”管理制度》《四川省商务学校劳动纪律有关规定》等10多项等内部管理制度。按制度办事、用制度管事管权管人。修定完善了财务管理制度，严格财务预算管理，合理安排各项资金，充分发挥资金的使用效益。</w:t>
      </w:r>
    </w:p>
    <w:p w:rsidR="005F59E8" w:rsidRDefault="00B958CE" w:rsidP="000428D6">
      <w:pPr>
        <w:suppressAutoHyphens/>
        <w:spacing w:line="560" w:lineRule="exact"/>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rPr>
        <w:t>（三）围绕立德树人，提高学生管理水平</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夯实基础苦练内功，狠抓队伍建设。在狠抓作风建设工作的有力推动下，学生科继续进行班主任队伍、学生自治管理队伍和科室工作队伍的“三支队伍”建设工作，加强师生的思想教育，充分利用班主任工作例会，采取学生事务及时通报、警示教育经常灌输、“一事一议”“会前学法学政策”等措施，将师德师风建设、“五有”班主任打造、“六有学生”塑造培养、“五心五识”教育理念贯彻到学生管理工作的每一个环节中。学生主题班会、团日活动日趋多元，学生法制教育、心理健康教育作用显著增强。开展“科室督导值班制度”和班主任“周末视频查寝”等创新工作。</w:t>
      </w:r>
    </w:p>
    <w:p w:rsidR="005F59E8" w:rsidRDefault="00B958CE" w:rsidP="000428D6">
      <w:pPr>
        <w:suppressAutoHyphens/>
        <w:spacing w:line="560" w:lineRule="exact"/>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rPr>
        <w:t>（四）加强教学改革，人才培养质量持续提升</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拓展招生渠道，圆满完成招生任务。落实教职工划片承包招生宣传点。以成都、凉山、资阳、自贡、宜宾、攀枝花、巴中、彝区“9+3”部分县等地作为重点宣传地，继续参与云南昭通市四个区县近30所中学扶贫协作招生。继续与凉山民族师范学校合作“学前教育”专业，与四川水利职业技术学院和四川商务职业学院合作开设了5个五年制高职专业。在全校教职员工的共同努力下，比较圆满完成2020年招生任务。</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师德师风建设，提高业务能力。加强政治理论和职业教育相关文件精神的学习，为教师专业成长搭建学习交流和提高的平台。强化教师专业能力培养，推进信息化教学工作，积极组建多个团队参加教学能力省赛。加强教学常规管理，保证教学质量，以教学诊改工作为抓手，进一步梳理和完善流程性制度建设。加强教学督导检查力度，强化教学过</w:t>
      </w:r>
      <w:r>
        <w:rPr>
          <w:rFonts w:ascii="仿宋_GB2312" w:eastAsia="仿宋_GB2312" w:hAnsi="仿宋_GB2312" w:cs="仿宋_GB2312" w:hint="eastAsia"/>
          <w:sz w:val="32"/>
          <w:szCs w:val="32"/>
        </w:rPr>
        <w:lastRenderedPageBreak/>
        <w:t>程管理，教学质量稳步提高，学生理论和技能考试合格率均在90%以上。以中餐烹饪与营养膳食专业建设省级示范（特色）专业为抓手，推动优势专业改革创新。加强实习管理工作和毕业学生就业工作，顺利安排800多名学生到60多家企业顶岗实习，保证了实习安全，顶岗实习稳定率达91%，毕业学生就业率达95%以上。扎实做好升学班的教学管理工作，2020年升学班高职升学率达98%。为充分发挥社会公共服务功能，学校千方百计拓展继续教育渠道，积极开展职业技能培训与鉴定。通过与省鉴定中心对接，分两批次，组织了近1000人/次学生技能考核，并进一步推进与高校的对接，川大网络教育平台学员1500人。</w:t>
      </w:r>
    </w:p>
    <w:p w:rsidR="005F59E8" w:rsidRDefault="00B958CE" w:rsidP="000428D6">
      <w:pPr>
        <w:suppressAutoHyphens/>
        <w:spacing w:line="560" w:lineRule="exact"/>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rPr>
        <w:t>（五）坚持责任意识，保证学校安全稳定</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疫情防控，确保师生安全。学校认真贯彻省、市、区有关疫情防控的决策部署，把师生生命安全和身体健康放在首要位置，统一思想，积极应对，在组织保障和制度、场所与人员管控、重点区域防控、环境卫生、应急处置和省外师生返校等方面精准施策。对校园门口、临时等候区、教室、食堂、超市、学生宿舍、厕所等高风险区域做出了相关防控要求。认真制定并实施防控工作的“两案九制”，建立常态化学校、科室、班级三级防控工作体系，实行冠状病毒肺炎疫情师生“日报告”“零报告”制度。</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联防联控，守护校园安全。我校高度重视校园安全工作，主动与属地公安、交通、卫生、医疗机构及安全监管部门建立起了较为完善的校园安全联动机制，充分发挥联防联控、</w:t>
      </w:r>
      <w:r>
        <w:rPr>
          <w:rFonts w:ascii="仿宋_GB2312" w:eastAsia="仿宋_GB2312" w:hAnsi="仿宋_GB2312" w:cs="仿宋_GB2312" w:hint="eastAsia"/>
          <w:sz w:val="32"/>
          <w:szCs w:val="32"/>
        </w:rPr>
        <w:lastRenderedPageBreak/>
        <w:t>群防群治作用。进一步对校园安全、学生安全、食品卫生、环境卫生、防疫监督管理等工作综合施策。强化了人员培训，提高了安全管理能力，明确安全工作分工职责，学校安全形势总体稳定，初步形成了“科学预防、系统应对”的校园安全工作格局。</w:t>
      </w:r>
    </w:p>
    <w:p w:rsidR="005F59E8" w:rsidRDefault="00B958CE" w:rsidP="000428D6">
      <w:pPr>
        <w:suppressAutoHyphens/>
        <w:spacing w:line="560" w:lineRule="exact"/>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rPr>
        <w:t>（六）抓住发展时机，多项创建显特色</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争取项目，提升基础能力。学校被批准为四川省烹饪示范特色学校和四川省高技能人才培训基地。2020年上半年争取到省财政建设资金600万元（两个项目各300万元）。今年11月，经过学校多方努力，争取到2020年第二批支持中等职业教育质量提升工程中央和省级奖补资金500万元，将用于基础设施建设、实习实训基地建设等。学校综合实训大楼建设项目，已获发改委立项批复。</w:t>
      </w:r>
    </w:p>
    <w:p w:rsidR="005F59E8" w:rsidRDefault="00B958C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融汇共通，扩大品牌影响。我校作为国家双示范校，具有加快职业教育发展的独特优势和有利条件，包括学校潜力巨大的专业结构、深厚坚实的要素支撑、对接国际的开放空间、多重叠加的行业优势。2020年10月，我校受邀参加四川省示范专业建设交流会，并作为代表交流经验，分享成果。11月，我校受邀参加2020年四川省职业教育活动周暨成都市职业教育活动月启动仪式，展示我校教育教学成果，省教育厅和成都市教育局对我校的建设和发展给予了充分肯定，参加教育教学成果展示的仅有三所省属中职学校。11月，首届成都国际川菜厨师节峰会在成都召开，我校作为唯一一所受邀参加当天系列活动的职业院校，由党委书记、校长张军</w:t>
      </w:r>
      <w:r>
        <w:rPr>
          <w:rFonts w:ascii="仿宋_GB2312" w:eastAsia="仿宋_GB2312" w:hAnsi="仿宋_GB2312" w:cs="仿宋_GB2312" w:hint="eastAsia"/>
          <w:sz w:val="32"/>
          <w:szCs w:val="32"/>
        </w:rPr>
        <w:lastRenderedPageBreak/>
        <w:t>带队，组建了以烹饪专业师生为主的代表团队，多方面全程参与此次活动。这些活动的成功参与是促进我校加快发展的契机，让我校充分发挥国家示范校对地方经济发展的辐射作用，积极利用行业资源，发挥自身优势，凝练办学特色，助力商务品牌认可度、美誉度整体提升。</w:t>
      </w:r>
    </w:p>
    <w:p w:rsidR="000428D6" w:rsidRDefault="000428D6" w:rsidP="000428D6">
      <w:pPr>
        <w:spacing w:line="560" w:lineRule="exact"/>
        <w:rPr>
          <w:rFonts w:ascii="黑体" w:eastAsia="黑体" w:hAnsi="黑体" w:cs="黑体"/>
          <w:sz w:val="32"/>
          <w:szCs w:val="32"/>
        </w:rPr>
      </w:pPr>
      <w:bookmarkStart w:id="17" w:name="_Toc19803"/>
      <w:r>
        <w:rPr>
          <w:rFonts w:ascii="黑体" w:eastAsia="黑体" w:hAnsi="黑体" w:cs="黑体" w:hint="eastAsia"/>
          <w:sz w:val="32"/>
          <w:szCs w:val="32"/>
        </w:rPr>
        <w:t>三、机构设置情况</w:t>
      </w:r>
    </w:p>
    <w:p w:rsidR="000428D6" w:rsidRPr="000428D6" w:rsidRDefault="000428D6" w:rsidP="000428D6">
      <w:pPr>
        <w:pStyle w:val="a0"/>
        <w:spacing w:before="93"/>
        <w:rPr>
          <w:rFonts w:hAnsi="仿宋_GB2312" w:cs="仿宋_GB2312"/>
          <w:kern w:val="2"/>
          <w:sz w:val="32"/>
          <w:szCs w:val="32"/>
        </w:rPr>
      </w:pPr>
      <w:r>
        <w:rPr>
          <w:rFonts w:hint="eastAsia"/>
        </w:rPr>
        <w:t xml:space="preserve"> </w:t>
      </w:r>
      <w:r w:rsidRPr="000428D6">
        <w:rPr>
          <w:rFonts w:hAnsi="仿宋_GB2312" w:cs="仿宋_GB2312" w:hint="eastAsia"/>
          <w:kern w:val="2"/>
          <w:sz w:val="32"/>
          <w:szCs w:val="32"/>
        </w:rPr>
        <w:t xml:space="preserve">   </w:t>
      </w:r>
      <w:r w:rsidRPr="000428D6">
        <w:rPr>
          <w:rFonts w:hAnsi="仿宋_GB2312" w:cs="仿宋_GB2312"/>
          <w:kern w:val="2"/>
          <w:sz w:val="32"/>
          <w:szCs w:val="32"/>
        </w:rPr>
        <w:t>四川省商务学校由管理机构和教学辅助机构两部分构成，其中管理机构有9个，分别是：办公室、组织人事科、教务科、招生就业科、财务科、后勤保卫科、教学督导办公室、纪检监察室、学生科（团委）；教学辅助机构有8个，分别是：基础教研室、烹饪教研室、电子商务教研室、财会金融教研室、酒店管理教研室、继续教育中心、图书馆、网络信息中心。</w:t>
      </w: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5F59E8" w:rsidP="000428D6">
      <w:pPr>
        <w:pStyle w:val="a0"/>
        <w:spacing w:before="93"/>
        <w:rPr>
          <w:rFonts w:ascii="黑体" w:eastAsia="黑体" w:hAnsi="黑体" w:cs="黑体"/>
          <w:sz w:val="32"/>
          <w:szCs w:val="32"/>
        </w:rPr>
      </w:pPr>
    </w:p>
    <w:p w:rsidR="005F59E8" w:rsidRDefault="005F59E8" w:rsidP="000428D6">
      <w:pPr>
        <w:pStyle w:val="a0"/>
        <w:spacing w:before="93"/>
        <w:rPr>
          <w:rFonts w:ascii="黑体" w:eastAsia="黑体" w:hAnsi="黑体" w:cs="黑体"/>
          <w:sz w:val="32"/>
          <w:szCs w:val="32"/>
        </w:rPr>
      </w:pPr>
    </w:p>
    <w:p w:rsidR="005F59E8" w:rsidRDefault="005F59E8" w:rsidP="000428D6">
      <w:pPr>
        <w:pStyle w:val="a0"/>
        <w:spacing w:before="93"/>
        <w:rPr>
          <w:rFonts w:ascii="黑体" w:eastAsia="黑体" w:hAnsi="黑体" w:cs="黑体"/>
          <w:sz w:val="32"/>
          <w:szCs w:val="32"/>
        </w:rPr>
      </w:pPr>
    </w:p>
    <w:p w:rsidR="005F59E8" w:rsidRDefault="005F59E8" w:rsidP="000428D6">
      <w:pPr>
        <w:pStyle w:val="a0"/>
        <w:spacing w:before="93"/>
        <w:rPr>
          <w:rFonts w:ascii="黑体" w:eastAsia="黑体" w:hAnsi="黑体" w:cs="黑体"/>
          <w:sz w:val="32"/>
          <w:szCs w:val="32"/>
        </w:rPr>
      </w:pPr>
    </w:p>
    <w:p w:rsidR="005F59E8" w:rsidRDefault="005F59E8" w:rsidP="000428D6">
      <w:pPr>
        <w:pStyle w:val="a0"/>
        <w:spacing w:before="93"/>
        <w:rPr>
          <w:rFonts w:ascii="黑体" w:eastAsia="黑体" w:hAnsi="黑体" w:cs="黑体"/>
          <w:sz w:val="32"/>
          <w:szCs w:val="32"/>
        </w:rPr>
      </w:pPr>
    </w:p>
    <w:p w:rsidR="005F59E8" w:rsidRDefault="005F59E8">
      <w:pPr>
        <w:spacing w:line="560" w:lineRule="exact"/>
        <w:rPr>
          <w:rFonts w:ascii="黑体" w:eastAsia="黑体" w:hAnsi="黑体" w:cs="黑体"/>
          <w:sz w:val="32"/>
          <w:szCs w:val="32"/>
        </w:rPr>
      </w:pPr>
    </w:p>
    <w:p w:rsidR="005F59E8" w:rsidRDefault="00B958CE">
      <w:pPr>
        <w:spacing w:line="560" w:lineRule="exact"/>
        <w:jc w:val="center"/>
        <w:rPr>
          <w:rFonts w:ascii="黑体" w:eastAsia="黑体" w:hAnsi="黑体" w:cs="黑体"/>
          <w:sz w:val="32"/>
          <w:szCs w:val="32"/>
        </w:rPr>
      </w:pPr>
      <w:r>
        <w:rPr>
          <w:rFonts w:ascii="黑体" w:eastAsia="黑体" w:hAnsi="黑体" w:cs="黑体" w:hint="eastAsia"/>
          <w:sz w:val="32"/>
          <w:szCs w:val="32"/>
        </w:rPr>
        <w:t>第二部分 2020年度</w:t>
      </w:r>
      <w:r>
        <w:rPr>
          <w:rStyle w:val="1Char"/>
          <w:rFonts w:ascii="黑体" w:eastAsia="黑体" w:hAnsi="黑体" w:cs="黑体" w:hint="eastAsia"/>
          <w:b w:val="0"/>
          <w:sz w:val="32"/>
          <w:szCs w:val="32"/>
        </w:rPr>
        <w:t>单位决算情况说明</w:t>
      </w:r>
      <w:bookmarkEnd w:id="13"/>
      <w:bookmarkEnd w:id="14"/>
      <w:bookmarkEnd w:id="17"/>
    </w:p>
    <w:p w:rsidR="005F59E8" w:rsidRDefault="00B958CE">
      <w:pPr>
        <w:pStyle w:val="ab"/>
        <w:spacing w:line="560" w:lineRule="exact"/>
        <w:ind w:firstLine="640"/>
        <w:rPr>
          <w:rStyle w:val="2Char"/>
          <w:rFonts w:ascii="黑体" w:eastAsia="黑体" w:hAnsi="黑体" w:cs="黑体"/>
          <w:b w:val="0"/>
        </w:rPr>
      </w:pPr>
      <w:bookmarkStart w:id="18" w:name="_Toc15377205"/>
      <w:bookmarkStart w:id="19" w:name="_Toc58"/>
      <w:bookmarkStart w:id="20" w:name="_Toc15396603"/>
      <w:r>
        <w:rPr>
          <w:rFonts w:ascii="黑体" w:eastAsia="黑体" w:hAnsi="黑体" w:cs="黑体" w:hint="eastAsia"/>
          <w:color w:val="000000"/>
          <w:sz w:val="32"/>
          <w:szCs w:val="32"/>
        </w:rPr>
        <w:t>一、收</w:t>
      </w:r>
      <w:r>
        <w:rPr>
          <w:rStyle w:val="2Char"/>
          <w:rFonts w:ascii="黑体" w:eastAsia="黑体" w:hAnsi="黑体" w:cs="黑体" w:hint="eastAsia"/>
          <w:b w:val="0"/>
        </w:rPr>
        <w:t>入支出决算总体情况说明</w:t>
      </w:r>
      <w:bookmarkEnd w:id="18"/>
      <w:bookmarkEnd w:id="19"/>
      <w:bookmarkEnd w:id="20"/>
    </w:p>
    <w:p w:rsidR="005F59E8" w:rsidRDefault="00B958CE">
      <w:pPr>
        <w:pStyle w:val="ab"/>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收、支总计5631.41万元。与2019年相比，收、支总计各减少1035.71万元，下降15.53%。主要变动原因是财政拨款收入减少795.3万元，事业收入减少997.2万元，2020年使用非财政拨款结余弥补收支差863.98万元，其他收入减少107.19万元。</w:t>
      </w:r>
    </w:p>
    <w:p w:rsidR="005F59E8" w:rsidRDefault="00B958CE">
      <w:pPr>
        <w:pStyle w:val="a0"/>
        <w:spacing w:before="93"/>
      </w:pPr>
      <w:r>
        <w:rPr>
          <w:noProof/>
        </w:rPr>
        <w:drawing>
          <wp:inline distT="0" distB="0" distL="0" distR="0">
            <wp:extent cx="5026660" cy="2058670"/>
            <wp:effectExtent l="4445" t="4445" r="17145" b="1333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59E8" w:rsidRDefault="00B958CE">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（图1：收、支决算总计变动情况图）（柱状图）</w:t>
      </w:r>
    </w:p>
    <w:p w:rsidR="005F59E8" w:rsidRDefault="00B958CE">
      <w:pPr>
        <w:pStyle w:val="ab"/>
        <w:numPr>
          <w:ilvl w:val="255"/>
          <w:numId w:val="0"/>
        </w:numPr>
        <w:spacing w:line="560" w:lineRule="exact"/>
        <w:ind w:firstLineChars="200" w:firstLine="640"/>
        <w:rPr>
          <w:rStyle w:val="2Char"/>
          <w:rFonts w:ascii="黑体" w:eastAsia="黑体" w:hAnsi="黑体" w:cs="黑体"/>
          <w:b w:val="0"/>
        </w:rPr>
      </w:pPr>
      <w:bookmarkStart w:id="21" w:name="_Toc15396604"/>
      <w:bookmarkStart w:id="22" w:name="_Toc15377206"/>
      <w:bookmarkStart w:id="23" w:name="_Toc22789"/>
      <w:r>
        <w:rPr>
          <w:rFonts w:ascii="黑体" w:eastAsia="黑体" w:hAnsi="黑体" w:cs="黑体" w:hint="eastAsia"/>
          <w:color w:val="000000"/>
          <w:sz w:val="32"/>
          <w:szCs w:val="32"/>
        </w:rPr>
        <w:t>二、收</w:t>
      </w:r>
      <w:r>
        <w:rPr>
          <w:rStyle w:val="2Char"/>
          <w:rFonts w:ascii="黑体" w:eastAsia="黑体" w:hAnsi="黑体" w:cs="黑体" w:hint="eastAsia"/>
          <w:b w:val="0"/>
        </w:rPr>
        <w:t>入决算情况说明</w:t>
      </w:r>
      <w:bookmarkEnd w:id="21"/>
      <w:bookmarkEnd w:id="22"/>
      <w:bookmarkEnd w:id="23"/>
    </w:p>
    <w:p w:rsidR="005F59E8" w:rsidRDefault="00B958CE">
      <w:pPr>
        <w:tabs>
          <w:tab w:val="left" w:pos="723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2020年本年收入合计4827.43万元，其中：一般公共</w:t>
      </w:r>
      <w:r>
        <w:rPr>
          <w:rFonts w:ascii="仿宋_GB2312" w:eastAsia="仿宋_GB2312" w:hAnsi="仿宋_GB2312" w:cs="仿宋_GB2312" w:hint="eastAsia"/>
          <w:color w:val="000000"/>
          <w:sz w:val="32"/>
          <w:szCs w:val="32"/>
        </w:rPr>
        <w:lastRenderedPageBreak/>
        <w:t>预算财政拨款收入4060.39万元，占84.11%；政府性基金预算财政拨款收入0万元，占0%；</w:t>
      </w:r>
      <w:r>
        <w:rPr>
          <w:rFonts w:ascii="仿宋_GB2312" w:eastAsia="仿宋_GB2312" w:hAnsi="仿宋_GB2312" w:cs="仿宋_GB2312" w:hint="eastAsia"/>
          <w:color w:val="000000" w:themeColor="text1"/>
          <w:sz w:val="32"/>
          <w:szCs w:val="32"/>
        </w:rPr>
        <w:t>上级补助收入0</w:t>
      </w:r>
      <w:r>
        <w:rPr>
          <w:rFonts w:ascii="仿宋_GB2312" w:eastAsia="仿宋_GB2312" w:hAnsi="仿宋_GB2312" w:cs="仿宋_GB2312" w:hint="eastAsia"/>
          <w:color w:val="000000"/>
          <w:sz w:val="32"/>
          <w:szCs w:val="32"/>
        </w:rPr>
        <w:t>万元，占0%；事业收入652.75万元，占13.52%；经营收入0万元，占0%；附属单位上缴收入0万元，占0%；其他收入114.29万元，占2.37%。</w:t>
      </w:r>
    </w:p>
    <w:p w:rsidR="005F59E8" w:rsidRDefault="00B958CE">
      <w:pPr>
        <w:pStyle w:val="a0"/>
        <w:spacing w:before="93"/>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74310" cy="2372995"/>
            <wp:effectExtent l="4445" t="4445" r="1714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59E8" w:rsidRDefault="00B958CE">
      <w:pPr>
        <w:spacing w:line="600" w:lineRule="exact"/>
        <w:ind w:firstLineChars="500" w:firstLine="1600"/>
        <w:rPr>
          <w:rFonts w:ascii="仿宋_GB2312" w:eastAsia="仿宋_GB2312" w:hAnsi="仿宋_GB2312" w:cs="仿宋_GB2312"/>
          <w:color w:val="000000"/>
          <w:sz w:val="32"/>
          <w:szCs w:val="32"/>
        </w:rPr>
      </w:pPr>
      <w:bookmarkStart w:id="24" w:name="_Toc15396605"/>
      <w:bookmarkStart w:id="25" w:name="_Toc15377207"/>
      <w:r>
        <w:rPr>
          <w:rFonts w:ascii="仿宋_GB2312" w:eastAsia="仿宋_GB2312" w:hAnsi="仿宋_GB2312" w:cs="仿宋_GB2312" w:hint="eastAsia"/>
          <w:sz w:val="32"/>
          <w:szCs w:val="32"/>
        </w:rPr>
        <w:t>（图2：收入决算结构图）（饼状图）</w:t>
      </w:r>
    </w:p>
    <w:p w:rsidR="005F59E8" w:rsidRDefault="00B958CE">
      <w:pPr>
        <w:pStyle w:val="ab"/>
        <w:numPr>
          <w:ilvl w:val="255"/>
          <w:numId w:val="0"/>
        </w:numPr>
        <w:spacing w:line="600" w:lineRule="exact"/>
        <w:ind w:left="640"/>
        <w:outlineLvl w:val="1"/>
        <w:rPr>
          <w:rStyle w:val="2Char"/>
          <w:rFonts w:ascii="黑体" w:eastAsia="黑体" w:hAnsi="黑体" w:cs="黑体"/>
          <w:b w:val="0"/>
        </w:rPr>
      </w:pPr>
      <w:bookmarkStart w:id="26" w:name="_Toc22112"/>
      <w:r>
        <w:rPr>
          <w:rFonts w:ascii="黑体" w:eastAsia="黑体" w:hAnsi="黑体" w:cs="黑体" w:hint="eastAsia"/>
          <w:color w:val="000000"/>
          <w:sz w:val="32"/>
          <w:szCs w:val="32"/>
        </w:rPr>
        <w:t>三、支</w:t>
      </w:r>
      <w:r>
        <w:rPr>
          <w:rStyle w:val="2Char"/>
          <w:rFonts w:ascii="黑体" w:eastAsia="黑体" w:hAnsi="黑体" w:cs="黑体" w:hint="eastAsia"/>
          <w:b w:val="0"/>
        </w:rPr>
        <w:t>出决算情况说明</w:t>
      </w:r>
      <w:bookmarkEnd w:id="24"/>
      <w:bookmarkEnd w:id="25"/>
      <w:bookmarkEnd w:id="26"/>
    </w:p>
    <w:p w:rsidR="005F59E8" w:rsidRDefault="00B958CE">
      <w:pPr>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rPr>
        <w:t>2020年本年支出合计5691.41万元，其中：基本支出3657.77万元，占64.27%；项目支出2033.64万元，占35.73%；上缴上级支出0万元，占0%；经营支出0万元，占0%；对附属单位补助支出0万元，占0%。</w:t>
      </w:r>
      <w:r>
        <w:rPr>
          <w:rFonts w:ascii="仿宋_GB2312" w:eastAsia="仿宋_GB2312" w:hAnsi="仿宋_GB2312" w:cs="仿宋_GB2312" w:hint="eastAsia"/>
          <w:b/>
          <w:sz w:val="32"/>
          <w:szCs w:val="32"/>
        </w:rPr>
        <w:tab/>
      </w:r>
    </w:p>
    <w:p w:rsidR="005F59E8" w:rsidRDefault="00B958CE">
      <w:pPr>
        <w:pStyle w:val="a0"/>
        <w:spacing w:before="93"/>
      </w:pPr>
      <w:r>
        <w:rPr>
          <w:rFonts w:hint="eastAsia"/>
          <w:noProof/>
        </w:rPr>
        <w:lastRenderedPageBreak/>
        <w:drawing>
          <wp:inline distT="0" distB="0" distL="0" distR="0">
            <wp:extent cx="5360670" cy="2343150"/>
            <wp:effectExtent l="5080" t="4445" r="6350"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59E8" w:rsidRDefault="00B958CE">
      <w:pPr>
        <w:spacing w:line="600" w:lineRule="exact"/>
        <w:ind w:firstLineChars="500" w:firstLine="160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5F59E8" w:rsidRDefault="00B958CE">
      <w:pPr>
        <w:spacing w:line="560" w:lineRule="exact"/>
        <w:ind w:firstLineChars="200" w:firstLine="640"/>
        <w:outlineLvl w:val="1"/>
        <w:rPr>
          <w:rStyle w:val="2Char"/>
          <w:rFonts w:ascii="黑体" w:eastAsia="黑体" w:hAnsi="黑体"/>
          <w:b w:val="0"/>
        </w:rPr>
      </w:pPr>
      <w:bookmarkStart w:id="27" w:name="_Toc29511"/>
      <w:bookmarkStart w:id="28" w:name="_Toc15377208"/>
      <w:bookmarkStart w:id="29"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7"/>
      <w:bookmarkEnd w:id="28"/>
      <w:bookmarkEnd w:id="29"/>
    </w:p>
    <w:p w:rsidR="005F59E8" w:rsidRDefault="00B958CE">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2020年财政拨款收、支总计4060.39万元。与2019年相比，财政拨款收、支总计各减少795.3万元，下降16.38%。</w:t>
      </w:r>
    </w:p>
    <w:p w:rsidR="005F59E8" w:rsidRDefault="00B958CE">
      <w:pPr>
        <w:pStyle w:val="a0"/>
        <w:spacing w:before="93"/>
        <w:rPr>
          <w:rFonts w:ascii="仿宋" w:eastAsia="仿宋" w:hAnsi="仿宋"/>
          <w:b/>
          <w:color w:val="00B050"/>
          <w:sz w:val="32"/>
          <w:szCs w:val="32"/>
        </w:rPr>
      </w:pPr>
      <w:r>
        <w:rPr>
          <w:rFonts w:ascii="仿宋" w:eastAsia="仿宋" w:hAnsi="仿宋"/>
          <w:b/>
          <w:noProof/>
          <w:color w:val="00B050"/>
          <w:sz w:val="32"/>
          <w:szCs w:val="32"/>
        </w:rPr>
        <w:drawing>
          <wp:inline distT="0" distB="0" distL="0" distR="0">
            <wp:extent cx="5274310" cy="2486660"/>
            <wp:effectExtent l="4445" t="4445" r="17145" b="2349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59E8" w:rsidRDefault="00B958CE">
      <w:pPr>
        <w:spacing w:line="600" w:lineRule="exact"/>
        <w:ind w:firstLineChars="200" w:firstLine="640"/>
        <w:rPr>
          <w:rFonts w:ascii="仿宋_GB2312" w:eastAsia="仿宋_GB2312" w:hAnsi="仿宋_GB2312" w:cs="仿宋_GB2312"/>
          <w:b/>
          <w:color w:val="00B050"/>
          <w:sz w:val="32"/>
          <w:szCs w:val="32"/>
        </w:rPr>
      </w:pPr>
      <w:r>
        <w:rPr>
          <w:rFonts w:ascii="仿宋_GB2312" w:eastAsia="仿宋_GB2312" w:hAnsi="仿宋_GB2312" w:cs="仿宋_GB2312" w:hint="eastAsia"/>
          <w:color w:val="000000" w:themeColor="text1"/>
          <w:sz w:val="32"/>
          <w:szCs w:val="32"/>
        </w:rPr>
        <w:t>（图4：财政拨款收、支决算总计变动情况）（柱状图）</w:t>
      </w:r>
    </w:p>
    <w:p w:rsidR="005F59E8" w:rsidRDefault="00B958CE">
      <w:pPr>
        <w:spacing w:line="560" w:lineRule="exact"/>
        <w:ind w:firstLineChars="200" w:firstLine="640"/>
        <w:outlineLvl w:val="1"/>
        <w:rPr>
          <w:rStyle w:val="2Char"/>
          <w:rFonts w:ascii="黑体" w:eastAsia="黑体" w:hAnsi="黑体" w:cs="黑体"/>
          <w:b w:val="0"/>
        </w:rPr>
      </w:pPr>
      <w:bookmarkStart w:id="30" w:name="_Toc6428"/>
      <w:bookmarkStart w:id="31" w:name="_Toc15396607"/>
      <w:bookmarkStart w:id="32" w:name="_Toc15377209"/>
      <w:r>
        <w:rPr>
          <w:rStyle w:val="2Char"/>
          <w:rFonts w:ascii="黑体" w:eastAsia="黑体" w:hAnsi="黑体" w:cs="黑体" w:hint="eastAsia"/>
          <w:b w:val="0"/>
        </w:rPr>
        <w:t>五、一般公共预算财政拨款支出决算情况说明</w:t>
      </w:r>
      <w:bookmarkEnd w:id="30"/>
      <w:bookmarkEnd w:id="31"/>
      <w:bookmarkEnd w:id="32"/>
    </w:p>
    <w:p w:rsidR="005F59E8" w:rsidRDefault="00B958CE" w:rsidP="000428D6">
      <w:pPr>
        <w:spacing w:line="560" w:lineRule="exact"/>
        <w:ind w:firstLineChars="200" w:firstLine="643"/>
        <w:outlineLvl w:val="2"/>
        <w:rPr>
          <w:rFonts w:ascii="楷体" w:eastAsia="楷体" w:hAnsi="楷体" w:cs="楷体"/>
          <w:b/>
          <w:color w:val="000000"/>
          <w:sz w:val="32"/>
          <w:szCs w:val="32"/>
        </w:rPr>
      </w:pPr>
      <w:bookmarkStart w:id="33" w:name="_Toc15377210"/>
      <w:r>
        <w:rPr>
          <w:rFonts w:ascii="楷体" w:eastAsia="楷体" w:hAnsi="楷体" w:cs="楷体" w:hint="eastAsia"/>
          <w:b/>
          <w:color w:val="000000"/>
          <w:sz w:val="32"/>
          <w:szCs w:val="32"/>
        </w:rPr>
        <w:t>（一）一般公共预算财政拨款支出决算总体情况</w:t>
      </w:r>
      <w:bookmarkEnd w:id="33"/>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2020年一般公共预算财政拨款支出4060.39万元，占本年支出合计的71.34%。与2019年相比，一般公共预算财政拨款减少795.3万元，下降16.38%。主要变动原因是财</w:t>
      </w:r>
      <w:r>
        <w:rPr>
          <w:rFonts w:ascii="仿宋_GB2312" w:eastAsia="仿宋_GB2312" w:hAnsi="仿宋_GB2312" w:cs="仿宋_GB2312" w:hint="eastAsia"/>
          <w:color w:val="000000"/>
          <w:sz w:val="32"/>
          <w:szCs w:val="32"/>
        </w:rPr>
        <w:lastRenderedPageBreak/>
        <w:t>政拨款项目支出拨款减少782.32万元。</w:t>
      </w:r>
    </w:p>
    <w:p w:rsidR="005F59E8" w:rsidRDefault="00B958CE">
      <w:pPr>
        <w:pStyle w:val="a0"/>
        <w:spacing w:before="93"/>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5324475" cy="1914525"/>
            <wp:effectExtent l="4445" t="4445" r="5080" b="508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59E8" w:rsidRDefault="00B958CE">
      <w:pPr>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（图5：一般公共预算财政拨款支出决算变动情况）（柱状图）</w:t>
      </w:r>
    </w:p>
    <w:p w:rsidR="005F59E8" w:rsidRDefault="00B958CE" w:rsidP="000428D6">
      <w:pPr>
        <w:spacing w:line="560" w:lineRule="exact"/>
        <w:ind w:firstLineChars="200" w:firstLine="643"/>
        <w:outlineLvl w:val="2"/>
        <w:rPr>
          <w:rFonts w:ascii="楷体" w:eastAsia="楷体" w:hAnsi="楷体" w:cs="楷体"/>
          <w:b/>
          <w:color w:val="000000"/>
          <w:sz w:val="32"/>
          <w:szCs w:val="32"/>
        </w:rPr>
      </w:pPr>
      <w:bookmarkStart w:id="34" w:name="_Toc15377211"/>
      <w:r>
        <w:rPr>
          <w:rFonts w:ascii="楷体" w:eastAsia="楷体" w:hAnsi="楷体" w:cs="楷体" w:hint="eastAsia"/>
          <w:b/>
          <w:color w:val="000000"/>
          <w:sz w:val="32"/>
          <w:szCs w:val="32"/>
        </w:rPr>
        <w:t>（二）一般公共预算财政拨款支出决算结构情况</w:t>
      </w:r>
      <w:bookmarkEnd w:id="34"/>
    </w:p>
    <w:p w:rsidR="005F59E8" w:rsidRDefault="00B958CE">
      <w:pPr>
        <w:spacing w:line="560" w:lineRule="exact"/>
        <w:ind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sz w:val="32"/>
          <w:szCs w:val="32"/>
        </w:rPr>
        <w:t>2020年一般公共预算财</w:t>
      </w:r>
      <w:r>
        <w:rPr>
          <w:rFonts w:ascii="仿宋_GB2312" w:eastAsia="仿宋_GB2312" w:hAnsi="仿宋_GB2312" w:cs="仿宋_GB2312" w:hint="eastAsia"/>
          <w:color w:val="000000" w:themeColor="text1"/>
          <w:sz w:val="32"/>
          <w:szCs w:val="32"/>
        </w:rPr>
        <w:t>政拨款支出4060.39万元，主要用于以下方面:一般公共服务（类）支出0万元，占0%；教育支出（类）3672万元，占90.43%；科学技术（类）支出0万元，占0%；文化旅游体育与传媒（类）支出0万元，占0%；社会保障和就业（类）支出180.46万元，占4.44%；卫生健康支出78.46万元，占1.93%；住房保障支出104.63万元，占2.58%；商业服务业等支出24.84万元，占0.61%。</w:t>
      </w:r>
    </w:p>
    <w:p w:rsidR="005F59E8" w:rsidRDefault="00B958CE">
      <w:pPr>
        <w:pStyle w:val="a0"/>
        <w:spacing w:before="93"/>
      </w:pPr>
      <w:r>
        <w:rPr>
          <w:rFonts w:hint="eastAsia"/>
          <w:noProof/>
        </w:rPr>
        <w:drawing>
          <wp:inline distT="0" distB="0" distL="0" distR="0">
            <wp:extent cx="5112385" cy="2839085"/>
            <wp:effectExtent l="5080" t="4445" r="6985"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59E8" w:rsidRDefault="00B958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（图6：一般公共预算财政拨款支出决算结构）（饼状图）</w:t>
      </w:r>
    </w:p>
    <w:p w:rsidR="005F59E8" w:rsidRDefault="00B958CE" w:rsidP="000428D6">
      <w:pPr>
        <w:spacing w:line="560" w:lineRule="exact"/>
        <w:ind w:firstLineChars="200" w:firstLine="643"/>
        <w:rPr>
          <w:rFonts w:ascii="楷体" w:eastAsia="楷体" w:hAnsi="楷体" w:cs="楷体"/>
          <w:b/>
          <w:color w:val="000000"/>
          <w:sz w:val="32"/>
          <w:szCs w:val="32"/>
        </w:rPr>
      </w:pPr>
      <w:bookmarkStart w:id="35" w:name="_Toc15377212"/>
      <w:r>
        <w:rPr>
          <w:rFonts w:ascii="楷体" w:eastAsia="楷体" w:hAnsi="楷体" w:cs="楷体" w:hint="eastAsia"/>
          <w:b/>
          <w:color w:val="000000"/>
          <w:sz w:val="32"/>
          <w:szCs w:val="32"/>
        </w:rPr>
        <w:t>（三）一般公共预算财政拨款支出决算具体情况</w:t>
      </w:r>
      <w:bookmarkEnd w:id="35"/>
    </w:p>
    <w:p w:rsidR="005F59E8" w:rsidRDefault="00B958CE" w:rsidP="000428D6">
      <w:pPr>
        <w:spacing w:line="560" w:lineRule="exact"/>
        <w:ind w:firstLineChars="200" w:firstLine="640"/>
        <w:rPr>
          <w:rFonts w:ascii="仿宋_GB2312" w:eastAsia="仿宋_GB2312" w:hAnsi="仿宋_GB2312" w:cs="仿宋_GB2312"/>
          <w:color w:val="FF0000"/>
          <w:sz w:val="32"/>
          <w:szCs w:val="32"/>
        </w:rPr>
      </w:pPr>
      <w:bookmarkStart w:id="36" w:name="_Toc15378460"/>
      <w:bookmarkStart w:id="37" w:name="_Toc15377444"/>
      <w:bookmarkStart w:id="38" w:name="_Toc15377213"/>
      <w:r>
        <w:rPr>
          <w:rFonts w:ascii="仿宋_GB2312" w:eastAsia="仿宋_GB2312" w:hAnsi="仿宋_GB2312" w:cs="仿宋_GB2312" w:hint="eastAsia"/>
          <w:b/>
          <w:color w:val="000000" w:themeColor="text1"/>
          <w:sz w:val="32"/>
          <w:szCs w:val="32"/>
        </w:rPr>
        <w:t>2020年一般公共预算支出决算数为4060.38万元</w:t>
      </w:r>
      <w:r>
        <w:rPr>
          <w:rFonts w:ascii="仿宋_GB2312" w:eastAsia="仿宋_GB2312" w:hAnsi="仿宋_GB2312" w:cs="仿宋_GB2312" w:hint="eastAsia"/>
          <w:color w:val="000000" w:themeColor="text1"/>
          <w:sz w:val="32"/>
          <w:szCs w:val="32"/>
        </w:rPr>
        <w:t>，</w:t>
      </w:r>
      <w:r>
        <w:rPr>
          <w:rStyle w:val="a8"/>
          <w:rFonts w:ascii="仿宋_GB2312" w:eastAsia="仿宋_GB2312" w:hAnsi="仿宋_GB2312" w:cs="仿宋_GB2312" w:hint="eastAsia"/>
          <w:bCs/>
          <w:color w:val="000000" w:themeColor="text1"/>
          <w:sz w:val="32"/>
          <w:szCs w:val="32"/>
        </w:rPr>
        <w:t>完成</w:t>
      </w:r>
      <w:r>
        <w:rPr>
          <w:rStyle w:val="a8"/>
          <w:rFonts w:ascii="仿宋_GB2312" w:eastAsia="仿宋_GB2312" w:hAnsi="仿宋_GB2312" w:cs="仿宋_GB2312" w:hint="eastAsia"/>
          <w:bCs/>
          <w:color w:val="000000"/>
          <w:sz w:val="32"/>
          <w:szCs w:val="32"/>
        </w:rPr>
        <w:t>预算82.34%。其中：</w:t>
      </w:r>
      <w:bookmarkEnd w:id="36"/>
      <w:bookmarkEnd w:id="37"/>
      <w:bookmarkEnd w:id="38"/>
    </w:p>
    <w:p w:rsidR="005F59E8" w:rsidRDefault="00B958CE" w:rsidP="000428D6">
      <w:pPr>
        <w:spacing w:line="560" w:lineRule="exact"/>
        <w:ind w:firstLineChars="200" w:firstLine="640"/>
        <w:rPr>
          <w:rFonts w:ascii="仿宋_GB2312" w:eastAsia="仿宋_GB2312" w:hAnsi="仿宋_GB2312" w:cs="仿宋_GB2312"/>
          <w:b/>
          <w:color w:val="000000"/>
          <w:sz w:val="32"/>
          <w:szCs w:val="32"/>
        </w:rPr>
      </w:pPr>
      <w:r>
        <w:rPr>
          <w:rStyle w:val="a8"/>
          <w:rFonts w:ascii="仿宋_GB2312" w:eastAsia="仿宋_GB2312" w:hAnsi="仿宋_GB2312" w:cs="仿宋_GB2312" w:hint="eastAsia"/>
          <w:bCs/>
          <w:color w:val="000000"/>
          <w:sz w:val="32"/>
          <w:szCs w:val="32"/>
        </w:rPr>
        <w:t>1.教育支出（类）职业教育（款）中专教育（项）:</w:t>
      </w:r>
      <w:r>
        <w:rPr>
          <w:rStyle w:val="a8"/>
          <w:rFonts w:ascii="仿宋_GB2312" w:eastAsia="仿宋_GB2312" w:hAnsi="仿宋_GB2312" w:cs="仿宋_GB2312" w:hint="eastAsia"/>
          <w:b w:val="0"/>
          <w:bCs/>
          <w:color w:val="000000"/>
          <w:sz w:val="32"/>
          <w:szCs w:val="32"/>
        </w:rPr>
        <w:t>支出决算为3672.00万元，完成预算80.83%，决算数小于预算数的主要原因是项目“现代职业教育质量提升计划”建设期为两年，2020年执行38.21万元，其余结转至2021年继续执行。另外由于2020年疫情影响学校减少了外出差旅、会议、培训、物业管理等支出。</w:t>
      </w:r>
    </w:p>
    <w:p w:rsidR="005F59E8" w:rsidRDefault="00B958CE" w:rsidP="000428D6">
      <w:pPr>
        <w:spacing w:line="560" w:lineRule="exact"/>
        <w:ind w:firstLineChars="200" w:firstLine="640"/>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2.社会保障和就业（类）行政事业单位养老支出（款）  事业单位离退休（项）:</w:t>
      </w:r>
      <w:r>
        <w:rPr>
          <w:rStyle w:val="a8"/>
          <w:rFonts w:ascii="仿宋_GB2312" w:eastAsia="仿宋_GB2312" w:hAnsi="仿宋_GB2312" w:cs="仿宋_GB2312" w:hint="eastAsia"/>
          <w:b w:val="0"/>
          <w:bCs/>
          <w:color w:val="000000"/>
          <w:sz w:val="32"/>
          <w:szCs w:val="32"/>
        </w:rPr>
        <w:t xml:space="preserve"> 支出决算为53.09万元，完成预算100%。</w:t>
      </w:r>
    </w:p>
    <w:p w:rsidR="005F59E8" w:rsidRDefault="00B958CE" w:rsidP="000428D6">
      <w:pPr>
        <w:spacing w:line="560" w:lineRule="exact"/>
        <w:ind w:firstLineChars="200" w:firstLine="640"/>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3.社会保障和就业（类）行政事业单位养老支出（款）  机关事业单位基本养老保险缴费支出（项）:</w:t>
      </w:r>
      <w:r>
        <w:rPr>
          <w:rStyle w:val="a8"/>
          <w:rFonts w:ascii="仿宋_GB2312" w:eastAsia="仿宋_GB2312" w:hAnsi="仿宋_GB2312" w:cs="仿宋_GB2312" w:hint="eastAsia"/>
          <w:b w:val="0"/>
          <w:bCs/>
          <w:color w:val="000000"/>
          <w:sz w:val="32"/>
          <w:szCs w:val="32"/>
        </w:rPr>
        <w:t xml:space="preserve"> 支出决算为123.49万元，完成预算100%。</w:t>
      </w:r>
    </w:p>
    <w:p w:rsidR="005F59E8" w:rsidRDefault="00B958CE" w:rsidP="000428D6">
      <w:pPr>
        <w:spacing w:line="560" w:lineRule="exact"/>
        <w:ind w:firstLineChars="200" w:firstLine="640"/>
        <w:rPr>
          <w:rFonts w:ascii="仿宋_GB2312" w:eastAsia="仿宋_GB2312" w:hAnsi="仿宋_GB2312" w:cs="仿宋_GB2312"/>
          <w:sz w:val="32"/>
          <w:szCs w:val="32"/>
        </w:rPr>
      </w:pPr>
      <w:r>
        <w:rPr>
          <w:rStyle w:val="a8"/>
          <w:rFonts w:ascii="仿宋_GB2312" w:eastAsia="仿宋_GB2312" w:hAnsi="仿宋_GB2312" w:cs="仿宋_GB2312" w:hint="eastAsia"/>
          <w:bCs/>
          <w:color w:val="000000"/>
          <w:sz w:val="32"/>
          <w:szCs w:val="32"/>
        </w:rPr>
        <w:t>4.社会保障和就业（类）其他社会保障和就业支出（款）  其他社会保障和就业支出（项）:</w:t>
      </w:r>
      <w:r>
        <w:rPr>
          <w:rStyle w:val="a8"/>
          <w:rFonts w:ascii="仿宋_GB2312" w:eastAsia="仿宋_GB2312" w:hAnsi="仿宋_GB2312" w:cs="仿宋_GB2312" w:hint="eastAsia"/>
          <w:b w:val="0"/>
          <w:bCs/>
          <w:color w:val="000000"/>
          <w:sz w:val="32"/>
          <w:szCs w:val="32"/>
        </w:rPr>
        <w:t xml:space="preserve"> 支出决算为3.88万元，完成预算100%。</w:t>
      </w:r>
    </w:p>
    <w:p w:rsidR="005F59E8" w:rsidRDefault="00B958CE" w:rsidP="000428D6">
      <w:pPr>
        <w:spacing w:line="560" w:lineRule="exact"/>
        <w:ind w:firstLineChars="200" w:firstLine="640"/>
        <w:rPr>
          <w:rFonts w:ascii="仿宋_GB2312" w:eastAsia="仿宋_GB2312" w:hAnsi="仿宋_GB2312" w:cs="仿宋_GB2312"/>
          <w:b/>
          <w:color w:val="000000"/>
          <w:sz w:val="32"/>
          <w:szCs w:val="32"/>
        </w:rPr>
      </w:pPr>
      <w:r>
        <w:rPr>
          <w:rStyle w:val="a8"/>
          <w:rFonts w:ascii="仿宋_GB2312" w:eastAsia="仿宋_GB2312" w:hAnsi="仿宋_GB2312" w:cs="仿宋_GB2312" w:hint="eastAsia"/>
          <w:bCs/>
          <w:color w:val="000000"/>
          <w:sz w:val="32"/>
          <w:szCs w:val="32"/>
        </w:rPr>
        <w:t>5.</w:t>
      </w:r>
      <w:r>
        <w:rPr>
          <w:rFonts w:ascii="仿宋_GB2312" w:eastAsia="仿宋_GB2312" w:hAnsi="仿宋_GB2312" w:cs="仿宋_GB2312" w:hint="eastAsia"/>
          <w:b/>
          <w:bCs/>
          <w:color w:val="000000" w:themeColor="text1"/>
          <w:sz w:val="32"/>
          <w:szCs w:val="32"/>
        </w:rPr>
        <w:t>卫生健康</w:t>
      </w:r>
      <w:r>
        <w:rPr>
          <w:rStyle w:val="a8"/>
          <w:rFonts w:ascii="仿宋_GB2312" w:eastAsia="仿宋_GB2312" w:hAnsi="仿宋_GB2312" w:cs="仿宋_GB2312" w:hint="eastAsia"/>
          <w:bCs/>
          <w:color w:val="000000"/>
          <w:sz w:val="32"/>
          <w:szCs w:val="32"/>
        </w:rPr>
        <w:t>（类）行政事业单位医疗（款）事业单位医疗（项）:</w:t>
      </w:r>
      <w:r>
        <w:rPr>
          <w:rStyle w:val="a8"/>
          <w:rFonts w:ascii="仿宋_GB2312" w:eastAsia="仿宋_GB2312" w:hAnsi="仿宋_GB2312" w:cs="仿宋_GB2312" w:hint="eastAsia"/>
          <w:b w:val="0"/>
          <w:bCs/>
          <w:color w:val="000000"/>
          <w:sz w:val="32"/>
          <w:szCs w:val="32"/>
        </w:rPr>
        <w:t>支出决算为78.46万元，完成预算100%</w:t>
      </w:r>
      <w:r>
        <w:rPr>
          <w:rFonts w:ascii="仿宋_GB2312" w:eastAsia="仿宋_GB2312" w:hAnsi="仿宋_GB2312" w:cs="仿宋_GB2312" w:hint="eastAsia"/>
          <w:b/>
          <w:color w:val="000000"/>
          <w:sz w:val="32"/>
          <w:szCs w:val="32"/>
        </w:rPr>
        <w:t xml:space="preserve"> </w:t>
      </w:r>
      <w:r>
        <w:rPr>
          <w:rStyle w:val="a8"/>
          <w:rFonts w:ascii="仿宋_GB2312" w:eastAsia="仿宋_GB2312" w:hAnsi="仿宋_GB2312" w:cs="仿宋_GB2312" w:hint="eastAsia"/>
          <w:b w:val="0"/>
          <w:bCs/>
          <w:color w:val="000000"/>
          <w:sz w:val="32"/>
          <w:szCs w:val="32"/>
        </w:rPr>
        <w:t>。</w:t>
      </w:r>
    </w:p>
    <w:p w:rsidR="005F59E8" w:rsidRDefault="00B958CE" w:rsidP="000428D6">
      <w:pPr>
        <w:spacing w:line="560" w:lineRule="exact"/>
        <w:ind w:firstLineChars="200" w:firstLine="640"/>
        <w:rPr>
          <w:rFonts w:ascii="仿宋_GB2312" w:eastAsia="仿宋_GB2312" w:hAnsi="仿宋_GB2312" w:cs="仿宋_GB2312"/>
          <w:b/>
          <w:color w:val="000000"/>
          <w:sz w:val="32"/>
          <w:szCs w:val="32"/>
        </w:rPr>
      </w:pPr>
      <w:r>
        <w:rPr>
          <w:rStyle w:val="a8"/>
          <w:rFonts w:ascii="仿宋_GB2312" w:eastAsia="仿宋_GB2312" w:hAnsi="仿宋_GB2312" w:cs="仿宋_GB2312" w:hint="eastAsia"/>
          <w:bCs/>
          <w:color w:val="000000"/>
          <w:sz w:val="32"/>
          <w:szCs w:val="32"/>
        </w:rPr>
        <w:t>6.商业服务等支出（类）商业流通事务（款）其他商业流通事务支出（项）:</w:t>
      </w:r>
      <w:r>
        <w:rPr>
          <w:rStyle w:val="a8"/>
          <w:rFonts w:ascii="仿宋_GB2312" w:eastAsia="仿宋_GB2312" w:hAnsi="仿宋_GB2312" w:cs="仿宋_GB2312" w:hint="eastAsia"/>
          <w:b w:val="0"/>
          <w:bCs/>
          <w:color w:val="000000"/>
          <w:sz w:val="32"/>
          <w:szCs w:val="32"/>
        </w:rPr>
        <w:t>支出决算为24.85万元，完成预算100%</w:t>
      </w:r>
      <w:r>
        <w:rPr>
          <w:rFonts w:ascii="仿宋_GB2312" w:eastAsia="仿宋_GB2312" w:hAnsi="仿宋_GB2312" w:cs="仿宋_GB2312" w:hint="eastAsia"/>
          <w:b/>
          <w:color w:val="000000"/>
          <w:sz w:val="32"/>
          <w:szCs w:val="32"/>
        </w:rPr>
        <w:t xml:space="preserve"> </w:t>
      </w:r>
      <w:r>
        <w:rPr>
          <w:rStyle w:val="a8"/>
          <w:rFonts w:ascii="仿宋_GB2312" w:eastAsia="仿宋_GB2312" w:hAnsi="仿宋_GB2312" w:cs="仿宋_GB2312" w:hint="eastAsia"/>
          <w:b w:val="0"/>
          <w:bCs/>
          <w:color w:val="000000"/>
          <w:sz w:val="32"/>
          <w:szCs w:val="32"/>
        </w:rPr>
        <w:t>。</w:t>
      </w:r>
    </w:p>
    <w:p w:rsidR="005F59E8" w:rsidRDefault="00B958CE" w:rsidP="000428D6">
      <w:pPr>
        <w:spacing w:line="560" w:lineRule="exact"/>
        <w:ind w:firstLineChars="200" w:firstLine="640"/>
        <w:rPr>
          <w:rFonts w:ascii="仿宋_GB2312" w:eastAsia="仿宋_GB2312" w:hAnsi="仿宋_GB2312" w:cs="仿宋_GB2312"/>
          <w:b/>
          <w:color w:val="000000"/>
          <w:sz w:val="32"/>
          <w:szCs w:val="32"/>
        </w:rPr>
      </w:pPr>
      <w:r>
        <w:rPr>
          <w:rStyle w:val="a8"/>
          <w:rFonts w:ascii="仿宋_GB2312" w:eastAsia="仿宋_GB2312" w:hAnsi="仿宋_GB2312" w:cs="仿宋_GB2312" w:hint="eastAsia"/>
          <w:bCs/>
          <w:color w:val="000000"/>
          <w:sz w:val="32"/>
          <w:szCs w:val="32"/>
        </w:rPr>
        <w:t>7.住房保障支出（类）住房改革支出（款）住房公积金（项）:</w:t>
      </w:r>
      <w:r>
        <w:rPr>
          <w:rStyle w:val="a8"/>
          <w:rFonts w:ascii="仿宋_GB2312" w:eastAsia="仿宋_GB2312" w:hAnsi="仿宋_GB2312" w:cs="仿宋_GB2312" w:hint="eastAsia"/>
          <w:b w:val="0"/>
          <w:bCs/>
          <w:color w:val="000000"/>
          <w:sz w:val="32"/>
          <w:szCs w:val="32"/>
        </w:rPr>
        <w:t>支出决算为104.62万元，完成预算100%</w:t>
      </w:r>
      <w:r>
        <w:rPr>
          <w:rFonts w:ascii="仿宋_GB2312" w:eastAsia="仿宋_GB2312" w:hAnsi="仿宋_GB2312" w:cs="仿宋_GB2312" w:hint="eastAsia"/>
          <w:b/>
          <w:color w:val="000000"/>
          <w:sz w:val="32"/>
          <w:szCs w:val="32"/>
        </w:rPr>
        <w:t xml:space="preserve"> </w:t>
      </w:r>
      <w:r>
        <w:rPr>
          <w:rStyle w:val="a8"/>
          <w:rFonts w:ascii="仿宋_GB2312" w:eastAsia="仿宋_GB2312" w:hAnsi="仿宋_GB2312" w:cs="仿宋_GB2312" w:hint="eastAsia"/>
          <w:b w:val="0"/>
          <w:bCs/>
          <w:color w:val="000000"/>
          <w:sz w:val="32"/>
          <w:szCs w:val="32"/>
        </w:rPr>
        <w:t>。</w:t>
      </w:r>
    </w:p>
    <w:p w:rsidR="005F59E8" w:rsidRDefault="00B958CE">
      <w:pPr>
        <w:tabs>
          <w:tab w:val="right" w:pos="8306"/>
        </w:tabs>
        <w:spacing w:line="560" w:lineRule="exact"/>
        <w:ind w:firstLineChars="200" w:firstLine="640"/>
        <w:rPr>
          <w:rStyle w:val="2Char"/>
          <w:rFonts w:ascii="黑体" w:eastAsia="黑体" w:hAnsi="黑体" w:cs="黑体"/>
        </w:rPr>
      </w:pPr>
      <w:bookmarkStart w:id="39" w:name="_Toc15396608"/>
      <w:bookmarkStart w:id="40" w:name="_Toc16310"/>
      <w:bookmarkStart w:id="41" w:name="_Toc15377214"/>
      <w:r>
        <w:rPr>
          <w:rStyle w:val="2Char"/>
          <w:rFonts w:ascii="黑体" w:eastAsia="黑体" w:hAnsi="黑体" w:cs="黑体" w:hint="eastAsia"/>
          <w:b w:val="0"/>
        </w:rPr>
        <w:lastRenderedPageBreak/>
        <w:t>六、一般公共预算财政拨款基本支出决算情况说明</w:t>
      </w:r>
      <w:bookmarkEnd w:id="39"/>
      <w:bookmarkEnd w:id="40"/>
      <w:bookmarkEnd w:id="41"/>
      <w:r>
        <w:rPr>
          <w:rStyle w:val="2Char"/>
          <w:rFonts w:ascii="黑体" w:eastAsia="黑体" w:hAnsi="黑体" w:cs="黑体" w:hint="eastAsia"/>
          <w:b w:val="0"/>
        </w:rPr>
        <w:tab/>
      </w:r>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2020年一般公共预算财政拨款基本支出2026.75万元，其中：</w:t>
      </w:r>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经费1658.56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5F59E8" w:rsidRDefault="00B958CE">
      <w:pPr>
        <w:spacing w:line="520" w:lineRule="exact"/>
        <w:ind w:firstLineChars="200" w:firstLine="640"/>
        <w:rPr>
          <w:rFonts w:ascii="仿宋_GB2312" w:eastAsia="仿宋_GB2312" w:hAnsi="仿宋_GB2312" w:cs="仿宋_GB2312"/>
          <w:b/>
          <w:color w:val="FF0000"/>
          <w:sz w:val="32"/>
          <w:szCs w:val="32"/>
        </w:rPr>
      </w:pPr>
      <w:r>
        <w:rPr>
          <w:rFonts w:ascii="仿宋_GB2312" w:eastAsia="仿宋_GB2312" w:hAnsi="仿宋_GB2312" w:cs="仿宋_GB2312" w:hint="eastAsia"/>
          <w:sz w:val="32"/>
          <w:szCs w:val="32"/>
        </w:rPr>
        <w:t>公用经费</w:t>
      </w:r>
      <w:r>
        <w:rPr>
          <w:rFonts w:ascii="仿宋_GB2312" w:eastAsia="仿宋_GB2312" w:hAnsi="仿宋_GB2312" w:cs="仿宋_GB2312" w:hint="eastAsia"/>
          <w:color w:val="000000"/>
          <w:sz w:val="32"/>
          <w:szCs w:val="32"/>
        </w:rPr>
        <w:t>368.19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F59E8" w:rsidRDefault="00B958CE">
      <w:pPr>
        <w:spacing w:line="520" w:lineRule="exact"/>
        <w:ind w:firstLineChars="200" w:firstLine="640"/>
        <w:rPr>
          <w:rStyle w:val="2Char"/>
          <w:rFonts w:ascii="黑体" w:eastAsia="黑体" w:hAnsi="黑体" w:cs="黑体"/>
          <w:b w:val="0"/>
        </w:rPr>
      </w:pPr>
      <w:bookmarkStart w:id="42" w:name="_Toc15377215"/>
      <w:bookmarkStart w:id="43" w:name="_Toc15396609"/>
      <w:bookmarkStart w:id="44" w:name="_Toc6796"/>
      <w:r>
        <w:rPr>
          <w:rStyle w:val="2Char"/>
          <w:rFonts w:ascii="黑体" w:eastAsia="黑体" w:hAnsi="黑体" w:cs="黑体" w:hint="eastAsia"/>
          <w:b w:val="0"/>
        </w:rPr>
        <w:t>七、“三公”经费财政拨款支出决算情况说明</w:t>
      </w:r>
      <w:bookmarkEnd w:id="42"/>
      <w:bookmarkEnd w:id="43"/>
      <w:bookmarkEnd w:id="44"/>
    </w:p>
    <w:p w:rsidR="005F59E8" w:rsidRDefault="00B958CE" w:rsidP="000428D6">
      <w:pPr>
        <w:spacing w:line="520" w:lineRule="exact"/>
        <w:ind w:firstLineChars="200" w:firstLine="643"/>
        <w:rPr>
          <w:rFonts w:ascii="楷体" w:eastAsia="楷体" w:hAnsi="楷体" w:cs="楷体"/>
          <w:b/>
          <w:color w:val="000000"/>
          <w:sz w:val="32"/>
          <w:szCs w:val="32"/>
        </w:rPr>
      </w:pPr>
      <w:bookmarkStart w:id="45" w:name="_Toc15377216"/>
      <w:r>
        <w:rPr>
          <w:rFonts w:ascii="楷体" w:eastAsia="楷体" w:hAnsi="楷体" w:cs="楷体" w:hint="eastAsia"/>
          <w:b/>
          <w:color w:val="000000"/>
          <w:sz w:val="32"/>
          <w:szCs w:val="32"/>
        </w:rPr>
        <w:t>（一）“三公”经费财政拨款支出决算总体情况说明</w:t>
      </w:r>
      <w:bookmarkEnd w:id="45"/>
    </w:p>
    <w:p w:rsidR="005F59E8" w:rsidRDefault="00B958CE">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三公”经费财政拨款支出决算为17.6万元，完成预算92.78%，决算数小于预算数的主要原因是招待费用本年只使用1148元，是由于学校学校严格控制三公经费，本年只发生了两笔公务接待费用。公务车运行维护使用17.49万元，因为我校制定相关措施严格控制三公经费开支。</w:t>
      </w:r>
    </w:p>
    <w:p w:rsidR="005F59E8" w:rsidRDefault="00B958CE" w:rsidP="000428D6">
      <w:pPr>
        <w:spacing w:line="520" w:lineRule="exact"/>
        <w:ind w:firstLineChars="200" w:firstLine="643"/>
        <w:rPr>
          <w:rFonts w:ascii="楷体" w:eastAsia="楷体" w:hAnsi="楷体" w:cs="楷体"/>
          <w:b/>
          <w:color w:val="000000"/>
          <w:sz w:val="32"/>
          <w:szCs w:val="32"/>
        </w:rPr>
      </w:pPr>
      <w:bookmarkStart w:id="46" w:name="_Toc15377217"/>
      <w:r>
        <w:rPr>
          <w:rFonts w:ascii="楷体" w:eastAsia="楷体" w:hAnsi="楷体" w:cs="楷体" w:hint="eastAsia"/>
          <w:b/>
          <w:color w:val="000000"/>
          <w:sz w:val="32"/>
          <w:szCs w:val="32"/>
        </w:rPr>
        <w:t>（二）“三公”经费财政拨款支出决算具体情况说明</w:t>
      </w:r>
      <w:bookmarkEnd w:id="46"/>
    </w:p>
    <w:p w:rsidR="005F59E8" w:rsidRDefault="00B958CE">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2020年“三公”经费财政拨款支出决算中，因公出国（境）费支出决算0万元，占0%；公务用车购置及运行维护费支出决算17.49万元，占97.16%；公务接待费支出决算0.11</w:t>
      </w:r>
      <w:r>
        <w:rPr>
          <w:rFonts w:ascii="仿宋_GB2312" w:eastAsia="仿宋_GB2312" w:hAnsi="仿宋_GB2312" w:cs="仿宋_GB2312" w:hint="eastAsia"/>
          <w:color w:val="000000"/>
          <w:sz w:val="32"/>
          <w:szCs w:val="32"/>
        </w:rPr>
        <w:lastRenderedPageBreak/>
        <w:t>万元，占11.83%。具体情况如下：</w:t>
      </w:r>
    </w:p>
    <w:p w:rsidR="005F59E8" w:rsidRDefault="00B958CE">
      <w:pPr>
        <w:pStyle w:val="a0"/>
        <w:spacing w:before="93"/>
      </w:pPr>
      <w:r>
        <w:rPr>
          <w:rFonts w:hint="eastAsia"/>
          <w:noProof/>
        </w:rPr>
        <w:drawing>
          <wp:inline distT="0" distB="0" distL="0" distR="0">
            <wp:extent cx="5189220" cy="2124710"/>
            <wp:effectExtent l="4445" t="4445" r="6985" b="234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59E8" w:rsidRDefault="00B958CE">
      <w:pPr>
        <w:spacing w:line="600" w:lineRule="exact"/>
        <w:ind w:firstLine="640"/>
      </w:pPr>
      <w:r>
        <w:rPr>
          <w:rFonts w:ascii="仿宋_GB2312" w:eastAsia="仿宋_GB2312" w:hAnsi="仿宋_GB2312" w:cs="仿宋_GB2312" w:hint="eastAsia"/>
          <w:color w:val="000000"/>
          <w:sz w:val="32"/>
          <w:szCs w:val="32"/>
        </w:rPr>
        <w:t>（图7：“三公”经费财政拨款支出结构）（饼状图）</w:t>
      </w:r>
    </w:p>
    <w:p w:rsidR="005F59E8" w:rsidRDefault="00B958CE" w:rsidP="000428D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1.因公出国（境）经费支出</w:t>
      </w:r>
      <w:r>
        <w:rPr>
          <w:rFonts w:ascii="仿宋_GB2312" w:eastAsia="仿宋_GB2312" w:hAnsi="仿宋_GB2312" w:cs="仿宋_GB2312" w:hint="eastAsia"/>
          <w:color w:val="000000"/>
          <w:sz w:val="32"/>
          <w:szCs w:val="32"/>
        </w:rPr>
        <w:t>0万元，完成预算100%。全年安排因公出国（境）团组0次，出国（境）0人。因公出国（境）支出决算比2019年减少0万元，下降0%。</w:t>
      </w:r>
    </w:p>
    <w:p w:rsidR="005F59E8" w:rsidRDefault="00B958CE" w:rsidP="000428D6">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2.公务用车购置及运行维护费支出</w:t>
      </w:r>
      <w:r>
        <w:rPr>
          <w:rFonts w:ascii="仿宋_GB2312" w:eastAsia="仿宋_GB2312" w:hAnsi="仿宋_GB2312" w:cs="仿宋_GB2312" w:hint="eastAsia"/>
          <w:color w:val="000000"/>
          <w:sz w:val="32"/>
          <w:szCs w:val="32"/>
        </w:rPr>
        <w:t>17.49万元,完成预算97.16%。公务用车购置及运行维护费支出决算比2019年减少6.81万元，下降28.02%。主要原因是是因为我校制定相关措施严格控制三公经费开支。</w:t>
      </w:r>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w:t>
      </w:r>
      <w:r>
        <w:rPr>
          <w:rFonts w:ascii="仿宋_GB2312" w:eastAsia="仿宋_GB2312" w:hAnsi="仿宋_GB2312" w:cs="仿宋_GB2312" w:hint="eastAsia"/>
          <w:b/>
          <w:bCs/>
          <w:color w:val="000000"/>
          <w:sz w:val="32"/>
          <w:szCs w:val="32"/>
        </w:rPr>
        <w:t>公务用车购置支出</w:t>
      </w:r>
      <w:r>
        <w:rPr>
          <w:rFonts w:ascii="仿宋_GB2312" w:eastAsia="仿宋_GB2312" w:hAnsi="仿宋_GB2312" w:cs="仿宋_GB2312" w:hint="eastAsia"/>
          <w:color w:val="000000"/>
          <w:sz w:val="32"/>
          <w:szCs w:val="32"/>
        </w:rPr>
        <w:t>0万元。全年按规定更新购置公务用车0辆，其中：轿车0辆、金额0万元，越野车0辆、金额0万元，载客汽车0辆、金额0万元。截至2020年12月底，单位共有公务用车3辆，其中：轿车1辆、越野车0辆、载客汽车2辆。</w:t>
      </w:r>
    </w:p>
    <w:p w:rsidR="005F59E8" w:rsidRDefault="00B958CE" w:rsidP="000428D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公务用车运行维护费支出</w:t>
      </w:r>
      <w:r>
        <w:rPr>
          <w:rFonts w:ascii="仿宋_GB2312" w:eastAsia="仿宋_GB2312" w:hAnsi="仿宋_GB2312" w:cs="仿宋_GB2312" w:hint="eastAsia"/>
          <w:color w:val="000000"/>
          <w:sz w:val="32"/>
          <w:szCs w:val="32"/>
        </w:rPr>
        <w:t>17.49万元。主要用于招生、就业、外出公干等所需的公务用车燃料费、维修费、过路过桥费、保险费等支出。</w:t>
      </w:r>
    </w:p>
    <w:p w:rsidR="005F59E8" w:rsidRDefault="00B958CE" w:rsidP="000428D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3.公务接待费支出</w:t>
      </w:r>
      <w:r>
        <w:rPr>
          <w:rFonts w:ascii="仿宋_GB2312" w:eastAsia="仿宋_GB2312" w:hAnsi="仿宋_GB2312" w:cs="仿宋_GB2312" w:hint="eastAsia"/>
          <w:color w:val="000000"/>
          <w:sz w:val="32"/>
          <w:szCs w:val="32"/>
        </w:rPr>
        <w:t>0.1148万元，完成预算11.83%</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公</w:t>
      </w:r>
      <w:r>
        <w:rPr>
          <w:rFonts w:ascii="仿宋_GB2312" w:eastAsia="仿宋_GB2312" w:hAnsi="仿宋_GB2312" w:cs="仿宋_GB2312" w:hint="eastAsia"/>
          <w:color w:val="000000"/>
          <w:sz w:val="32"/>
          <w:szCs w:val="32"/>
        </w:rPr>
        <w:lastRenderedPageBreak/>
        <w:t>务接待费支出决算比2019年增加0.089万元，增长344%。主要原因是2019年公务接待费支出258元，基数比较低。</w:t>
      </w:r>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国内公务接待支出0.1148万元，主要用于教育教学交流活动。国内公务接待2批次，8人次，共计支出0.1148万元，具体内容包括：教育教学交流活动0.1148万元。</w:t>
      </w:r>
      <w:bookmarkStart w:id="47" w:name="_Toc15377218"/>
      <w:bookmarkStart w:id="48" w:name="_Toc15396610"/>
    </w:p>
    <w:p w:rsidR="005F59E8" w:rsidRDefault="00B958CE">
      <w:pPr>
        <w:spacing w:line="560" w:lineRule="exact"/>
        <w:ind w:firstLineChars="200" w:firstLine="640"/>
        <w:rPr>
          <w:rFonts w:ascii="黑体" w:eastAsia="黑体" w:hAnsi="黑体" w:cs="黑体"/>
          <w:sz w:val="32"/>
          <w:szCs w:val="32"/>
        </w:rPr>
      </w:pPr>
      <w:bookmarkStart w:id="49" w:name="_Toc6475"/>
      <w:r>
        <w:rPr>
          <w:rFonts w:ascii="黑体" w:eastAsia="黑体" w:hAnsi="黑体" w:cs="黑体" w:hint="eastAsia"/>
          <w:sz w:val="32"/>
          <w:szCs w:val="32"/>
        </w:rPr>
        <w:t>八、政府性基金预算支出决算情况说明</w:t>
      </w:r>
      <w:bookmarkEnd w:id="47"/>
      <w:bookmarkEnd w:id="48"/>
      <w:bookmarkEnd w:id="49"/>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2020年政府性基金预算财政拨款支出0万元。</w:t>
      </w:r>
    </w:p>
    <w:p w:rsidR="005F59E8" w:rsidRDefault="00B958CE">
      <w:pPr>
        <w:spacing w:line="560" w:lineRule="exact"/>
        <w:ind w:firstLineChars="200" w:firstLine="640"/>
        <w:rPr>
          <w:rFonts w:ascii="黑体" w:eastAsia="黑体" w:hAnsi="黑体" w:cs="黑体"/>
          <w:sz w:val="32"/>
          <w:szCs w:val="32"/>
        </w:rPr>
      </w:pPr>
      <w:bookmarkStart w:id="50" w:name="_Toc15377219"/>
      <w:bookmarkStart w:id="51" w:name="_Toc15396611"/>
      <w:bookmarkStart w:id="52" w:name="_Toc15802"/>
      <w:r>
        <w:rPr>
          <w:rFonts w:ascii="黑体" w:eastAsia="黑体" w:hAnsi="黑体" w:cs="黑体" w:hint="eastAsia"/>
          <w:sz w:val="32"/>
          <w:szCs w:val="32"/>
        </w:rPr>
        <w:t>九、国有资本经营预算支出决算情况说明</w:t>
      </w:r>
      <w:bookmarkEnd w:id="50"/>
      <w:bookmarkEnd w:id="51"/>
      <w:bookmarkEnd w:id="52"/>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2020年国有资本经营预算财政拨款支出0万元。</w:t>
      </w:r>
    </w:p>
    <w:p w:rsidR="005F59E8" w:rsidRDefault="00B958CE">
      <w:pPr>
        <w:spacing w:line="560" w:lineRule="exact"/>
        <w:ind w:firstLineChars="200" w:firstLine="640"/>
        <w:rPr>
          <w:rFonts w:ascii="黑体" w:eastAsia="黑体" w:hAnsi="黑体" w:cs="黑体"/>
          <w:sz w:val="32"/>
          <w:szCs w:val="32"/>
        </w:rPr>
      </w:pPr>
      <w:bookmarkStart w:id="53" w:name="_Toc17174"/>
      <w:bookmarkStart w:id="54" w:name="_Toc15396612"/>
      <w:bookmarkStart w:id="55" w:name="_Toc15377221"/>
      <w:r>
        <w:rPr>
          <w:rFonts w:ascii="黑体" w:eastAsia="黑体" w:hAnsi="黑体" w:cs="黑体" w:hint="eastAsia"/>
          <w:sz w:val="32"/>
          <w:szCs w:val="32"/>
        </w:rPr>
        <w:t>十、其他重要事项的情况说明</w:t>
      </w:r>
      <w:bookmarkEnd w:id="53"/>
      <w:bookmarkEnd w:id="54"/>
      <w:bookmarkEnd w:id="55"/>
    </w:p>
    <w:p w:rsidR="005F59E8" w:rsidRDefault="00B958CE" w:rsidP="000428D6">
      <w:pPr>
        <w:spacing w:line="560" w:lineRule="exact"/>
        <w:ind w:firstLineChars="200" w:firstLine="643"/>
        <w:rPr>
          <w:rFonts w:ascii="楷体" w:eastAsia="楷体" w:hAnsi="楷体" w:cs="楷体"/>
          <w:b/>
          <w:sz w:val="32"/>
          <w:szCs w:val="32"/>
        </w:rPr>
      </w:pPr>
      <w:bookmarkStart w:id="56" w:name="_Toc15377222"/>
      <w:r>
        <w:rPr>
          <w:rFonts w:ascii="楷体" w:eastAsia="楷体" w:hAnsi="楷体" w:cs="楷体" w:hint="eastAsia"/>
          <w:b/>
          <w:sz w:val="32"/>
          <w:szCs w:val="32"/>
        </w:rPr>
        <w:t>（一）机关运行经费支出情况</w:t>
      </w:r>
      <w:bookmarkEnd w:id="56"/>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我校为事业单位，无机关运行经费。</w:t>
      </w:r>
    </w:p>
    <w:p w:rsidR="005F59E8" w:rsidRDefault="00B958CE" w:rsidP="000428D6">
      <w:pPr>
        <w:spacing w:line="560" w:lineRule="exact"/>
        <w:ind w:firstLineChars="200" w:firstLine="643"/>
        <w:rPr>
          <w:rFonts w:ascii="楷体" w:eastAsia="楷体" w:hAnsi="楷体" w:cs="楷体"/>
          <w:b/>
          <w:sz w:val="32"/>
          <w:szCs w:val="32"/>
        </w:rPr>
      </w:pPr>
      <w:bookmarkStart w:id="57" w:name="_Toc15377223"/>
      <w:r>
        <w:rPr>
          <w:rFonts w:ascii="楷体" w:eastAsia="楷体" w:hAnsi="楷体" w:cs="楷体" w:hint="eastAsia"/>
          <w:b/>
          <w:sz w:val="32"/>
          <w:szCs w:val="32"/>
        </w:rPr>
        <w:t>（二）政府采购支出情况</w:t>
      </w:r>
      <w:bookmarkEnd w:id="57"/>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政府采购支出总额192.58万元，其中：政府采购货物支出15.92万元、政府采购工程支出0万元、政府采购服务支出176.66万元。主要用于物业管理费及教学设施设备购置及公务用车运行维护。授予中小企业合同金额165.7万元，占政府采购支出总额的86%，其中：授予小微企业合同金额0万元，占政府采购支出总额的0%。</w:t>
      </w:r>
    </w:p>
    <w:p w:rsidR="005F59E8" w:rsidRDefault="00B958CE" w:rsidP="000428D6">
      <w:pPr>
        <w:spacing w:line="560" w:lineRule="exact"/>
        <w:ind w:firstLineChars="200" w:firstLine="643"/>
        <w:rPr>
          <w:rFonts w:ascii="楷体" w:eastAsia="楷体" w:hAnsi="楷体" w:cs="楷体"/>
          <w:b/>
          <w:sz w:val="32"/>
          <w:szCs w:val="32"/>
        </w:rPr>
      </w:pPr>
      <w:bookmarkStart w:id="58" w:name="_Toc15377224"/>
      <w:r>
        <w:rPr>
          <w:rFonts w:ascii="楷体" w:eastAsia="楷体" w:hAnsi="楷体" w:cs="楷体" w:hint="eastAsia"/>
          <w:b/>
          <w:sz w:val="32"/>
          <w:szCs w:val="32"/>
        </w:rPr>
        <w:t>（三）国有资产占有使用情况</w:t>
      </w:r>
      <w:bookmarkEnd w:id="58"/>
    </w:p>
    <w:p w:rsidR="005F59E8" w:rsidRDefault="00B958CE">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截至2020年12月31日，共有车辆3辆，其中：主要领导干部用车0辆、机要通信用车1辆、应急保障用车1辆、其他用车1辆。其他用车主要是用于招生、就业等外出公干用车。单价50万元以上通用设备6台（套），单价100万元以上专用</w:t>
      </w:r>
      <w:r>
        <w:rPr>
          <w:rFonts w:ascii="仿宋_GB2312" w:eastAsia="仿宋_GB2312" w:hAnsi="仿宋_GB2312" w:cs="仿宋_GB2312" w:hint="eastAsia"/>
          <w:color w:val="000000"/>
          <w:sz w:val="32"/>
          <w:szCs w:val="32"/>
        </w:rPr>
        <w:lastRenderedPageBreak/>
        <w:t>设备0台（套）。</w:t>
      </w:r>
    </w:p>
    <w:p w:rsidR="005F59E8" w:rsidRDefault="00B958CE" w:rsidP="000428D6">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（四）预算绩效管理情况</w:t>
      </w:r>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预算绩效管理要求，本单位在2020年度预算编制阶段，组织对“专业特聘教师”,“商务校运转专项经费”开展了预算事前绩效评估，对2个项目编制了绩效目标，预算执行过程中，选取2个项目开展绩效监控，年终执行完毕后，对2个项目开展了绩效目标完成情况自评。</w:t>
      </w:r>
    </w:p>
    <w:p w:rsidR="005F59E8" w:rsidRDefault="00B958CE">
      <w:pPr>
        <w:widowControl/>
        <w:numPr>
          <w:ilvl w:val="255"/>
          <w:numId w:val="0"/>
        </w:numPr>
        <w:adjustRightInd w:val="0"/>
        <w:snapToGrid w:val="0"/>
        <w:spacing w:line="56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本单位按要求对2020年整体支出开展绩效自评，从评价情况来看整体绩效情况。</w:t>
      </w:r>
    </w:p>
    <w:p w:rsidR="005F59E8" w:rsidRDefault="00B958CE">
      <w:pPr>
        <w:widowControl/>
        <w:adjustRightInd w:val="0"/>
        <w:snapToGrid w:val="0"/>
        <w:spacing w:line="56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2020年初学校申报项目6个，年中追加项目5个，全年共计专项项目11个，涉及资金2878.02万元，实际执行2033.64万元。</w:t>
      </w:r>
    </w:p>
    <w:p w:rsidR="005F59E8" w:rsidRDefault="00B958CE">
      <w:pPr>
        <w:widowControl/>
        <w:adjustRightInd w:val="0"/>
        <w:snapToGrid w:val="0"/>
        <w:spacing w:line="56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初申报项目中主要涉及学校教学正常运行的专业特聘教师专项支出、招生专项支出、运转专项、设施设备维修专项、教学及学生活动专项等。年中追加项目主要是根据中央和省对中职学生各类补助、补贴等政策规定下拨的免学费专项经费、各类助学金、9+3学生补助经费等。</w:t>
      </w:r>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度学校100万元以上的项目共4个，涉及年初项目2个，年中追加项目2个。年初申报的“专业特聘教师专项经费”和“商务校运转专项经费”均已编制绩效目标，并按要求在事前、事中、事后对绩效目标实现进度、完成情况进行了评价。</w:t>
      </w:r>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本单位还自行组织了2个项目支出绩效评价，从评价情况来看，该项目完成后将提升我校学生的实际操作能力，培</w:t>
      </w:r>
      <w:r>
        <w:rPr>
          <w:rFonts w:ascii="仿宋_GB2312" w:eastAsia="仿宋_GB2312" w:hAnsi="仿宋_GB2312" w:cs="仿宋_GB2312" w:hint="eastAsia"/>
          <w:color w:val="000000"/>
          <w:sz w:val="32"/>
          <w:szCs w:val="32"/>
        </w:rPr>
        <w:lastRenderedPageBreak/>
        <w:t>养更具适应性的现代商务人才。学校从项目基本情况，年度总目标设定，评价工作开展情况、绩效评价分析。对项目从设立决策，项目管理及出进行了详细的阐述，并对项目效益情况进行了总结和评价。</w:t>
      </w:r>
    </w:p>
    <w:p w:rsidR="005F59E8" w:rsidRDefault="00B958CE" w:rsidP="000428D6">
      <w:pPr>
        <w:spacing w:line="56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1.项目绩效目标完成情况。</w:t>
      </w:r>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本单位在2020年度部门决算中反映“专业特聘教师”“商务校运转专项经费”2个项目绩效目标实际完成情况。</w:t>
      </w:r>
    </w:p>
    <w:p w:rsidR="005F59E8" w:rsidRDefault="00B958CE">
      <w:pPr>
        <w:pStyle w:val="a0"/>
        <w:spacing w:before="93" w:line="560" w:lineRule="exact"/>
        <w:ind w:firstLineChars="200" w:firstLine="640"/>
        <w:rPr>
          <w:rFonts w:hAnsi="仿宋_GB2312" w:cs="仿宋_GB2312"/>
          <w:color w:val="000000"/>
          <w:kern w:val="2"/>
          <w:sz w:val="32"/>
          <w:szCs w:val="32"/>
        </w:rPr>
      </w:pPr>
      <w:r>
        <w:rPr>
          <w:rFonts w:hAnsi="仿宋_GB2312" w:cs="仿宋_GB2312" w:hint="eastAsia"/>
          <w:color w:val="000000"/>
          <w:kern w:val="2"/>
          <w:sz w:val="32"/>
          <w:szCs w:val="32"/>
        </w:rPr>
        <w:t>（1）“专业特聘”项目绩效目标完成情况综述。项目全年预算数670万元，执行数为670万元，完成预算的100%。通过项目实施，2020年我校聘请校外教师及专家共计300余人次，共参与我校14714节课堂教学工作，完成了年初预计3000余课的课时，并足额发放专家课时费。为提升学生实际操作能力和专业技能提升，在专业在校教师及聘请专家共同参与下，初步建成了校企共育，工学结合的“双主体，双结合，分段能力递进”的人才培养模式；根据学生实习和学生自己参与就业的情况的反馈，并与以往学生实习与就业情况对比，此模式下培养出的学生实际操作能力和展业技能提升明显。发现的主要问题：项目实施过程与目标还存在着一些差距，产出时效存在一定滞后性；项目设立应紧扣全省服务业，建立紧密对接我省产业链、创新链的专业体系，培养更具适应性的现代商务人才，学校需要能适应中职学校技能培训的商务专家教师，并加强项目过程管理及项目事后总结工作。下一步改进措施：今后工作中，我们将以这次部门绩效自评工作为契机，进一步提高责任意识，结合绩效目标合理</w:t>
      </w:r>
      <w:r>
        <w:rPr>
          <w:rFonts w:hAnsi="仿宋_GB2312" w:cs="仿宋_GB2312" w:hint="eastAsia"/>
          <w:color w:val="000000"/>
          <w:kern w:val="2"/>
          <w:sz w:val="32"/>
          <w:szCs w:val="32"/>
        </w:rPr>
        <w:lastRenderedPageBreak/>
        <w:t>调节预算，提高资金使用效率；加强预算管理，提前做好项目论证，对项目执行中存在的变动提前做好预案，防止预算执行过程中出现偏差；加强专项资金制度建设，提高资金使用过程中的制度引领效果；根据绩效目标落实责任，突出专项资金结果考核。</w:t>
      </w:r>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商务校运转专项经费”项目绩效目标完成情况综述。项目资金年初预算191.7万元，下达资金191.7万元，全年执行数191.7万元。项目执行完成率100%。通过项目实施，我校学生的住宿条件显著改善，独立淋浴系统和卫生间等生活设施能正常运行，学生生活质量明显提升。学生实训操作能力提升显著，学生管理后勤支持得以保障并能一定程度上解决社会职业教育需求，得到学生和家长好评。发现主要问题：加快推进学生宿舍管理、实训室经费控制管理制度建设和管理的推进，促进学校有限的经费能使用在刀刃上。即要有效满足师生对学生宿舍和实训室运行需要，又要严格控制有效项目经费。需要加强项目过程管理和项目事后总结。下一步改进措施：今后工作中，我们将以这次部门绩效自评工作为契机，进一步提高责任意识，结合绩效目标合理调节预算，提高资金使用效率；加强预算管理，提前做好项目论证，对项目执行中存在的变动提前做好预案，防止预算执行过程中出现偏差；加强专项资金制度建设，提高资金使用过程中的制度引领效果；根据绩效目标落实责任，突出专项资金结果考核。</w:t>
      </w: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tbl>
      <w:tblPr>
        <w:tblpPr w:leftFromText="180" w:rightFromText="180" w:vertAnchor="text" w:horzAnchor="page" w:tblpXSpec="center" w:tblpY="423"/>
        <w:tblOverlap w:val="never"/>
        <w:tblW w:w="9171" w:type="dxa"/>
        <w:jc w:val="center"/>
        <w:tblLayout w:type="fixed"/>
        <w:tblCellMar>
          <w:left w:w="0" w:type="dxa"/>
          <w:right w:w="0" w:type="dxa"/>
        </w:tblCellMar>
        <w:tblLook w:val="04A0"/>
      </w:tblPr>
      <w:tblGrid>
        <w:gridCol w:w="390"/>
        <w:gridCol w:w="1610"/>
        <w:gridCol w:w="782"/>
        <w:gridCol w:w="210"/>
        <w:gridCol w:w="2182"/>
        <w:gridCol w:w="1511"/>
        <w:gridCol w:w="2486"/>
      </w:tblGrid>
      <w:tr w:rsidR="005F59E8">
        <w:trPr>
          <w:trHeight w:val="1034"/>
          <w:jc w:val="center"/>
        </w:trPr>
        <w:tc>
          <w:tcPr>
            <w:tcW w:w="9171" w:type="dxa"/>
            <w:gridSpan w:val="7"/>
            <w:tcBorders>
              <w:top w:val="nil"/>
              <w:left w:val="nil"/>
              <w:bottom w:val="nil"/>
              <w:right w:val="nil"/>
            </w:tcBorders>
            <w:tcMar>
              <w:top w:w="15" w:type="dxa"/>
              <w:left w:w="15" w:type="dxa"/>
              <w:right w:w="15" w:type="dxa"/>
            </w:tcMar>
            <w:vAlign w:val="center"/>
          </w:tcPr>
          <w:p w:rsidR="005F59E8" w:rsidRDefault="00B958CE">
            <w:pPr>
              <w:widowControl/>
              <w:jc w:val="center"/>
              <w:textAlignment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项目绩效目标完成情况表</w:t>
            </w:r>
          </w:p>
          <w:p w:rsidR="005F59E8" w:rsidRDefault="00B958CE">
            <w:pPr>
              <w:widowControl/>
              <w:jc w:val="center"/>
              <w:textAlignment w:val="center"/>
              <w:rPr>
                <w:rFonts w:ascii="宋体" w:hAnsi="宋体" w:cs="宋体"/>
                <w:sz w:val="36"/>
                <w:szCs w:val="36"/>
              </w:rPr>
            </w:pPr>
            <w:r>
              <w:rPr>
                <w:rFonts w:ascii="宋体" w:hAnsi="宋体" w:cs="宋体" w:hint="eastAsia"/>
                <w:kern w:val="0"/>
                <w:sz w:val="36"/>
                <w:szCs w:val="36"/>
              </w:rPr>
              <w:t>(2020年度)</w:t>
            </w:r>
          </w:p>
        </w:tc>
      </w:tr>
      <w:tr w:rsidR="005F59E8">
        <w:trPr>
          <w:trHeight w:val="692"/>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项目名称</w:t>
            </w:r>
          </w:p>
        </w:tc>
        <w:tc>
          <w:tcPr>
            <w:tcW w:w="638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jc w:val="center"/>
              <w:rPr>
                <w:rFonts w:ascii="宋体" w:hAnsi="宋体" w:cs="宋体"/>
                <w:szCs w:val="21"/>
              </w:rPr>
            </w:pPr>
            <w:r>
              <w:rPr>
                <w:rFonts w:ascii="宋体" w:hAnsi="宋体" w:cs="宋体" w:hint="eastAsia"/>
                <w:szCs w:val="21"/>
              </w:rPr>
              <w:t>专业特聘教师</w:t>
            </w:r>
          </w:p>
        </w:tc>
      </w:tr>
      <w:tr w:rsidR="005F59E8">
        <w:trPr>
          <w:trHeight w:val="742"/>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预算单位</w:t>
            </w:r>
          </w:p>
        </w:tc>
        <w:tc>
          <w:tcPr>
            <w:tcW w:w="638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四川省商务学校</w:t>
            </w:r>
          </w:p>
        </w:tc>
      </w:tr>
      <w:tr w:rsidR="005F59E8">
        <w:trPr>
          <w:trHeight w:val="907"/>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670</w:t>
            </w: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执行数:</w:t>
            </w: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670</w:t>
            </w:r>
          </w:p>
        </w:tc>
      </w:tr>
      <w:tr w:rsidR="005F59E8">
        <w:trPr>
          <w:trHeight w:val="1057"/>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5F59E8">
            <w:pPr>
              <w:jc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670</w:t>
            </w: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其中-财政拨款:</w:t>
            </w: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670</w:t>
            </w:r>
          </w:p>
        </w:tc>
      </w:tr>
      <w:tr w:rsidR="005F59E8">
        <w:trPr>
          <w:trHeight w:val="188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5F59E8">
            <w:pPr>
              <w:jc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5F59E8">
            <w:pPr>
              <w:widowControl/>
              <w:jc w:val="center"/>
              <w:textAlignment w:val="center"/>
              <w:rPr>
                <w:rFonts w:ascii="宋体" w:hAnsi="宋体" w:cs="宋体"/>
                <w:szCs w:val="21"/>
              </w:rPr>
            </w:pP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其它资金:</w:t>
            </w: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5F59E8">
            <w:pPr>
              <w:jc w:val="center"/>
              <w:rPr>
                <w:rFonts w:ascii="宋体" w:hAnsi="宋体" w:cs="宋体"/>
                <w:szCs w:val="21"/>
              </w:rPr>
            </w:pPr>
          </w:p>
        </w:tc>
      </w:tr>
      <w:tr w:rsidR="005F59E8">
        <w:trPr>
          <w:trHeight w:val="802"/>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年度</w:t>
            </w:r>
            <w:r>
              <w:rPr>
                <w:rFonts w:ascii="宋体" w:hAnsi="宋体" w:cs="宋体" w:hint="eastAsia"/>
                <w:kern w:val="0"/>
                <w:szCs w:val="21"/>
              </w:rPr>
              <w:lastRenderedPageBreak/>
              <w:t>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lastRenderedPageBreak/>
              <w:t>预期目标</w:t>
            </w:r>
          </w:p>
        </w:tc>
        <w:tc>
          <w:tcPr>
            <w:tcW w:w="39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实际完成目标</w:t>
            </w:r>
          </w:p>
        </w:tc>
      </w:tr>
      <w:tr w:rsidR="005F59E8">
        <w:trPr>
          <w:trHeight w:val="456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5F59E8">
            <w:pPr>
              <w:jc w:val="center"/>
              <w:rPr>
                <w:rFonts w:ascii="宋体" w:hAnsi="宋体" w:cs="宋体"/>
                <w:szCs w:val="21"/>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jc w:val="left"/>
              <w:rPr>
                <w:rFonts w:ascii="宋体" w:hAnsi="宋体" w:cs="宋体"/>
                <w:szCs w:val="21"/>
              </w:rPr>
            </w:pPr>
            <w:r>
              <w:rPr>
                <w:rFonts w:ascii="宋体" w:hAnsi="宋体" w:cs="宋体" w:hint="eastAsia"/>
                <w:szCs w:val="21"/>
              </w:rPr>
              <w:t>本年拟聘任校外专家30-50人次，聘任校外教师200人次，用于弥补校内教师课程偏理论而不能适应中职学校技能培训的不足。学校烹饪、酒店、电商、财经专业共计聘任校外专家教师250人次，预计课时占全校总课时的10%，共计3000余课时，平均每人次每课时课酬80元，共需资金600万元。据测算，聘任校外任课教师后，对学生实际操作能力和专业技能将提升30%以上。</w:t>
            </w:r>
          </w:p>
        </w:tc>
        <w:tc>
          <w:tcPr>
            <w:tcW w:w="39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jc w:val="left"/>
              <w:rPr>
                <w:rFonts w:ascii="宋体" w:hAnsi="宋体" w:cs="宋体"/>
                <w:szCs w:val="21"/>
              </w:rPr>
            </w:pPr>
            <w:r>
              <w:rPr>
                <w:rFonts w:ascii="宋体" w:hAnsi="宋体" w:cs="宋体" w:hint="eastAsia"/>
                <w:szCs w:val="21"/>
              </w:rPr>
              <w:t>2020年我校聘请校外教师及专家共计300余人次，共参与我校14714节课堂教学工作，完成了年初预计3000余课的课时，并及时足额发放专家课时费。为提升学生实际操作能力和专业技能提升，在专业在校教师及聘请专家共同参与下，初步建成了校企共育，工学结合的“双主体，双结合，分段能力递进”的人才培养模式；根据学生实习和学生自己参与就业的情况的反馈，并与以往学生实习与就业情况对比，此模式下培养出的学生实际操作能力和展业技能提升明显。</w:t>
            </w:r>
          </w:p>
        </w:tc>
      </w:tr>
      <w:tr w:rsidR="005F59E8">
        <w:trPr>
          <w:trHeight w:val="1477"/>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lastRenderedPageBreak/>
              <w:t>绩效指标完成情况</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一级指标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三级指标</w:t>
            </w: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预期指标值(包含数字及文字描述)</w:t>
            </w: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实际完成指标值(包含数字及文字描述)</w:t>
            </w:r>
          </w:p>
        </w:tc>
      </w:tr>
      <w:tr w:rsidR="005F59E8">
        <w:trPr>
          <w:trHeight w:val="74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F59E8" w:rsidRDefault="005F59E8">
            <w:pPr>
              <w:widowControl/>
              <w:jc w:val="center"/>
              <w:textAlignment w:val="center"/>
              <w:rPr>
                <w:rFonts w:ascii="宋体" w:hAnsi="宋体" w:cs="宋体"/>
                <w:szCs w:val="21"/>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jc w:val="center"/>
              <w:rPr>
                <w:rFonts w:ascii="宋体" w:hAnsi="宋体" w:cs="宋体"/>
                <w:szCs w:val="21"/>
              </w:rPr>
            </w:pPr>
            <w:r>
              <w:rPr>
                <w:rFonts w:ascii="宋体" w:hAnsi="宋体" w:cs="宋体" w:hint="eastAsia"/>
                <w:szCs w:val="21"/>
              </w:rPr>
              <w:t>数量指标</w:t>
            </w:r>
          </w:p>
          <w:p w:rsidR="005F59E8" w:rsidRDefault="005F59E8">
            <w:pPr>
              <w:widowControl/>
              <w:jc w:val="center"/>
              <w:textAlignment w:val="center"/>
              <w:rPr>
                <w:rFonts w:ascii="宋体" w:hAnsi="宋体" w:cs="宋体"/>
                <w:szCs w:val="21"/>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jc w:val="center"/>
              <w:rPr>
                <w:rFonts w:ascii="宋体" w:hAnsi="宋体" w:cs="宋体"/>
                <w:szCs w:val="21"/>
              </w:rPr>
            </w:pPr>
            <w:r>
              <w:rPr>
                <w:rFonts w:ascii="宋体" w:hAnsi="宋体" w:cs="宋体" w:hint="eastAsia"/>
                <w:szCs w:val="21"/>
              </w:rPr>
              <w:t>中职免学费应受助</w:t>
            </w:r>
          </w:p>
          <w:p w:rsidR="005F59E8" w:rsidRDefault="00B958CE">
            <w:pPr>
              <w:jc w:val="center"/>
              <w:rPr>
                <w:rFonts w:ascii="宋体" w:hAnsi="宋体" w:cs="宋体"/>
                <w:szCs w:val="21"/>
              </w:rPr>
            </w:pPr>
            <w:r>
              <w:rPr>
                <w:rFonts w:ascii="宋体" w:hAnsi="宋体" w:cs="宋体" w:hint="eastAsia"/>
                <w:szCs w:val="21"/>
              </w:rPr>
              <w:t>学生数</w:t>
            </w:r>
          </w:p>
          <w:p w:rsidR="005F59E8" w:rsidRDefault="005F59E8">
            <w:pPr>
              <w:widowControl/>
              <w:jc w:val="center"/>
              <w:textAlignment w:val="center"/>
              <w:rPr>
                <w:rFonts w:ascii="宋体" w:hAnsi="宋体" w:cs="宋体"/>
                <w:szCs w:val="21"/>
              </w:rPr>
            </w:pP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jc w:val="center"/>
              <w:rPr>
                <w:rFonts w:ascii="宋体" w:hAnsi="宋体" w:cs="宋体"/>
                <w:szCs w:val="21"/>
              </w:rPr>
            </w:pPr>
            <w:r>
              <w:rPr>
                <w:rFonts w:ascii="宋体" w:hAnsi="宋体" w:cs="宋体" w:hint="eastAsia"/>
                <w:szCs w:val="21"/>
              </w:rPr>
              <w:t>2500人</w:t>
            </w:r>
          </w:p>
          <w:p w:rsidR="005F59E8" w:rsidRDefault="005F59E8">
            <w:pPr>
              <w:widowControl/>
              <w:jc w:val="center"/>
              <w:textAlignment w:val="center"/>
              <w:rPr>
                <w:rFonts w:ascii="宋体" w:hAnsi="宋体" w:cs="宋体"/>
                <w:szCs w:val="21"/>
              </w:rPr>
            </w:pP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jc w:val="center"/>
              <w:rPr>
                <w:rFonts w:ascii="宋体" w:hAnsi="宋体" w:cs="宋体"/>
                <w:szCs w:val="21"/>
              </w:rPr>
            </w:pPr>
            <w:r>
              <w:rPr>
                <w:rFonts w:ascii="宋体" w:hAnsi="宋体" w:cs="宋体" w:hint="eastAsia"/>
                <w:szCs w:val="21"/>
              </w:rPr>
              <w:t>2482人</w:t>
            </w:r>
          </w:p>
          <w:p w:rsidR="005F59E8" w:rsidRDefault="005F59E8">
            <w:pPr>
              <w:widowControl/>
              <w:jc w:val="center"/>
              <w:textAlignment w:val="center"/>
              <w:rPr>
                <w:rFonts w:ascii="宋体" w:hAnsi="宋体" w:cs="宋体"/>
                <w:szCs w:val="21"/>
              </w:rPr>
            </w:pPr>
          </w:p>
        </w:tc>
      </w:tr>
      <w:tr w:rsidR="005F59E8">
        <w:trPr>
          <w:trHeight w:val="91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F59E8" w:rsidRDefault="005F59E8">
            <w:pPr>
              <w:widowControl/>
              <w:jc w:val="center"/>
              <w:textAlignment w:val="center"/>
              <w:rPr>
                <w:rFonts w:ascii="宋体" w:hAnsi="宋体" w:cs="宋体"/>
                <w:szCs w:val="21"/>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5F59E8" w:rsidRDefault="00B958CE">
            <w:pPr>
              <w:rPr>
                <w:rFonts w:ascii="宋体" w:hAnsi="宋体" w:cs="宋体"/>
                <w:szCs w:val="21"/>
              </w:rPr>
            </w:pPr>
            <w:r>
              <w:rPr>
                <w:rFonts w:ascii="宋体" w:hAnsi="宋体" w:cs="宋体" w:hint="eastAsia"/>
                <w:szCs w:val="21"/>
              </w:rPr>
              <w:t>质量指标</w:t>
            </w:r>
          </w:p>
          <w:p w:rsidR="005F59E8" w:rsidRDefault="005F59E8">
            <w:pPr>
              <w:rPr>
                <w:rFonts w:ascii="宋体" w:hAnsi="宋体" w:cs="宋体"/>
                <w:szCs w:val="21"/>
              </w:rPr>
            </w:pP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5F59E8" w:rsidRDefault="00B958CE">
            <w:pPr>
              <w:jc w:val="center"/>
              <w:rPr>
                <w:rFonts w:ascii="宋体" w:hAnsi="宋体" w:cs="宋体"/>
                <w:szCs w:val="21"/>
              </w:rPr>
            </w:pPr>
            <w:r>
              <w:rPr>
                <w:rFonts w:ascii="宋体" w:hAnsi="宋体" w:cs="宋体" w:hint="eastAsia"/>
                <w:szCs w:val="21"/>
              </w:rPr>
              <w:t>专业课程建设</w:t>
            </w:r>
          </w:p>
          <w:p w:rsidR="005F59E8" w:rsidRDefault="005F59E8">
            <w:pPr>
              <w:jc w:val="center"/>
              <w:rPr>
                <w:rFonts w:ascii="宋体" w:hAnsi="宋体" w:cs="宋体"/>
                <w:szCs w:val="21"/>
              </w:rPr>
            </w:pP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5F59E8" w:rsidRDefault="00B958CE">
            <w:pPr>
              <w:jc w:val="center"/>
              <w:rPr>
                <w:rFonts w:ascii="宋体" w:hAnsi="宋体" w:cs="宋体"/>
                <w:szCs w:val="21"/>
              </w:rPr>
            </w:pPr>
            <w:r>
              <w:rPr>
                <w:rFonts w:ascii="宋体" w:hAnsi="宋体" w:cs="宋体" w:hint="eastAsia"/>
                <w:szCs w:val="21"/>
              </w:rPr>
              <w:t>4门课程</w:t>
            </w:r>
          </w:p>
          <w:p w:rsidR="005F59E8" w:rsidRDefault="005F59E8">
            <w:pPr>
              <w:pStyle w:val="a0"/>
              <w:spacing w:before="93"/>
              <w:rPr>
                <w:rFonts w:ascii="宋体" w:eastAsia="宋体" w:hAnsi="宋体" w:cs="宋体"/>
                <w:sz w:val="21"/>
                <w:szCs w:val="21"/>
              </w:rPr>
            </w:pP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5F59E8" w:rsidRDefault="00B958CE">
            <w:pPr>
              <w:jc w:val="center"/>
              <w:rPr>
                <w:rFonts w:ascii="宋体" w:hAnsi="宋体" w:cs="宋体"/>
                <w:szCs w:val="21"/>
              </w:rPr>
            </w:pPr>
            <w:r>
              <w:rPr>
                <w:rFonts w:ascii="宋体" w:hAnsi="宋体" w:cs="宋体" w:hint="eastAsia"/>
                <w:szCs w:val="21"/>
              </w:rPr>
              <w:t>4门课程</w:t>
            </w:r>
          </w:p>
          <w:p w:rsidR="005F59E8" w:rsidRDefault="005F59E8">
            <w:pPr>
              <w:pStyle w:val="a0"/>
              <w:spacing w:before="93"/>
              <w:rPr>
                <w:rFonts w:ascii="宋体" w:eastAsia="宋体" w:hAnsi="宋体" w:cs="宋体"/>
                <w:sz w:val="21"/>
                <w:szCs w:val="21"/>
              </w:rPr>
            </w:pPr>
          </w:p>
        </w:tc>
      </w:tr>
      <w:tr w:rsidR="005F59E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F59E8" w:rsidRDefault="005F59E8">
            <w:pPr>
              <w:widowControl/>
              <w:jc w:val="center"/>
              <w:textAlignment w:val="center"/>
              <w:rPr>
                <w:rFonts w:ascii="宋体" w:hAnsi="宋体" w:cs="宋体"/>
                <w:szCs w:val="21"/>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时效指标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发放完时间</w:t>
            </w: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12月</w:t>
            </w: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12月</w:t>
            </w:r>
          </w:p>
        </w:tc>
      </w:tr>
      <w:tr w:rsidR="005F59E8">
        <w:trPr>
          <w:trHeight w:val="141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F59E8" w:rsidRDefault="005F59E8">
            <w:pPr>
              <w:widowControl/>
              <w:jc w:val="center"/>
              <w:textAlignment w:val="center"/>
              <w:rPr>
                <w:rFonts w:ascii="宋体" w:hAnsi="宋体" w:cs="宋体"/>
                <w:szCs w:val="21"/>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kern w:val="0"/>
                <w:szCs w:val="21"/>
              </w:rPr>
            </w:pPr>
            <w:r>
              <w:rPr>
                <w:rFonts w:ascii="宋体" w:hAnsi="宋体" w:cs="宋体" w:hint="eastAsia"/>
                <w:kern w:val="0"/>
                <w:szCs w:val="21"/>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成本指标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成本控制达标率</w:t>
            </w: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15</w:t>
            </w: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0</w:t>
            </w:r>
          </w:p>
        </w:tc>
      </w:tr>
      <w:tr w:rsidR="005F59E8">
        <w:trPr>
          <w:trHeight w:val="142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F59E8" w:rsidRDefault="005F59E8">
            <w:pPr>
              <w:widowControl/>
              <w:jc w:val="center"/>
              <w:textAlignment w:val="center"/>
              <w:rPr>
                <w:rFonts w:ascii="宋体" w:hAnsi="宋体" w:cs="宋体"/>
                <w:szCs w:val="21"/>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效益指标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经济效益指标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为经济社会发展提供技术技能型人才</w:t>
            </w: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1200人</w:t>
            </w: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1012人</w:t>
            </w:r>
          </w:p>
        </w:tc>
      </w:tr>
      <w:tr w:rsidR="005F59E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F59E8" w:rsidRDefault="005F59E8">
            <w:pPr>
              <w:widowControl/>
              <w:jc w:val="center"/>
              <w:textAlignment w:val="center"/>
              <w:rPr>
                <w:rFonts w:ascii="宋体" w:hAnsi="宋体" w:cs="宋体"/>
                <w:szCs w:val="21"/>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效益指标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社会效益指标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职业教育受益学生</w:t>
            </w: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3500人</w:t>
            </w: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2734人</w:t>
            </w:r>
          </w:p>
        </w:tc>
      </w:tr>
      <w:tr w:rsidR="005F59E8">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F59E8" w:rsidRDefault="005F59E8">
            <w:pPr>
              <w:widowControl/>
              <w:jc w:val="center"/>
              <w:textAlignment w:val="center"/>
              <w:rPr>
                <w:rFonts w:ascii="宋体" w:hAnsi="宋体" w:cs="宋体"/>
                <w:szCs w:val="21"/>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kern w:val="0"/>
                <w:szCs w:val="21"/>
              </w:rPr>
              <w:t>满意度指标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学生和家长抽样调查满意度</w:t>
            </w:r>
          </w:p>
        </w:tc>
        <w:tc>
          <w:tcPr>
            <w:tcW w:w="1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95%</w:t>
            </w:r>
          </w:p>
        </w:tc>
        <w:tc>
          <w:tcPr>
            <w:tcW w:w="2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59E8" w:rsidRDefault="00B958CE">
            <w:pPr>
              <w:widowControl/>
              <w:jc w:val="center"/>
              <w:textAlignment w:val="center"/>
              <w:rPr>
                <w:rFonts w:ascii="宋体" w:hAnsi="宋体" w:cs="宋体"/>
                <w:szCs w:val="21"/>
              </w:rPr>
            </w:pPr>
            <w:r>
              <w:rPr>
                <w:rFonts w:ascii="宋体" w:hAnsi="宋体" w:cs="宋体" w:hint="eastAsia"/>
                <w:szCs w:val="21"/>
              </w:rPr>
              <w:t>96%</w:t>
            </w:r>
          </w:p>
        </w:tc>
      </w:tr>
    </w:tbl>
    <w:p w:rsidR="005F59E8" w:rsidRDefault="005F59E8">
      <w:pPr>
        <w:spacing w:line="580" w:lineRule="exact"/>
        <w:ind w:left="630"/>
        <w:rPr>
          <w:rFonts w:ascii="宋体" w:hAnsi="宋体" w:cs="宋体"/>
          <w:szCs w:val="21"/>
        </w:rPr>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tbl>
      <w:tblPr>
        <w:tblW w:w="8440" w:type="dxa"/>
        <w:tblInd w:w="89" w:type="dxa"/>
        <w:tblLook w:val="04A0"/>
      </w:tblPr>
      <w:tblGrid>
        <w:gridCol w:w="760"/>
        <w:gridCol w:w="805"/>
        <w:gridCol w:w="1209"/>
        <w:gridCol w:w="1468"/>
        <w:gridCol w:w="816"/>
        <w:gridCol w:w="2044"/>
        <w:gridCol w:w="1338"/>
      </w:tblGrid>
      <w:tr w:rsidR="005F59E8">
        <w:trPr>
          <w:trHeight w:val="711"/>
        </w:trPr>
        <w:tc>
          <w:tcPr>
            <w:tcW w:w="8440" w:type="dxa"/>
            <w:gridSpan w:val="7"/>
            <w:tcBorders>
              <w:top w:val="nil"/>
              <w:left w:val="nil"/>
              <w:bottom w:val="nil"/>
              <w:right w:val="nil"/>
            </w:tcBorders>
            <w:shd w:val="clear" w:color="auto" w:fill="auto"/>
            <w:vAlign w:val="center"/>
          </w:tcPr>
          <w:p w:rsidR="005F59E8" w:rsidRDefault="00B958CE">
            <w:pPr>
              <w:widowControl/>
              <w:jc w:val="center"/>
              <w:rPr>
                <w:rFonts w:ascii="宋体" w:hAnsi="宋体" w:cs="宋体"/>
                <w:b/>
                <w:bCs/>
                <w:kern w:val="0"/>
                <w:sz w:val="32"/>
                <w:szCs w:val="32"/>
              </w:rPr>
            </w:pPr>
            <w:r>
              <w:rPr>
                <w:rFonts w:ascii="方正小标宋_GBK" w:eastAsia="方正小标宋_GBK" w:hAnsi="方正小标宋_GBK" w:cs="方正小标宋_GBK" w:hint="eastAsia"/>
                <w:kern w:val="0"/>
                <w:sz w:val="36"/>
                <w:szCs w:val="36"/>
              </w:rPr>
              <w:t>项目支出绩效自评表</w:t>
            </w:r>
          </w:p>
        </w:tc>
      </w:tr>
      <w:tr w:rsidR="005F59E8">
        <w:trPr>
          <w:trHeight w:val="285"/>
        </w:trPr>
        <w:tc>
          <w:tcPr>
            <w:tcW w:w="8440" w:type="dxa"/>
            <w:gridSpan w:val="7"/>
            <w:tcBorders>
              <w:top w:val="nil"/>
              <w:left w:val="nil"/>
              <w:bottom w:val="nil"/>
              <w:right w:val="nil"/>
            </w:tcBorders>
            <w:shd w:val="clear" w:color="auto" w:fill="auto"/>
            <w:vAlign w:val="center"/>
          </w:tcPr>
          <w:p w:rsidR="005F59E8" w:rsidRDefault="00B958CE">
            <w:pPr>
              <w:widowControl/>
              <w:jc w:val="center"/>
              <w:rPr>
                <w:rFonts w:ascii="宋体" w:hAnsi="宋体" w:cs="宋体"/>
                <w:kern w:val="0"/>
                <w:szCs w:val="21"/>
              </w:rPr>
            </w:pPr>
            <w:r>
              <w:rPr>
                <w:rFonts w:ascii="宋体" w:hAnsi="宋体" w:cs="宋体" w:hint="eastAsia"/>
                <w:kern w:val="0"/>
                <w:szCs w:val="21"/>
              </w:rPr>
              <w:t>（       2020   年度）</w:t>
            </w:r>
          </w:p>
        </w:tc>
      </w:tr>
      <w:tr w:rsidR="005F59E8">
        <w:trPr>
          <w:trHeight w:val="439"/>
        </w:trPr>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w:t>
            </w:r>
          </w:p>
        </w:tc>
        <w:tc>
          <w:tcPr>
            <w:tcW w:w="6875" w:type="dxa"/>
            <w:gridSpan w:val="5"/>
            <w:tcBorders>
              <w:top w:val="single" w:sz="4" w:space="0" w:color="auto"/>
              <w:left w:val="nil"/>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省商务校运转专项经费</w:t>
            </w:r>
          </w:p>
        </w:tc>
      </w:tr>
      <w:tr w:rsidR="005F59E8">
        <w:trPr>
          <w:trHeight w:val="439"/>
        </w:trPr>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预算单位</w:t>
            </w:r>
          </w:p>
        </w:tc>
        <w:tc>
          <w:tcPr>
            <w:tcW w:w="6875" w:type="dxa"/>
            <w:gridSpan w:val="5"/>
            <w:tcBorders>
              <w:top w:val="single" w:sz="4" w:space="0" w:color="auto"/>
              <w:left w:val="nil"/>
              <w:bottom w:val="single" w:sz="4" w:space="0" w:color="auto"/>
              <w:right w:val="single" w:sz="4" w:space="0" w:color="000000"/>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四川省商务学校</w:t>
            </w:r>
          </w:p>
        </w:tc>
      </w:tr>
      <w:tr w:rsidR="005F59E8">
        <w:trPr>
          <w:trHeight w:val="439"/>
        </w:trPr>
        <w:tc>
          <w:tcPr>
            <w:tcW w:w="15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项目预算</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执行情况</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2677" w:type="dxa"/>
            <w:gridSpan w:val="2"/>
            <w:tcBorders>
              <w:top w:val="single" w:sz="4" w:space="0" w:color="auto"/>
              <w:left w:val="nil"/>
              <w:bottom w:val="single" w:sz="4" w:space="0" w:color="auto"/>
              <w:right w:val="single" w:sz="4" w:space="0" w:color="000000"/>
            </w:tcBorders>
            <w:shd w:val="clear" w:color="auto" w:fill="auto"/>
            <w:vAlign w:val="center"/>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预算数：</w:t>
            </w:r>
          </w:p>
        </w:tc>
        <w:tc>
          <w:tcPr>
            <w:tcW w:w="816" w:type="dxa"/>
            <w:tcBorders>
              <w:top w:val="nil"/>
              <w:left w:val="nil"/>
              <w:bottom w:val="single" w:sz="4" w:space="0" w:color="auto"/>
              <w:right w:val="single" w:sz="4" w:space="0" w:color="auto"/>
            </w:tcBorders>
            <w:shd w:val="clear" w:color="auto" w:fill="auto"/>
            <w:vAlign w:val="center"/>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191.7</w:t>
            </w:r>
          </w:p>
        </w:tc>
        <w:tc>
          <w:tcPr>
            <w:tcW w:w="2044" w:type="dxa"/>
            <w:tcBorders>
              <w:top w:val="nil"/>
              <w:left w:val="nil"/>
              <w:bottom w:val="single" w:sz="4" w:space="0" w:color="auto"/>
              <w:right w:val="single" w:sz="4" w:space="0" w:color="auto"/>
            </w:tcBorders>
            <w:shd w:val="clear" w:color="auto" w:fill="auto"/>
            <w:vAlign w:val="center"/>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执行数：</w:t>
            </w:r>
          </w:p>
        </w:tc>
        <w:tc>
          <w:tcPr>
            <w:tcW w:w="1338" w:type="dxa"/>
            <w:tcBorders>
              <w:top w:val="nil"/>
              <w:left w:val="nil"/>
              <w:bottom w:val="single" w:sz="4" w:space="0" w:color="auto"/>
              <w:right w:val="single" w:sz="4" w:space="0" w:color="auto"/>
            </w:tcBorders>
            <w:shd w:val="clear" w:color="auto" w:fill="auto"/>
            <w:vAlign w:val="center"/>
          </w:tcPr>
          <w:p w:rsidR="005F59E8" w:rsidRDefault="00B958CE">
            <w:pPr>
              <w:widowControl/>
              <w:jc w:val="righ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191.7</w:t>
            </w:r>
          </w:p>
        </w:tc>
      </w:tr>
      <w:tr w:rsidR="005F59E8">
        <w:trPr>
          <w:trHeight w:val="439"/>
        </w:trPr>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2677" w:type="dxa"/>
            <w:gridSpan w:val="2"/>
            <w:tcBorders>
              <w:top w:val="single" w:sz="4" w:space="0" w:color="auto"/>
              <w:left w:val="nil"/>
              <w:bottom w:val="single" w:sz="4" w:space="0" w:color="auto"/>
              <w:right w:val="single" w:sz="4" w:space="0" w:color="000000"/>
            </w:tcBorders>
            <w:shd w:val="clear" w:color="auto" w:fill="auto"/>
            <w:vAlign w:val="center"/>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其中：财政拨款</w:t>
            </w:r>
          </w:p>
        </w:tc>
        <w:tc>
          <w:tcPr>
            <w:tcW w:w="816" w:type="dxa"/>
            <w:tcBorders>
              <w:top w:val="nil"/>
              <w:left w:val="nil"/>
              <w:bottom w:val="single" w:sz="4" w:space="0" w:color="auto"/>
              <w:right w:val="single" w:sz="4" w:space="0" w:color="auto"/>
            </w:tcBorders>
            <w:shd w:val="clear" w:color="auto" w:fill="auto"/>
            <w:vAlign w:val="center"/>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191.7</w:t>
            </w:r>
          </w:p>
        </w:tc>
        <w:tc>
          <w:tcPr>
            <w:tcW w:w="2044" w:type="dxa"/>
            <w:tcBorders>
              <w:top w:val="nil"/>
              <w:left w:val="nil"/>
              <w:bottom w:val="single" w:sz="4" w:space="0" w:color="auto"/>
              <w:right w:val="single" w:sz="4" w:space="0" w:color="auto"/>
            </w:tcBorders>
            <w:shd w:val="clear" w:color="auto" w:fill="auto"/>
            <w:vAlign w:val="center"/>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其中：财政拨款</w:t>
            </w:r>
          </w:p>
        </w:tc>
        <w:tc>
          <w:tcPr>
            <w:tcW w:w="1338" w:type="dxa"/>
            <w:tcBorders>
              <w:top w:val="nil"/>
              <w:left w:val="nil"/>
              <w:bottom w:val="single" w:sz="4" w:space="0" w:color="auto"/>
              <w:right w:val="single" w:sz="4" w:space="0" w:color="auto"/>
            </w:tcBorders>
            <w:shd w:val="clear" w:color="auto" w:fill="auto"/>
            <w:vAlign w:val="center"/>
          </w:tcPr>
          <w:p w:rsidR="005F59E8" w:rsidRDefault="00B958CE">
            <w:pPr>
              <w:widowControl/>
              <w:jc w:val="righ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191.7</w:t>
            </w:r>
          </w:p>
        </w:tc>
      </w:tr>
      <w:tr w:rsidR="005F59E8">
        <w:trPr>
          <w:trHeight w:val="439"/>
        </w:trPr>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2677" w:type="dxa"/>
            <w:gridSpan w:val="2"/>
            <w:tcBorders>
              <w:top w:val="single" w:sz="4" w:space="0" w:color="auto"/>
              <w:left w:val="nil"/>
              <w:bottom w:val="single" w:sz="4" w:space="0" w:color="auto"/>
              <w:right w:val="single" w:sz="4" w:space="0" w:color="000000"/>
            </w:tcBorders>
            <w:shd w:val="clear" w:color="auto" w:fill="auto"/>
            <w:vAlign w:val="center"/>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其他资金</w:t>
            </w:r>
          </w:p>
        </w:tc>
        <w:tc>
          <w:tcPr>
            <w:tcW w:w="816" w:type="dxa"/>
            <w:tcBorders>
              <w:top w:val="nil"/>
              <w:left w:val="nil"/>
              <w:bottom w:val="single" w:sz="4" w:space="0" w:color="auto"/>
              <w:right w:val="single" w:sz="4" w:space="0" w:color="auto"/>
            </w:tcBorders>
            <w:shd w:val="clear" w:color="auto" w:fill="auto"/>
            <w:vAlign w:val="center"/>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0.0</w:t>
            </w:r>
          </w:p>
        </w:tc>
        <w:tc>
          <w:tcPr>
            <w:tcW w:w="2044" w:type="dxa"/>
            <w:tcBorders>
              <w:top w:val="nil"/>
              <w:left w:val="nil"/>
              <w:bottom w:val="single" w:sz="4" w:space="0" w:color="auto"/>
              <w:right w:val="single" w:sz="4" w:space="0" w:color="auto"/>
            </w:tcBorders>
            <w:shd w:val="clear" w:color="auto" w:fill="auto"/>
            <w:vAlign w:val="center"/>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其他资金</w:t>
            </w:r>
          </w:p>
        </w:tc>
        <w:tc>
          <w:tcPr>
            <w:tcW w:w="1338" w:type="dxa"/>
            <w:tcBorders>
              <w:top w:val="nil"/>
              <w:left w:val="nil"/>
              <w:bottom w:val="single" w:sz="4" w:space="0" w:color="auto"/>
              <w:right w:val="single" w:sz="4" w:space="0" w:color="auto"/>
            </w:tcBorders>
            <w:shd w:val="clear" w:color="auto" w:fill="auto"/>
            <w:vAlign w:val="center"/>
          </w:tcPr>
          <w:p w:rsidR="005F59E8" w:rsidRDefault="00B958CE">
            <w:pPr>
              <w:widowControl/>
              <w:jc w:val="righ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0.0</w:t>
            </w:r>
          </w:p>
        </w:tc>
      </w:tr>
      <w:tr w:rsidR="005F59E8">
        <w:trPr>
          <w:trHeight w:val="439"/>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年</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度</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总</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体</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目</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完</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成</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情</w:t>
            </w:r>
          </w:p>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况</w:t>
            </w:r>
          </w:p>
        </w:tc>
        <w:tc>
          <w:tcPr>
            <w:tcW w:w="4298" w:type="dxa"/>
            <w:gridSpan w:val="4"/>
            <w:tcBorders>
              <w:top w:val="single" w:sz="4" w:space="0" w:color="auto"/>
              <w:left w:val="nil"/>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预期目标</w:t>
            </w:r>
          </w:p>
        </w:tc>
        <w:tc>
          <w:tcPr>
            <w:tcW w:w="3382" w:type="dxa"/>
            <w:gridSpan w:val="2"/>
            <w:tcBorders>
              <w:top w:val="single" w:sz="4" w:space="0" w:color="auto"/>
              <w:left w:val="nil"/>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目标实际完成情况</w:t>
            </w:r>
          </w:p>
        </w:tc>
      </w:tr>
      <w:tr w:rsidR="005F59E8">
        <w:trPr>
          <w:trHeight w:val="1995"/>
        </w:trPr>
        <w:tc>
          <w:tcPr>
            <w:tcW w:w="760" w:type="dxa"/>
            <w:vMerge/>
            <w:tcBorders>
              <w:top w:val="nil"/>
              <w:left w:val="single" w:sz="4" w:space="0" w:color="auto"/>
              <w:bottom w:val="single" w:sz="4" w:space="0" w:color="auto"/>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4298" w:type="dxa"/>
            <w:gridSpan w:val="4"/>
            <w:tcBorders>
              <w:top w:val="single" w:sz="4" w:space="0" w:color="auto"/>
              <w:left w:val="nil"/>
              <w:bottom w:val="single" w:sz="4" w:space="0" w:color="auto"/>
              <w:right w:val="single" w:sz="4" w:space="0" w:color="000000"/>
            </w:tcBorders>
            <w:shd w:val="clear" w:color="auto" w:fill="auto"/>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校有安靖和武侯两个校区，占地约250亩，共有学生3500余人，教职工280余人。但两个校区均为建成10年以上的建筑，加之学生公寓每天24小时运转，所需维护成本较高。并为提高学生生活质量，前期学校投入大量资金对学生宿舍进行了公寓化改造，配置了独立淋浴系统和卫生间，故运行费用较高。另外，因学校开设的烹饪专业情况特殊，学生实训操作需使用天然气，除学生缴纳的费用能补贴一部分外，学校也需每月支付较大金额的燃气费用。</w:t>
            </w:r>
          </w:p>
        </w:tc>
        <w:tc>
          <w:tcPr>
            <w:tcW w:w="3382" w:type="dxa"/>
            <w:gridSpan w:val="2"/>
            <w:tcBorders>
              <w:top w:val="single" w:sz="4" w:space="0" w:color="auto"/>
              <w:left w:val="nil"/>
              <w:bottom w:val="single" w:sz="4" w:space="0" w:color="auto"/>
              <w:right w:val="single" w:sz="4" w:space="0" w:color="000000"/>
            </w:tcBorders>
            <w:shd w:val="clear" w:color="auto" w:fill="auto"/>
          </w:tcPr>
          <w:p w:rsidR="005F59E8" w:rsidRDefault="00B958CE">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2020年度弥补学生宿舍水费不足43.03万元，弥补学生电费不足59.71万元，弥补烹饪专业学生实训操作燃气费支出2.47万元。因疫情影响，将部分资金用于疫情防控，支出金额4.28万元。用于其他运行等支出82.21万元，集中于学生实训专业材料采购、垃圾清运、临时突发活动等。</w:t>
            </w:r>
          </w:p>
        </w:tc>
      </w:tr>
      <w:tr w:rsidR="005F59E8">
        <w:trPr>
          <w:trHeight w:val="439"/>
        </w:trPr>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年              度           绩               </w:t>
            </w:r>
            <w:r>
              <w:rPr>
                <w:rFonts w:asciiTheme="minorEastAsia" w:eastAsiaTheme="minorEastAsia" w:hAnsiTheme="minorEastAsia" w:cstheme="minorEastAsia" w:hint="eastAsia"/>
                <w:kern w:val="0"/>
                <w:szCs w:val="21"/>
              </w:rPr>
              <w:lastRenderedPageBreak/>
              <w:t>效             指            标             完           成              情               况</w:t>
            </w:r>
          </w:p>
        </w:tc>
        <w:tc>
          <w:tcPr>
            <w:tcW w:w="805" w:type="dxa"/>
            <w:tcBorders>
              <w:top w:val="nil"/>
              <w:left w:val="nil"/>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一级指标</w:t>
            </w:r>
          </w:p>
        </w:tc>
        <w:tc>
          <w:tcPr>
            <w:tcW w:w="1209" w:type="dxa"/>
            <w:tcBorders>
              <w:top w:val="nil"/>
              <w:left w:val="nil"/>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二级指标</w:t>
            </w: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三级指标</w:t>
            </w:r>
          </w:p>
        </w:tc>
        <w:tc>
          <w:tcPr>
            <w:tcW w:w="2044" w:type="dxa"/>
            <w:tcBorders>
              <w:top w:val="nil"/>
              <w:left w:val="nil"/>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预期指标值</w:t>
            </w:r>
          </w:p>
        </w:tc>
        <w:tc>
          <w:tcPr>
            <w:tcW w:w="1338" w:type="dxa"/>
            <w:tcBorders>
              <w:top w:val="nil"/>
              <w:left w:val="nil"/>
              <w:bottom w:val="single" w:sz="4" w:space="0" w:color="auto"/>
              <w:right w:val="single" w:sz="4" w:space="0" w:color="auto"/>
            </w:tcBorders>
            <w:shd w:val="clear" w:color="auto" w:fill="auto"/>
            <w:vAlign w:val="center"/>
          </w:tcPr>
          <w:p w:rsidR="005F59E8" w:rsidRDefault="00B958CE">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实际完成指标值</w:t>
            </w:r>
          </w:p>
        </w:tc>
      </w:tr>
      <w:tr w:rsidR="005F59E8">
        <w:trPr>
          <w:trHeight w:val="480"/>
        </w:trPr>
        <w:tc>
          <w:tcPr>
            <w:tcW w:w="760" w:type="dxa"/>
            <w:vMerge/>
            <w:tcBorders>
              <w:top w:val="nil"/>
              <w:left w:val="single" w:sz="4" w:space="0" w:color="auto"/>
              <w:bottom w:val="single" w:sz="4" w:space="0" w:color="000000"/>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805" w:type="dxa"/>
            <w:vMerge w:val="restart"/>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完</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成</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指</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标</w:t>
            </w:r>
          </w:p>
        </w:tc>
        <w:tc>
          <w:tcPr>
            <w:tcW w:w="1209"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数量指标</w:t>
            </w:r>
          </w:p>
        </w:tc>
        <w:tc>
          <w:tcPr>
            <w:tcW w:w="2284" w:type="dxa"/>
            <w:gridSpan w:val="2"/>
            <w:tcBorders>
              <w:top w:val="single" w:sz="4" w:space="0" w:color="000000"/>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开发精品课程数量</w:t>
            </w:r>
          </w:p>
        </w:tc>
        <w:tc>
          <w:tcPr>
            <w:tcW w:w="2044"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3-5</w:t>
            </w:r>
          </w:p>
        </w:tc>
        <w:tc>
          <w:tcPr>
            <w:tcW w:w="1338"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r>
      <w:tr w:rsidR="005F59E8">
        <w:trPr>
          <w:trHeight w:val="480"/>
        </w:trPr>
        <w:tc>
          <w:tcPr>
            <w:tcW w:w="760" w:type="dxa"/>
            <w:vMerge/>
            <w:tcBorders>
              <w:top w:val="nil"/>
              <w:left w:val="single" w:sz="4" w:space="0" w:color="auto"/>
              <w:bottom w:val="single" w:sz="4" w:space="0" w:color="000000"/>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805" w:type="dxa"/>
            <w:vMerge/>
            <w:tcBorders>
              <w:top w:val="nil"/>
              <w:left w:val="nil"/>
              <w:bottom w:val="single" w:sz="4" w:space="0" w:color="000000"/>
              <w:right w:val="single" w:sz="4" w:space="0" w:color="000000"/>
            </w:tcBorders>
            <w:vAlign w:val="center"/>
          </w:tcPr>
          <w:p w:rsidR="005F59E8" w:rsidRDefault="005F59E8">
            <w:pPr>
              <w:widowControl/>
              <w:jc w:val="left"/>
              <w:rPr>
                <w:rFonts w:asciiTheme="minorEastAsia" w:eastAsiaTheme="minorEastAsia" w:hAnsiTheme="minorEastAsia" w:cstheme="minorEastAsia"/>
                <w:color w:val="000000"/>
                <w:kern w:val="0"/>
                <w:szCs w:val="21"/>
              </w:rPr>
            </w:pPr>
          </w:p>
        </w:tc>
        <w:tc>
          <w:tcPr>
            <w:tcW w:w="1209"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质量指标</w:t>
            </w:r>
          </w:p>
        </w:tc>
        <w:tc>
          <w:tcPr>
            <w:tcW w:w="2284" w:type="dxa"/>
            <w:gridSpan w:val="2"/>
            <w:tcBorders>
              <w:top w:val="single" w:sz="4" w:space="0" w:color="000000"/>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系统运行质量</w:t>
            </w:r>
          </w:p>
        </w:tc>
        <w:tc>
          <w:tcPr>
            <w:tcW w:w="2044"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提高10</w:t>
            </w:r>
          </w:p>
        </w:tc>
        <w:tc>
          <w:tcPr>
            <w:tcW w:w="1338"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r>
      <w:tr w:rsidR="005F59E8">
        <w:trPr>
          <w:trHeight w:val="480"/>
        </w:trPr>
        <w:tc>
          <w:tcPr>
            <w:tcW w:w="760" w:type="dxa"/>
            <w:vMerge/>
            <w:tcBorders>
              <w:top w:val="nil"/>
              <w:left w:val="single" w:sz="4" w:space="0" w:color="auto"/>
              <w:bottom w:val="single" w:sz="4" w:space="0" w:color="000000"/>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805" w:type="dxa"/>
            <w:vMerge/>
            <w:tcBorders>
              <w:top w:val="nil"/>
              <w:left w:val="nil"/>
              <w:bottom w:val="single" w:sz="4" w:space="0" w:color="000000"/>
              <w:right w:val="single" w:sz="4" w:space="0" w:color="000000"/>
            </w:tcBorders>
            <w:vAlign w:val="center"/>
          </w:tcPr>
          <w:p w:rsidR="005F59E8" w:rsidRDefault="005F59E8">
            <w:pPr>
              <w:widowControl/>
              <w:jc w:val="left"/>
              <w:rPr>
                <w:rFonts w:asciiTheme="minorEastAsia" w:eastAsiaTheme="minorEastAsia" w:hAnsiTheme="minorEastAsia" w:cstheme="minorEastAsia"/>
                <w:color w:val="000000"/>
                <w:kern w:val="0"/>
                <w:szCs w:val="21"/>
              </w:rPr>
            </w:pPr>
          </w:p>
        </w:tc>
        <w:tc>
          <w:tcPr>
            <w:tcW w:w="1209"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时效指标</w:t>
            </w:r>
          </w:p>
        </w:tc>
        <w:tc>
          <w:tcPr>
            <w:tcW w:w="2284" w:type="dxa"/>
            <w:gridSpan w:val="2"/>
            <w:tcBorders>
              <w:top w:val="single" w:sz="4" w:space="0" w:color="000000"/>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保障时限</w:t>
            </w:r>
          </w:p>
        </w:tc>
        <w:tc>
          <w:tcPr>
            <w:tcW w:w="2044"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p>
        </w:tc>
        <w:tc>
          <w:tcPr>
            <w:tcW w:w="1338"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p>
        </w:tc>
      </w:tr>
      <w:tr w:rsidR="005F59E8">
        <w:trPr>
          <w:trHeight w:val="480"/>
        </w:trPr>
        <w:tc>
          <w:tcPr>
            <w:tcW w:w="760" w:type="dxa"/>
            <w:vMerge/>
            <w:tcBorders>
              <w:top w:val="nil"/>
              <w:left w:val="single" w:sz="4" w:space="0" w:color="auto"/>
              <w:bottom w:val="single" w:sz="4" w:space="0" w:color="000000"/>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805" w:type="dxa"/>
            <w:vMerge/>
            <w:tcBorders>
              <w:top w:val="nil"/>
              <w:left w:val="nil"/>
              <w:bottom w:val="single" w:sz="4" w:space="0" w:color="000000"/>
              <w:right w:val="single" w:sz="4" w:space="0" w:color="000000"/>
            </w:tcBorders>
            <w:vAlign w:val="center"/>
          </w:tcPr>
          <w:p w:rsidR="005F59E8" w:rsidRDefault="005F59E8">
            <w:pPr>
              <w:widowControl/>
              <w:jc w:val="left"/>
              <w:rPr>
                <w:rFonts w:asciiTheme="minorEastAsia" w:eastAsiaTheme="minorEastAsia" w:hAnsiTheme="minorEastAsia" w:cstheme="minorEastAsia"/>
                <w:color w:val="000000"/>
                <w:kern w:val="0"/>
                <w:szCs w:val="21"/>
              </w:rPr>
            </w:pPr>
          </w:p>
        </w:tc>
        <w:tc>
          <w:tcPr>
            <w:tcW w:w="1209"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成本指标</w:t>
            </w:r>
          </w:p>
        </w:tc>
        <w:tc>
          <w:tcPr>
            <w:tcW w:w="2284" w:type="dxa"/>
            <w:gridSpan w:val="2"/>
            <w:tcBorders>
              <w:top w:val="single" w:sz="4" w:space="0" w:color="000000"/>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控制成本</w:t>
            </w:r>
          </w:p>
        </w:tc>
        <w:tc>
          <w:tcPr>
            <w:tcW w:w="2044"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w:t>
            </w:r>
          </w:p>
        </w:tc>
        <w:tc>
          <w:tcPr>
            <w:tcW w:w="1338"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0</w:t>
            </w:r>
          </w:p>
        </w:tc>
      </w:tr>
      <w:tr w:rsidR="005F59E8">
        <w:trPr>
          <w:trHeight w:val="480"/>
        </w:trPr>
        <w:tc>
          <w:tcPr>
            <w:tcW w:w="760" w:type="dxa"/>
            <w:vMerge/>
            <w:tcBorders>
              <w:top w:val="nil"/>
              <w:left w:val="single" w:sz="4" w:space="0" w:color="auto"/>
              <w:bottom w:val="single" w:sz="4" w:space="0" w:color="000000"/>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805" w:type="dxa"/>
            <w:vMerge w:val="restart"/>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效</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益</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指</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标</w:t>
            </w:r>
          </w:p>
        </w:tc>
        <w:tc>
          <w:tcPr>
            <w:tcW w:w="1209"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经济效益指标</w:t>
            </w:r>
          </w:p>
        </w:tc>
        <w:tc>
          <w:tcPr>
            <w:tcW w:w="2284" w:type="dxa"/>
            <w:gridSpan w:val="2"/>
            <w:tcBorders>
              <w:top w:val="single" w:sz="4" w:space="0" w:color="000000"/>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补助寄宿制学生数量</w:t>
            </w:r>
          </w:p>
        </w:tc>
        <w:tc>
          <w:tcPr>
            <w:tcW w:w="2044"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2000</w:t>
            </w:r>
          </w:p>
        </w:tc>
        <w:tc>
          <w:tcPr>
            <w:tcW w:w="1338"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2439</w:t>
            </w:r>
          </w:p>
        </w:tc>
      </w:tr>
      <w:tr w:rsidR="005F59E8">
        <w:trPr>
          <w:trHeight w:val="480"/>
        </w:trPr>
        <w:tc>
          <w:tcPr>
            <w:tcW w:w="760" w:type="dxa"/>
            <w:vMerge/>
            <w:tcBorders>
              <w:top w:val="nil"/>
              <w:left w:val="single" w:sz="4" w:space="0" w:color="auto"/>
              <w:bottom w:val="single" w:sz="4" w:space="0" w:color="000000"/>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805" w:type="dxa"/>
            <w:vMerge/>
            <w:tcBorders>
              <w:top w:val="nil"/>
              <w:left w:val="nil"/>
              <w:bottom w:val="single" w:sz="4" w:space="0" w:color="000000"/>
              <w:right w:val="single" w:sz="4" w:space="0" w:color="000000"/>
            </w:tcBorders>
            <w:vAlign w:val="center"/>
          </w:tcPr>
          <w:p w:rsidR="005F59E8" w:rsidRDefault="005F59E8">
            <w:pPr>
              <w:widowControl/>
              <w:jc w:val="left"/>
              <w:rPr>
                <w:rFonts w:asciiTheme="minorEastAsia" w:eastAsiaTheme="minorEastAsia" w:hAnsiTheme="minorEastAsia" w:cstheme="minorEastAsia"/>
                <w:color w:val="000000"/>
                <w:kern w:val="0"/>
                <w:szCs w:val="21"/>
              </w:rPr>
            </w:pPr>
          </w:p>
        </w:tc>
        <w:tc>
          <w:tcPr>
            <w:tcW w:w="1209"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社会效益指标</w:t>
            </w:r>
          </w:p>
        </w:tc>
        <w:tc>
          <w:tcPr>
            <w:tcW w:w="2284" w:type="dxa"/>
            <w:gridSpan w:val="2"/>
            <w:tcBorders>
              <w:top w:val="single" w:sz="4" w:space="0" w:color="000000"/>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职业教育受益学生</w:t>
            </w:r>
          </w:p>
        </w:tc>
        <w:tc>
          <w:tcPr>
            <w:tcW w:w="2044"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3500</w:t>
            </w:r>
          </w:p>
        </w:tc>
        <w:tc>
          <w:tcPr>
            <w:tcW w:w="1338"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2734</w:t>
            </w:r>
          </w:p>
        </w:tc>
      </w:tr>
      <w:tr w:rsidR="005F59E8">
        <w:trPr>
          <w:trHeight w:val="480"/>
        </w:trPr>
        <w:tc>
          <w:tcPr>
            <w:tcW w:w="760" w:type="dxa"/>
            <w:vMerge/>
            <w:tcBorders>
              <w:top w:val="nil"/>
              <w:left w:val="single" w:sz="4" w:space="0" w:color="auto"/>
              <w:bottom w:val="single" w:sz="4" w:space="0" w:color="000000"/>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805" w:type="dxa"/>
            <w:vMerge/>
            <w:tcBorders>
              <w:top w:val="nil"/>
              <w:left w:val="nil"/>
              <w:bottom w:val="single" w:sz="4" w:space="0" w:color="000000"/>
              <w:right w:val="single" w:sz="4" w:space="0" w:color="000000"/>
            </w:tcBorders>
            <w:vAlign w:val="center"/>
          </w:tcPr>
          <w:p w:rsidR="005F59E8" w:rsidRDefault="005F59E8">
            <w:pPr>
              <w:widowControl/>
              <w:jc w:val="left"/>
              <w:rPr>
                <w:rFonts w:asciiTheme="minorEastAsia" w:eastAsiaTheme="minorEastAsia" w:hAnsiTheme="minorEastAsia" w:cstheme="minorEastAsia"/>
                <w:color w:val="000000"/>
                <w:kern w:val="0"/>
                <w:szCs w:val="21"/>
              </w:rPr>
            </w:pPr>
          </w:p>
        </w:tc>
        <w:tc>
          <w:tcPr>
            <w:tcW w:w="1209"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生态效益指标</w:t>
            </w:r>
          </w:p>
        </w:tc>
        <w:tc>
          <w:tcPr>
            <w:tcW w:w="2284" w:type="dxa"/>
            <w:gridSpan w:val="2"/>
            <w:tcBorders>
              <w:top w:val="single" w:sz="4" w:space="0" w:color="000000"/>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c>
          <w:tcPr>
            <w:tcW w:w="2044"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c>
          <w:tcPr>
            <w:tcW w:w="1338"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5F59E8">
        <w:trPr>
          <w:trHeight w:val="504"/>
        </w:trPr>
        <w:tc>
          <w:tcPr>
            <w:tcW w:w="760" w:type="dxa"/>
            <w:vMerge/>
            <w:tcBorders>
              <w:top w:val="nil"/>
              <w:left w:val="single" w:sz="4" w:space="0" w:color="auto"/>
              <w:bottom w:val="single" w:sz="4" w:space="0" w:color="000000"/>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805" w:type="dxa"/>
            <w:vMerge/>
            <w:tcBorders>
              <w:top w:val="nil"/>
              <w:left w:val="nil"/>
              <w:bottom w:val="single" w:sz="4" w:space="0" w:color="000000"/>
              <w:right w:val="single" w:sz="4" w:space="0" w:color="000000"/>
            </w:tcBorders>
            <w:vAlign w:val="center"/>
          </w:tcPr>
          <w:p w:rsidR="005F59E8" w:rsidRDefault="005F59E8">
            <w:pPr>
              <w:widowControl/>
              <w:jc w:val="left"/>
              <w:rPr>
                <w:rFonts w:asciiTheme="minorEastAsia" w:eastAsiaTheme="minorEastAsia" w:hAnsiTheme="minorEastAsia" w:cstheme="minorEastAsia"/>
                <w:color w:val="000000"/>
                <w:kern w:val="0"/>
                <w:szCs w:val="21"/>
              </w:rPr>
            </w:pPr>
          </w:p>
        </w:tc>
        <w:tc>
          <w:tcPr>
            <w:tcW w:w="1209"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可持续影响指标</w:t>
            </w:r>
          </w:p>
        </w:tc>
        <w:tc>
          <w:tcPr>
            <w:tcW w:w="2284" w:type="dxa"/>
            <w:gridSpan w:val="2"/>
            <w:tcBorders>
              <w:top w:val="single" w:sz="4" w:space="0" w:color="000000"/>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可持续影响时间</w:t>
            </w:r>
          </w:p>
        </w:tc>
        <w:tc>
          <w:tcPr>
            <w:tcW w:w="2044"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3-5</w:t>
            </w:r>
          </w:p>
        </w:tc>
        <w:tc>
          <w:tcPr>
            <w:tcW w:w="1338"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3-5</w:t>
            </w:r>
          </w:p>
        </w:tc>
      </w:tr>
      <w:tr w:rsidR="005F59E8">
        <w:trPr>
          <w:trHeight w:val="480"/>
        </w:trPr>
        <w:tc>
          <w:tcPr>
            <w:tcW w:w="760" w:type="dxa"/>
            <w:vMerge/>
            <w:tcBorders>
              <w:top w:val="nil"/>
              <w:left w:val="single" w:sz="4" w:space="0" w:color="auto"/>
              <w:bottom w:val="single" w:sz="4" w:space="0" w:color="000000"/>
              <w:right w:val="single" w:sz="4" w:space="0" w:color="auto"/>
            </w:tcBorders>
            <w:vAlign w:val="center"/>
          </w:tcPr>
          <w:p w:rsidR="005F59E8" w:rsidRDefault="005F59E8">
            <w:pPr>
              <w:widowControl/>
              <w:jc w:val="left"/>
              <w:rPr>
                <w:rFonts w:asciiTheme="minorEastAsia" w:eastAsiaTheme="minorEastAsia" w:hAnsiTheme="minorEastAsia" w:cstheme="minorEastAsia"/>
                <w:kern w:val="0"/>
                <w:szCs w:val="21"/>
              </w:rPr>
            </w:pPr>
          </w:p>
        </w:tc>
        <w:tc>
          <w:tcPr>
            <w:tcW w:w="805"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满</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意</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度</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指</w:t>
            </w:r>
          </w:p>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标</w:t>
            </w:r>
          </w:p>
        </w:tc>
        <w:tc>
          <w:tcPr>
            <w:tcW w:w="1209"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满意度指标</w:t>
            </w:r>
          </w:p>
        </w:tc>
        <w:tc>
          <w:tcPr>
            <w:tcW w:w="2284" w:type="dxa"/>
            <w:gridSpan w:val="2"/>
            <w:tcBorders>
              <w:top w:val="single" w:sz="4" w:space="0" w:color="000000"/>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服务对象满意度</w:t>
            </w:r>
          </w:p>
        </w:tc>
        <w:tc>
          <w:tcPr>
            <w:tcW w:w="2044"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95</w:t>
            </w:r>
          </w:p>
        </w:tc>
        <w:tc>
          <w:tcPr>
            <w:tcW w:w="1338" w:type="dxa"/>
            <w:tcBorders>
              <w:top w:val="nil"/>
              <w:left w:val="nil"/>
              <w:bottom w:val="single" w:sz="4" w:space="0" w:color="000000"/>
              <w:right w:val="single" w:sz="4" w:space="0" w:color="000000"/>
            </w:tcBorders>
            <w:shd w:val="clear" w:color="auto" w:fill="auto"/>
            <w:vAlign w:val="bottom"/>
          </w:tcPr>
          <w:p w:rsidR="005F59E8" w:rsidRDefault="00B958CE">
            <w:pPr>
              <w:widowControl/>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96</w:t>
            </w:r>
          </w:p>
        </w:tc>
      </w:tr>
    </w:tbl>
    <w:p w:rsidR="005F59E8" w:rsidRDefault="00B958CE" w:rsidP="000428D6">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2.</w:t>
      </w:r>
      <w:bookmarkStart w:id="59" w:name="_GoBack"/>
      <w:bookmarkEnd w:id="59"/>
      <w:r>
        <w:rPr>
          <w:rFonts w:ascii="楷体" w:eastAsia="楷体" w:hAnsi="楷体" w:cs="楷体" w:hint="eastAsia"/>
          <w:b/>
          <w:bCs/>
          <w:sz w:val="32"/>
          <w:szCs w:val="32"/>
        </w:rPr>
        <w:t>单位绩效评价结果。</w:t>
      </w:r>
    </w:p>
    <w:p w:rsidR="005F59E8" w:rsidRDefault="00B958CE">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本单位自行组织对“专业特聘教师”“商务校运转专项经费”2个项目开展了绩效评价，见附件（第四部分）。</w:t>
      </w:r>
    </w:p>
    <w:p w:rsidR="005F59E8" w:rsidRDefault="00B958CE" w:rsidP="000428D6">
      <w:pPr>
        <w:widowControl/>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br w:type="page"/>
      </w:r>
    </w:p>
    <w:p w:rsidR="005F59E8" w:rsidRDefault="00B958CE">
      <w:pPr>
        <w:spacing w:line="600" w:lineRule="exact"/>
        <w:jc w:val="center"/>
        <w:outlineLvl w:val="0"/>
        <w:rPr>
          <w:rStyle w:val="1Char"/>
          <w:rFonts w:ascii="黑体" w:eastAsia="黑体" w:hAnsi="黑体" w:cs="黑体"/>
          <w:b w:val="0"/>
          <w:sz w:val="32"/>
          <w:szCs w:val="32"/>
        </w:rPr>
      </w:pPr>
      <w:bookmarkStart w:id="60" w:name="_Toc15396613"/>
      <w:bookmarkStart w:id="61" w:name="_Toc15377225"/>
      <w:bookmarkStart w:id="62" w:name="_Toc7419"/>
      <w:r>
        <w:rPr>
          <w:rFonts w:ascii="黑体" w:eastAsia="黑体" w:hAnsi="黑体" w:cs="黑体" w:hint="eastAsia"/>
          <w:color w:val="000000"/>
          <w:sz w:val="32"/>
          <w:szCs w:val="32"/>
        </w:rPr>
        <w:lastRenderedPageBreak/>
        <w:t>第三部分 名</w:t>
      </w:r>
      <w:r>
        <w:rPr>
          <w:rStyle w:val="1Char"/>
          <w:rFonts w:ascii="黑体" w:eastAsia="黑体" w:hAnsi="黑体" w:cs="黑体" w:hint="eastAsia"/>
          <w:b w:val="0"/>
          <w:sz w:val="32"/>
          <w:szCs w:val="32"/>
        </w:rPr>
        <w:t>词解释</w:t>
      </w:r>
      <w:bookmarkEnd w:id="60"/>
      <w:bookmarkEnd w:id="61"/>
      <w:bookmarkEnd w:id="62"/>
    </w:p>
    <w:p w:rsidR="005F59E8" w:rsidRDefault="005F59E8">
      <w:pPr>
        <w:spacing w:line="600" w:lineRule="exact"/>
        <w:jc w:val="left"/>
        <w:rPr>
          <w:rFonts w:ascii="宋体"/>
          <w:b/>
          <w:color w:val="000000"/>
          <w:sz w:val="44"/>
          <w:szCs w:val="44"/>
        </w:rPr>
      </w:pPr>
    </w:p>
    <w:p w:rsidR="005F59E8" w:rsidRDefault="00B958CE">
      <w:pPr>
        <w:pStyle w:val="Default"/>
        <w:spacing w:line="560" w:lineRule="exact"/>
        <w:ind w:firstLineChars="200" w:firstLine="640"/>
        <w:jc w:val="both"/>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F59E8" w:rsidRDefault="00B958CE">
      <w:pPr>
        <w:pStyle w:val="Default"/>
        <w:spacing w:line="560" w:lineRule="exact"/>
        <w:ind w:firstLineChars="200" w:firstLine="640"/>
        <w:jc w:val="both"/>
        <w:rPr>
          <w:rFonts w:ascii="仿宋_GB2312" w:eastAsia="仿宋_GB2312"/>
          <w:color w:val="FF0000"/>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.事业收入：指事业单位开展专业业务活动及辅助活动取得的收入。如学校收取的学费、培训费等教育类收入等。</w:t>
      </w:r>
    </w:p>
    <w:p w:rsidR="005F59E8" w:rsidRDefault="00B958CE">
      <w:pPr>
        <w:pStyle w:val="Default"/>
        <w:spacing w:line="560" w:lineRule="exact"/>
        <w:ind w:firstLineChars="200" w:firstLine="640"/>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.经营收入：指事业单位在专业业务活动及其辅助活动之外开展非独立核算经营活动取得的收入。学校无经营收入。</w:t>
      </w:r>
    </w:p>
    <w:p w:rsidR="005F59E8" w:rsidRDefault="00B958CE">
      <w:pPr>
        <w:pStyle w:val="Default"/>
        <w:spacing w:line="560" w:lineRule="exact"/>
        <w:ind w:firstLineChars="200" w:firstLine="640"/>
        <w:jc w:val="both"/>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.其他收入：指单位取得的除上述收入以外的各项收入。主要是学收到除财政拨款收入和事业收入以外收入，如利息收入、租金收入、捐赠收入等。</w:t>
      </w:r>
    </w:p>
    <w:p w:rsidR="005F59E8" w:rsidRDefault="00B958CE">
      <w:pPr>
        <w:pStyle w:val="Default"/>
        <w:spacing w:line="560" w:lineRule="exact"/>
        <w:ind w:firstLineChars="200" w:firstLine="640"/>
        <w:jc w:val="both"/>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5F59E8" w:rsidRDefault="00B958CE">
      <w:pPr>
        <w:pStyle w:val="Default"/>
        <w:spacing w:line="560" w:lineRule="exact"/>
        <w:ind w:firstLineChars="200" w:firstLine="640"/>
        <w:jc w:val="both"/>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F59E8" w:rsidRDefault="00B958CE">
      <w:pPr>
        <w:pStyle w:val="Default"/>
        <w:spacing w:line="560" w:lineRule="exact"/>
        <w:ind w:firstLineChars="200" w:firstLine="640"/>
        <w:jc w:val="both"/>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5F59E8" w:rsidRDefault="00B958CE">
      <w:pPr>
        <w:pStyle w:val="Default"/>
        <w:spacing w:line="560" w:lineRule="exact"/>
        <w:ind w:firstLineChars="200" w:firstLine="640"/>
        <w:jc w:val="both"/>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F59E8" w:rsidRDefault="00B958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9.教育支出（类）中等职业教育（款）中等职业教育（项）：指</w:t>
      </w:r>
      <w:r>
        <w:rPr>
          <w:rFonts w:ascii="仿宋_GB2312" w:eastAsia="仿宋_GB2312" w:hint="eastAsia"/>
          <w:sz w:val="32"/>
          <w:szCs w:val="32"/>
        </w:rPr>
        <w:t>四川省商务学校因中等职业教育事业发展产生的基本支出及项目支出</w:t>
      </w:r>
      <w:r>
        <w:rPr>
          <w:rFonts w:ascii="仿宋_GB2312" w:eastAsia="仿宋_GB2312" w:hint="eastAsia"/>
          <w:color w:val="000000"/>
          <w:sz w:val="32"/>
          <w:szCs w:val="32"/>
        </w:rPr>
        <w:t>。</w:t>
      </w:r>
    </w:p>
    <w:p w:rsidR="005F59E8" w:rsidRDefault="00B958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10.社会保障和就业（类）事业单位离退休（款）事业单位离退休（项）：指用于</w:t>
      </w:r>
      <w:r>
        <w:rPr>
          <w:rFonts w:ascii="仿宋_GB2312" w:eastAsia="仿宋_GB2312" w:hint="eastAsia"/>
          <w:sz w:val="32"/>
          <w:szCs w:val="32"/>
        </w:rPr>
        <w:t>事业离退休人员，离退休支出</w:t>
      </w:r>
      <w:r>
        <w:rPr>
          <w:rFonts w:ascii="仿宋_GB2312" w:eastAsia="仿宋_GB2312" w:hint="eastAsia"/>
          <w:color w:val="000000"/>
          <w:sz w:val="32"/>
          <w:szCs w:val="32"/>
        </w:rPr>
        <w:t>。</w:t>
      </w:r>
    </w:p>
    <w:p w:rsidR="005F59E8" w:rsidRDefault="00B958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11.社会保障和就业（类）行政事业单位养老支出（款）  机关事业单位基本养老保险缴费支出（项）</w:t>
      </w:r>
      <w:r>
        <w:rPr>
          <w:rFonts w:ascii="仿宋_GB2312" w:eastAsia="仿宋_GB2312"/>
          <w:color w:val="000000"/>
          <w:sz w:val="32"/>
          <w:szCs w:val="32"/>
        </w:rPr>
        <w:t>:</w:t>
      </w:r>
      <w:r>
        <w:rPr>
          <w:rFonts w:ascii="仿宋_GB2312" w:eastAsia="仿宋_GB2312" w:hint="eastAsia"/>
          <w:color w:val="000000"/>
          <w:sz w:val="32"/>
          <w:szCs w:val="32"/>
        </w:rPr>
        <w:t xml:space="preserve"> 指用于实施养老保险制度由单位缴纳的基本养老保险支出。</w:t>
      </w:r>
    </w:p>
    <w:p w:rsidR="005F59E8" w:rsidRDefault="00B958CE">
      <w:pPr>
        <w:pStyle w:val="a0"/>
        <w:spacing w:beforeLines="0" w:line="560" w:lineRule="exact"/>
        <w:ind w:firstLineChars="200" w:firstLine="640"/>
        <w:rPr>
          <w:color w:val="000000"/>
          <w:kern w:val="2"/>
          <w:sz w:val="32"/>
          <w:szCs w:val="32"/>
        </w:rPr>
      </w:pPr>
      <w:r>
        <w:rPr>
          <w:rFonts w:hint="eastAsia"/>
          <w:kern w:val="2"/>
          <w:sz w:val="32"/>
          <w:szCs w:val="32"/>
        </w:rPr>
        <w:t>12.</w:t>
      </w:r>
      <w:r>
        <w:rPr>
          <w:rFonts w:hint="eastAsia"/>
          <w:color w:val="000000"/>
          <w:kern w:val="2"/>
          <w:sz w:val="32"/>
          <w:szCs w:val="32"/>
        </w:rPr>
        <w:t>社会保障和就业（类）其他社会保障和就业支出（款）  其他社会保障和就业支出（项）</w:t>
      </w:r>
      <w:r>
        <w:rPr>
          <w:color w:val="000000"/>
          <w:kern w:val="2"/>
          <w:sz w:val="32"/>
          <w:szCs w:val="32"/>
        </w:rPr>
        <w:t>:</w:t>
      </w:r>
      <w:r>
        <w:rPr>
          <w:rFonts w:hint="eastAsia"/>
          <w:color w:val="000000"/>
          <w:kern w:val="2"/>
          <w:sz w:val="32"/>
          <w:szCs w:val="32"/>
        </w:rPr>
        <w:t>离休人员生活补贴</w:t>
      </w:r>
    </w:p>
    <w:p w:rsidR="005F59E8" w:rsidRDefault="00B958C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3.卫生健康</w:t>
      </w:r>
      <w:r>
        <w:rPr>
          <w:rFonts w:ascii="仿宋_GB2312" w:eastAsia="仿宋_GB2312" w:hint="eastAsia"/>
          <w:color w:val="000000"/>
          <w:sz w:val="32"/>
          <w:szCs w:val="32"/>
        </w:rPr>
        <w:t>（类）行政事业单位医疗（款）事业单位医疗（项）</w:t>
      </w:r>
      <w:r>
        <w:rPr>
          <w:rFonts w:ascii="仿宋_GB2312" w:eastAsia="仿宋_GB2312"/>
          <w:color w:val="000000"/>
          <w:sz w:val="32"/>
          <w:szCs w:val="32"/>
        </w:rPr>
        <w:t>:</w:t>
      </w:r>
      <w:r>
        <w:rPr>
          <w:rFonts w:ascii="仿宋_GB2312" w:eastAsia="仿宋_GB2312" w:hint="eastAsia"/>
          <w:color w:val="000000"/>
          <w:sz w:val="32"/>
          <w:szCs w:val="32"/>
        </w:rPr>
        <w:t>指指用于基本医疗保险缴费经费，未参加医疗保险的事业单位的</w:t>
      </w:r>
      <w:r>
        <w:rPr>
          <w:rFonts w:ascii="仿宋_GB2312" w:eastAsia="仿宋_GB2312" w:hint="eastAsia"/>
          <w:sz w:val="32"/>
          <w:szCs w:val="32"/>
        </w:rPr>
        <w:t>公费医疗经费，按国家规定享受离休人员待遇的医疗经费。</w:t>
      </w:r>
    </w:p>
    <w:p w:rsidR="005F59E8" w:rsidRDefault="00B958CE">
      <w:pPr>
        <w:spacing w:line="560" w:lineRule="exact"/>
        <w:ind w:firstLineChars="200" w:firstLine="640"/>
        <w:rPr>
          <w:rFonts w:ascii="仿宋_GB2312" w:eastAsia="仿宋_GB2312"/>
          <w:sz w:val="32"/>
          <w:szCs w:val="32"/>
        </w:rPr>
      </w:pPr>
      <w:r>
        <w:rPr>
          <w:rFonts w:ascii="仿宋_GB2312" w:eastAsia="仿宋_GB2312" w:hint="eastAsia"/>
          <w:sz w:val="32"/>
          <w:szCs w:val="32"/>
        </w:rPr>
        <w:t>14.商业服务等支出（类）商业流通事务（款）其他商业流通事务支出（项）</w:t>
      </w:r>
      <w:r>
        <w:rPr>
          <w:rFonts w:ascii="仿宋_GB2312" w:eastAsia="仿宋_GB2312"/>
          <w:sz w:val="32"/>
          <w:szCs w:val="32"/>
        </w:rPr>
        <w:t>:</w:t>
      </w:r>
      <w:r>
        <w:rPr>
          <w:rFonts w:ascii="仿宋_GB2312" w:eastAsia="仿宋_GB2312" w:hint="eastAsia"/>
          <w:sz w:val="32"/>
          <w:szCs w:val="32"/>
        </w:rPr>
        <w:t>指用于学校</w:t>
      </w:r>
      <w:r>
        <w:rPr>
          <w:rFonts w:ascii="仿宋_GB2312" w:eastAsia="仿宋_GB2312"/>
          <w:sz w:val="32"/>
          <w:szCs w:val="32"/>
        </w:rPr>
        <w:t>其他商业流通事务支出</w:t>
      </w:r>
      <w:r>
        <w:rPr>
          <w:rFonts w:ascii="仿宋_GB2312" w:eastAsia="仿宋_GB2312" w:hint="eastAsia"/>
          <w:sz w:val="32"/>
          <w:szCs w:val="32"/>
        </w:rPr>
        <w:t>。</w:t>
      </w:r>
    </w:p>
    <w:p w:rsidR="005F59E8" w:rsidRDefault="00B958CE">
      <w:pPr>
        <w:spacing w:line="560" w:lineRule="exact"/>
        <w:ind w:firstLineChars="200" w:firstLine="640"/>
        <w:rPr>
          <w:rFonts w:ascii="仿宋_GB2312" w:eastAsia="仿宋_GB2312"/>
          <w:sz w:val="32"/>
          <w:szCs w:val="32"/>
        </w:rPr>
      </w:pPr>
      <w:r>
        <w:rPr>
          <w:rFonts w:ascii="仿宋_GB2312" w:eastAsia="仿宋_GB2312" w:hint="eastAsia"/>
          <w:sz w:val="32"/>
          <w:szCs w:val="32"/>
        </w:rPr>
        <w:t>15.住房保障支出（类）住房改革支出（款）住房公积金（项）：指为教职工按标准缴纳的住房公积金。</w:t>
      </w:r>
    </w:p>
    <w:p w:rsidR="005F59E8" w:rsidRDefault="00B958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16.基本支出：指为保障机构正常运转、完成日常工作任务而发生的人员支出和公用支出。</w:t>
      </w:r>
    </w:p>
    <w:p w:rsidR="005F59E8" w:rsidRDefault="00B958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17.项目支出：指在基本支出之外为完成特定行政任务和事业发展目标所发生的支出。</w:t>
      </w:r>
      <w:r>
        <w:rPr>
          <w:rFonts w:ascii="仿宋_GB2312" w:eastAsia="仿宋_GB2312"/>
          <w:color w:val="000000"/>
          <w:sz w:val="32"/>
          <w:szCs w:val="32"/>
        </w:rPr>
        <w:t xml:space="preserve"> </w:t>
      </w:r>
    </w:p>
    <w:p w:rsidR="005F59E8" w:rsidRDefault="00B958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18.经营支出：指事业单位在专业业务活动及其辅助活动之外开展非独立核算经营活动发生的支出。</w:t>
      </w:r>
    </w:p>
    <w:p w:rsidR="005F59E8" w:rsidRDefault="00B958CE">
      <w:pPr>
        <w:pStyle w:val="Default"/>
        <w:spacing w:line="560" w:lineRule="exact"/>
        <w:ind w:firstLineChars="200" w:firstLine="640"/>
        <w:jc w:val="both"/>
        <w:rPr>
          <w:rFonts w:ascii="仿宋_GB2312" w:eastAsia="仿宋_GB2312"/>
          <w:sz w:val="32"/>
          <w:szCs w:val="32"/>
        </w:rPr>
      </w:pPr>
      <w:r>
        <w:rPr>
          <w:rFonts w:ascii="仿宋_GB2312" w:eastAsia="仿宋_GB2312" w:hint="eastAsia"/>
          <w:sz w:val="32"/>
          <w:szCs w:val="32"/>
        </w:rPr>
        <w:t>19.“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w:t>
      </w:r>
      <w:r>
        <w:rPr>
          <w:rFonts w:ascii="仿宋_GB2312" w:eastAsia="仿宋_GB2312" w:hint="eastAsia"/>
          <w:sz w:val="32"/>
          <w:szCs w:val="32"/>
        </w:rPr>
        <w:lastRenderedPageBreak/>
        <w:t>置税）及租用费、燃料费、维修费、过路过桥费、保险费等支出；公务接待费反映单位按规定开支的各类公务接待（含外宾接待）支出。</w:t>
      </w:r>
    </w:p>
    <w:p w:rsidR="005F59E8" w:rsidRDefault="00B958CE">
      <w:pPr>
        <w:pStyle w:val="Default"/>
        <w:spacing w:line="560" w:lineRule="exact"/>
        <w:ind w:firstLineChars="200" w:firstLine="640"/>
        <w:jc w:val="both"/>
        <w:rPr>
          <w:rFonts w:hAnsi="仿宋"/>
          <w:b/>
          <w:sz w:val="32"/>
          <w:szCs w:val="32"/>
        </w:rPr>
      </w:pPr>
      <w:r>
        <w:rPr>
          <w:rFonts w:ascii="仿宋_GB2312" w:eastAsia="仿宋_GB2312" w:hint="eastAsia"/>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F59E8" w:rsidRDefault="005F59E8">
      <w:pPr>
        <w:pStyle w:val="Default"/>
        <w:spacing w:line="560" w:lineRule="exact"/>
        <w:ind w:firstLineChars="200" w:firstLine="640"/>
        <w:jc w:val="both"/>
        <w:rPr>
          <w:rFonts w:ascii="仿宋_GB2312" w:eastAsia="仿宋_GB2312" w:cs="黑体"/>
          <w:sz w:val="32"/>
          <w:szCs w:val="32"/>
        </w:rPr>
      </w:pPr>
    </w:p>
    <w:p w:rsidR="005F59E8" w:rsidRDefault="005F59E8">
      <w:pPr>
        <w:spacing w:line="560" w:lineRule="exact"/>
        <w:rPr>
          <w:rFonts w:ascii="黑体" w:eastAsia="黑体" w:hAnsi="黑体"/>
          <w:color w:val="000000"/>
          <w:sz w:val="44"/>
          <w:szCs w:val="44"/>
        </w:rPr>
      </w:pPr>
      <w:bookmarkStart w:id="63" w:name="_Toc19344"/>
      <w:bookmarkStart w:id="64" w:name="_Toc15396614"/>
      <w:bookmarkStart w:id="65" w:name="_Toc15377226"/>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44"/>
          <w:szCs w:val="44"/>
        </w:rPr>
      </w:pPr>
    </w:p>
    <w:p w:rsidR="005F59E8" w:rsidRDefault="005F59E8" w:rsidP="000428D6">
      <w:pPr>
        <w:pStyle w:val="a0"/>
        <w:spacing w:before="93"/>
      </w:pPr>
    </w:p>
    <w:p w:rsidR="005F59E8" w:rsidRDefault="005F59E8">
      <w:pPr>
        <w:spacing w:line="560" w:lineRule="exact"/>
        <w:rPr>
          <w:rFonts w:ascii="黑体" w:eastAsia="黑体" w:hAnsi="黑体"/>
          <w:color w:val="000000"/>
          <w:sz w:val="44"/>
          <w:szCs w:val="44"/>
        </w:rPr>
      </w:pPr>
    </w:p>
    <w:p w:rsidR="005F59E8" w:rsidRDefault="005F59E8">
      <w:pPr>
        <w:spacing w:line="560" w:lineRule="exact"/>
        <w:rPr>
          <w:rFonts w:ascii="黑体" w:eastAsia="黑体" w:hAnsi="黑体"/>
          <w:color w:val="000000"/>
          <w:sz w:val="32"/>
          <w:szCs w:val="32"/>
        </w:rPr>
      </w:pPr>
    </w:p>
    <w:p w:rsidR="005F59E8" w:rsidRDefault="00B958CE">
      <w:pPr>
        <w:spacing w:line="560" w:lineRule="exact"/>
        <w:jc w:val="center"/>
        <w:rPr>
          <w:rFonts w:ascii="仿宋_GB2312" w:eastAsia="仿宋_GB2312" w:hAnsi="仿宋_GB2312" w:cs="仿宋_GB2312"/>
          <w:sz w:val="32"/>
          <w:szCs w:val="32"/>
        </w:rPr>
      </w:pPr>
      <w:r>
        <w:rPr>
          <w:rFonts w:ascii="黑体" w:eastAsia="黑体" w:hAnsi="黑体" w:hint="eastAsia"/>
          <w:color w:val="000000"/>
          <w:sz w:val="32"/>
          <w:szCs w:val="32"/>
        </w:rPr>
        <w:lastRenderedPageBreak/>
        <w:t>第</w:t>
      </w:r>
      <w:r>
        <w:rPr>
          <w:rStyle w:val="1Char"/>
          <w:rFonts w:ascii="黑体" w:eastAsia="黑体" w:hAnsi="黑体" w:hint="eastAsia"/>
          <w:b w:val="0"/>
          <w:sz w:val="32"/>
          <w:szCs w:val="32"/>
        </w:rPr>
        <w:t>四部分 附件</w:t>
      </w:r>
      <w:bookmarkEnd w:id="63"/>
      <w:bookmarkEnd w:id="64"/>
    </w:p>
    <w:p w:rsidR="005F59E8" w:rsidRDefault="00B958CE">
      <w:pPr>
        <w:snapToGrid w:val="0"/>
        <w:spacing w:line="600" w:lineRule="exact"/>
        <w:jc w:val="center"/>
        <w:rPr>
          <w:rFonts w:ascii="方正小标宋_GBK" w:eastAsia="方正小标宋_GBK" w:hAnsi="方正小标宋_GBK" w:cs="方正小标宋_GBK"/>
          <w:sz w:val="44"/>
          <w:szCs w:val="44"/>
        </w:rPr>
      </w:pPr>
      <w:bookmarkStart w:id="66" w:name="_Toc520129109_WPSOffice_Level2"/>
      <w:bookmarkStart w:id="67" w:name="_Toc347035197_WPSOffice_Level2"/>
      <w:r>
        <w:rPr>
          <w:rFonts w:ascii="方正小标宋_GBK" w:eastAsia="方正小标宋_GBK" w:hAnsi="方正小标宋_GBK" w:cs="方正小标宋_GBK" w:hint="eastAsia"/>
          <w:sz w:val="44"/>
          <w:szCs w:val="44"/>
        </w:rPr>
        <w:t>2020年部门预算项目支出绩效自评报告</w:t>
      </w:r>
      <w:bookmarkEnd w:id="66"/>
      <w:bookmarkEnd w:id="67"/>
    </w:p>
    <w:p w:rsidR="005F59E8" w:rsidRDefault="00B958CE">
      <w:pPr>
        <w:tabs>
          <w:tab w:val="left" w:pos="3885"/>
        </w:tabs>
        <w:snapToGrid w:val="0"/>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21"/>
        </w:rPr>
        <w:t>专业特聘教师项目</w:t>
      </w:r>
      <w:r>
        <w:rPr>
          <w:rFonts w:ascii="仿宋_GB2312" w:eastAsia="仿宋_GB2312" w:hAnsi="仿宋_GB2312" w:cs="仿宋_GB2312" w:hint="eastAsia"/>
          <w:sz w:val="32"/>
          <w:szCs w:val="32"/>
        </w:rPr>
        <w:t>）</w:t>
      </w:r>
    </w:p>
    <w:p w:rsidR="005F59E8" w:rsidRDefault="005F59E8">
      <w:pPr>
        <w:snapToGrid w:val="0"/>
        <w:spacing w:line="560" w:lineRule="exact"/>
        <w:ind w:firstLineChars="200" w:firstLine="640"/>
        <w:rPr>
          <w:rFonts w:ascii="仿宋_GB2312" w:eastAsia="仿宋_GB2312" w:hAnsi="仿宋_GB2312" w:cs="仿宋_GB2312"/>
          <w:sz w:val="32"/>
          <w:szCs w:val="32"/>
        </w:rPr>
      </w:pPr>
      <w:bookmarkStart w:id="68" w:name="_Toc585165950_WPSOffice_Level2"/>
    </w:p>
    <w:p w:rsidR="005F59E8" w:rsidRDefault="00B958CE">
      <w:pPr>
        <w:snapToGrid w:val="0"/>
        <w:spacing w:line="560" w:lineRule="exact"/>
        <w:ind w:firstLineChars="200" w:firstLine="640"/>
        <w:rPr>
          <w:rFonts w:ascii="黑体" w:eastAsia="黑体" w:hAnsi="黑体" w:cs="黑体"/>
          <w:sz w:val="32"/>
          <w:szCs w:val="32"/>
          <w:lang w:val="zh-CN"/>
        </w:rPr>
      </w:pPr>
      <w:r>
        <w:rPr>
          <w:rFonts w:ascii="黑体" w:eastAsia="黑体" w:hAnsi="黑体" w:cs="黑体" w:hint="eastAsia"/>
          <w:sz w:val="32"/>
          <w:szCs w:val="32"/>
        </w:rPr>
        <w:t>一、</w:t>
      </w:r>
      <w:r>
        <w:rPr>
          <w:rFonts w:ascii="黑体" w:eastAsia="黑体" w:hAnsi="黑体" w:cs="黑体" w:hint="eastAsia"/>
          <w:sz w:val="32"/>
          <w:szCs w:val="32"/>
          <w:lang w:val="zh-CN"/>
        </w:rPr>
        <w:t>项目概况</w:t>
      </w:r>
      <w:bookmarkEnd w:id="68"/>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培养更具适应性的现代商务人才，学校紧扣全省服务业大会精神，为建立紧密对接我省产业链、创新链的专业体系，大力发展““4+6”现代服务业领域相关专业，以烹饪、酒店、康养、电商服务专业为抓手，推动优势专业改革创新，促进产教融合，学校拟从校外高校、兄弟中职学校及建立了校企合作契约关系的企业中聘请专家教授，提高学生的专业实操水平，弥补校内师资力量不足。申请该项资金670.00万元以弥补聘用教师及专家的各项支出。</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该项目完成后将提升我校学生的实际操作能力，并能在一定程度上解决社会需求和学校培养输出这一供需信息不对称的情况。</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实现该项目标，我校根据实际需求统筹安排，于2020年安排聘用教师及专家参与全校教学工作，各专业聘请教师及专家通过市场调研、职业岗位分析，初步建成校企共育、工学结合的“双主体，双结合，分段能力递进”人才模式；在教务科的统筹下，完成了资源库的建立；并改革了教学模式，打造升级了课堂教学模式。</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为保障该项目的实施，我校根据需求，按照实际情况，及时足额发放聘用教师及专家相关费用，根据年初预算计划，</w:t>
      </w:r>
      <w:r>
        <w:rPr>
          <w:rFonts w:ascii="仿宋_GB2312" w:eastAsia="仿宋_GB2312" w:hAnsi="仿宋_GB2312" w:cs="仿宋_GB2312" w:hint="eastAsia"/>
          <w:kern w:val="0"/>
          <w:sz w:val="32"/>
          <w:szCs w:val="32"/>
        </w:rPr>
        <w:lastRenderedPageBreak/>
        <w:t>于2020年12月31日前发放完成。该项资金使用完成度100%。</w:t>
      </w:r>
    </w:p>
    <w:p w:rsidR="005F59E8" w:rsidRDefault="00B958CE">
      <w:pPr>
        <w:tabs>
          <w:tab w:val="left" w:pos="3885"/>
        </w:tabs>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我校根据该项目预期能达到的标准设置了完成指标、效益指标、满意度指标以督促保障该项目能顺利按时完成。</w:t>
      </w:r>
    </w:p>
    <w:p w:rsidR="005F59E8" w:rsidRDefault="00B958CE">
      <w:pPr>
        <w:tabs>
          <w:tab w:val="left" w:pos="3885"/>
        </w:tabs>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完成指标中，数量指标设定为中职免学费应受助学生数2500人；质量指标设为专业课程建设4个；时效指标设为发放完成时间为12月；成本指标设为成本控制达标率15%。</w:t>
      </w:r>
    </w:p>
    <w:p w:rsidR="005F59E8" w:rsidRDefault="00B958CE">
      <w:pPr>
        <w:tabs>
          <w:tab w:val="left" w:pos="3885"/>
        </w:tabs>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效益指标中，经济效益指标设为为经济社会发展提供技术技能型人才1200人；社会效益指标设为职业教育受益学生3500人。</w:t>
      </w:r>
    </w:p>
    <w:p w:rsidR="005F59E8" w:rsidRDefault="00B958CE">
      <w:pPr>
        <w:tabs>
          <w:tab w:val="left" w:pos="3885"/>
        </w:tabs>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满意度指标设为学生和家长抽样调查满意度96%。</w:t>
      </w:r>
    </w:p>
    <w:p w:rsidR="005F59E8" w:rsidRDefault="00B958CE">
      <w:pPr>
        <w:snapToGrid w:val="0"/>
        <w:spacing w:line="560" w:lineRule="exact"/>
        <w:ind w:firstLineChars="200" w:firstLine="640"/>
        <w:rPr>
          <w:rFonts w:ascii="黑体" w:eastAsia="黑体" w:hAnsi="黑体" w:cs="黑体"/>
          <w:sz w:val="32"/>
          <w:szCs w:val="32"/>
        </w:rPr>
      </w:pPr>
      <w:bookmarkStart w:id="69" w:name="_Toc357089918_WPSOffice_Level2"/>
      <w:r>
        <w:rPr>
          <w:rFonts w:ascii="黑体" w:eastAsia="黑体" w:hAnsi="黑体" w:cs="黑体" w:hint="eastAsia"/>
          <w:sz w:val="32"/>
          <w:szCs w:val="32"/>
        </w:rPr>
        <w:t>二、评价工作开展情况</w:t>
      </w:r>
      <w:bookmarkEnd w:id="69"/>
    </w:p>
    <w:p w:rsidR="005F59E8" w:rsidRDefault="00B958CE">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学校和企业合作，共同建立学校、教务科和专业系部三级教学组织管理体系，学校负责教师评价监督和评估，教务科负责教师评价组织实施，专业教研室负责评价的执行和落实。</w:t>
      </w:r>
    </w:p>
    <w:p w:rsidR="005F59E8" w:rsidRDefault="00B958CE">
      <w:pPr>
        <w:snapToGrid w:val="0"/>
        <w:spacing w:line="560" w:lineRule="exact"/>
        <w:ind w:firstLineChars="200" w:firstLine="640"/>
        <w:rPr>
          <w:rFonts w:ascii="黑体" w:eastAsia="黑体" w:hAnsi="黑体" w:cs="黑体"/>
          <w:sz w:val="32"/>
          <w:szCs w:val="32"/>
        </w:rPr>
      </w:pPr>
      <w:bookmarkStart w:id="70" w:name="_Toc2019571575_WPSOffice_Level2"/>
      <w:r>
        <w:rPr>
          <w:rFonts w:ascii="黑体" w:eastAsia="黑体" w:hAnsi="黑体" w:cs="黑体" w:hint="eastAsia"/>
          <w:sz w:val="32"/>
          <w:szCs w:val="32"/>
        </w:rPr>
        <w:t>三、综合评价结论</w:t>
      </w:r>
      <w:bookmarkEnd w:id="70"/>
    </w:p>
    <w:p w:rsidR="005F59E8" w:rsidRDefault="00B958CE">
      <w:pPr>
        <w:pStyle w:val="a0"/>
        <w:spacing w:beforeLines="0" w:line="560" w:lineRule="exact"/>
        <w:ind w:firstLineChars="200" w:firstLine="640"/>
        <w:rPr>
          <w:rFonts w:hAnsi="仿宋_GB2312" w:cs="仿宋_GB2312"/>
          <w:sz w:val="32"/>
          <w:szCs w:val="32"/>
        </w:rPr>
      </w:pPr>
      <w:r>
        <w:rPr>
          <w:rFonts w:hAnsi="仿宋_GB2312" w:cs="仿宋_GB2312" w:hint="eastAsia"/>
          <w:sz w:val="32"/>
          <w:szCs w:val="32"/>
        </w:rPr>
        <w:t>该项目资金按时落实到位，项目实施工作有序开展，用人管理制度健全，并能得到执行，能够完成绩效目标申报表的考核指标，但在质量和过程中仍有待提高，自评96分。</w:t>
      </w:r>
    </w:p>
    <w:p w:rsidR="005F59E8" w:rsidRDefault="00B958CE">
      <w:pPr>
        <w:snapToGrid w:val="0"/>
        <w:spacing w:line="560" w:lineRule="exact"/>
        <w:ind w:firstLineChars="200" w:firstLine="640"/>
        <w:rPr>
          <w:rFonts w:ascii="黑体" w:eastAsia="黑体" w:hAnsi="黑体" w:cs="黑体"/>
          <w:sz w:val="32"/>
          <w:szCs w:val="32"/>
        </w:rPr>
      </w:pPr>
      <w:bookmarkStart w:id="71" w:name="_Toc461053113_WPSOffice_Level2"/>
      <w:r>
        <w:rPr>
          <w:rFonts w:ascii="黑体" w:eastAsia="黑体" w:hAnsi="黑体" w:cs="黑体" w:hint="eastAsia"/>
          <w:sz w:val="32"/>
          <w:szCs w:val="32"/>
        </w:rPr>
        <w:t>四、绩效评价分析</w:t>
      </w:r>
      <w:bookmarkEnd w:id="71"/>
    </w:p>
    <w:p w:rsidR="005F59E8" w:rsidRDefault="00B958CE" w:rsidP="000428D6">
      <w:pPr>
        <w:suppressAutoHyphens/>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（一）项目决策情况</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该项计划以学校优势专业，烹饪、酒店、康养、电商服务专业为抓手，各专业教研室制定具体措施，联合校外高校、</w:t>
      </w:r>
      <w:r>
        <w:rPr>
          <w:rFonts w:ascii="仿宋_GB2312" w:eastAsia="仿宋_GB2312" w:hAnsi="仿宋_GB2312" w:cs="仿宋_GB2312" w:hint="eastAsia"/>
          <w:kern w:val="0"/>
          <w:sz w:val="32"/>
          <w:szCs w:val="32"/>
        </w:rPr>
        <w:lastRenderedPageBreak/>
        <w:t>兄弟中职学校及建立了校企合作契约关系的企业中的专家教授，共同建立校企共育、工学结合的“双主体，双结合，分段能力递进”人才模式。在就业难的情况下，我校为培养更具适应性的现代商务人才，解决社会需求和学校培养输出这一供需信息不对称的情况，保障学生就业，紧扣全省服务业大会精神，大力发展“4+6”现代服务业领域相关专业，牵头制定该项计划。</w:t>
      </w:r>
    </w:p>
    <w:p w:rsidR="005F59E8" w:rsidRDefault="00B958CE" w:rsidP="000428D6">
      <w:pPr>
        <w:suppressAutoHyphens/>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（二）项目管理情况</w:t>
      </w:r>
    </w:p>
    <w:p w:rsidR="005F59E8" w:rsidRDefault="00B958CE">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学校、教务科和专业系部三级教学组织管理体系下,2020年度共检查教师《教案》,《授课计划》及授课总结,《听课记录》,《作业计划》共计约1300份。同时在教务科统筹管理下,2020年度共检査教师作业布置情况及批改情况约2300人次,收集《学生对教师课堂开展情况调查表》52份,确保校聘教师在日常教学过程中保质保量完成学校下达的各项教学任务。</w:t>
      </w:r>
    </w:p>
    <w:p w:rsidR="005F59E8" w:rsidRDefault="00B958CE" w:rsidP="000428D6">
      <w:pPr>
        <w:suppressAutoHyphens/>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（三）项目产出情况</w:t>
      </w:r>
    </w:p>
    <w:p w:rsidR="005F59E8" w:rsidRDefault="00B958CE">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1.建立校企合作长效机制，构建“双主体双结合”的人才培养体系  以校合作为抓手,坚持职业引领,坚持开放合作办专业,秉承“道德髙尚、技艺精湛”的校训,各专业在校聘教师及专家的参与和指导下,通过市场调研、职业岗位分析,成了中餐烹饪与营养膳食专业等12个专业人才培养模式的构建,初步建成校企共育、工学结合的“双主体、双结合,分段能力递进”人才培养模式。</w:t>
      </w:r>
    </w:p>
    <w:p w:rsidR="005F59E8" w:rsidRDefault="00B958CE">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在专业建设中始终遵循“行动导向、校企共建、动态更新”</w:t>
      </w:r>
      <w:r>
        <w:rPr>
          <w:rFonts w:ascii="仿宋_GB2312" w:eastAsia="仿宋_GB2312" w:hAnsi="仿宋_GB2312" w:cs="仿宋_GB2312" w:hint="eastAsia"/>
          <w:kern w:val="0"/>
          <w:sz w:val="32"/>
          <w:szCs w:val="32"/>
        </w:rPr>
        <w:lastRenderedPageBreak/>
        <w:t>的原则,对按职业岗位,强化素养,坚持课程对接岗位,打破原有的学科课程体系,构建以职业能力为核心、工作过程为导向的模块化综合课程体系,凸显学生“职业素养+核心技能”培养,使学生的职业认知、职业道德和职业技能在从模拟到真实的逐级递进过程中逐步提高。</w:t>
      </w:r>
    </w:p>
    <w:p w:rsidR="005F59E8" w:rsidRDefault="00B958CE">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建立完善的教学质量标准及教学资源库在教务科的统筹下,在校聘教师及专家共同参与下,全校共编写修订人才培养方案12个,课程教学标准、教学授课计划标准、课程救案标准、课程考核标准、课程试题库共计1000余项,编写国家级规划教村、校本教材、活页式教材等专业教辅30余本,多媒体课件400多个、音视频资料200多个,电子化教学资源达16.8G,特别是学校作为成都市高技能人才培养基地,在校聘教师及专家的指导下,拍摄的200余个传统川菜视频资料,得到社会行业的一致认可。</w:t>
      </w:r>
    </w:p>
    <w:p w:rsidR="005F59E8" w:rsidRDefault="00B958CE">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深化教学模式改革,打造高效课堂建设在校聘教师及专家共同参与下,各专业以“职业岗位(群)一工作过程一职业基础能力-专业核心能力-职业岗位能力-职业综合能力”的建设思路,深化教学模式改革,加大信息技术与教育教学深度融合力度,推进数字校园建设,打造信息化教学课堂,实现了教学资源的充分展现,缩小学校教学环境与企业工作环境之间的距离,让原有的课堂更加生动形象,学生学习兴趣更加浓厚。在教学中积极开展线上线下混合式教学,以“项目教学”、“案例教学”“情景教学”“分层教学”“模块化教学”“行动导向五化”、“专题讲座”等多种教学模式，实现高效课堂建设。</w:t>
      </w:r>
    </w:p>
    <w:p w:rsidR="005F59E8" w:rsidRDefault="00B958CE" w:rsidP="000428D6">
      <w:pPr>
        <w:suppressAutoHyphens/>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（四）项目效益情况</w:t>
      </w:r>
    </w:p>
    <w:p w:rsidR="005F59E8" w:rsidRDefault="00B958CE">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根据年初设定的指标，我校2020年为经济社会发展提供技术技能型人才1012人；在我校</w:t>
      </w:r>
      <w:r>
        <w:rPr>
          <w:rFonts w:ascii="仿宋_GB2312" w:eastAsia="仿宋_GB2312" w:hAnsi="仿宋_GB2312" w:cs="仿宋_GB2312" w:hint="eastAsia"/>
          <w:b/>
          <w:bCs/>
          <w:kern w:val="0"/>
          <w:sz w:val="32"/>
          <w:szCs w:val="32"/>
        </w:rPr>
        <w:t>接受</w:t>
      </w:r>
      <w:r>
        <w:rPr>
          <w:rFonts w:ascii="仿宋_GB2312" w:eastAsia="仿宋_GB2312" w:hAnsi="仿宋_GB2312" w:cs="仿宋_GB2312" w:hint="eastAsia"/>
          <w:kern w:val="0"/>
          <w:sz w:val="32"/>
          <w:szCs w:val="32"/>
        </w:rPr>
        <w:t>职业教育，从中受益的学生为2734人；中职免学费应受助学生2482名；完成专业课建设4个。</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该项目完成后，我校学生的实际操作能力提升显著，并能在一定程度上解决了社会需求和学校培养输出这一供需信息不对称的情况，得到学生和家长的好评。</w:t>
      </w:r>
    </w:p>
    <w:p w:rsidR="005F59E8" w:rsidRDefault="00B958CE">
      <w:pPr>
        <w:snapToGrid w:val="0"/>
        <w:spacing w:line="560" w:lineRule="exact"/>
        <w:ind w:firstLineChars="200" w:firstLine="640"/>
        <w:rPr>
          <w:rFonts w:ascii="黑体" w:eastAsia="黑体" w:hAnsi="黑体" w:cs="黑体"/>
          <w:sz w:val="32"/>
          <w:szCs w:val="32"/>
        </w:rPr>
      </w:pPr>
      <w:bookmarkStart w:id="72" w:name="_Toc1016044713_WPSOffice_Level2"/>
      <w:r>
        <w:rPr>
          <w:rFonts w:ascii="黑体" w:eastAsia="黑体" w:hAnsi="黑体" w:cs="黑体" w:hint="eastAsia"/>
          <w:sz w:val="32"/>
          <w:szCs w:val="32"/>
        </w:rPr>
        <w:t>五、存在主要问题</w:t>
      </w:r>
      <w:bookmarkEnd w:id="72"/>
    </w:p>
    <w:p w:rsidR="005F59E8" w:rsidRDefault="00B958CE">
      <w:pPr>
        <w:pStyle w:val="a0"/>
        <w:spacing w:beforeLines="0" w:line="560" w:lineRule="exact"/>
        <w:ind w:firstLineChars="200" w:firstLine="640"/>
        <w:rPr>
          <w:rFonts w:hAnsi="仿宋_GB2312" w:cs="仿宋_GB2312"/>
          <w:sz w:val="32"/>
          <w:szCs w:val="32"/>
        </w:rPr>
      </w:pPr>
      <w:r>
        <w:rPr>
          <w:rFonts w:hAnsi="仿宋_GB2312" w:cs="仿宋_GB2312" w:hint="eastAsia"/>
          <w:sz w:val="32"/>
          <w:szCs w:val="32"/>
        </w:rPr>
        <w:t>项目实施过程与目标还存在着一些差距，产出时效存在一定滞后性；项目设立应紧扣全省服务业，建立紧密对接我省产业链、创新链的专业体系，培养更具适应性的现代商务人才，学校需要能适应中职学校技能培训的商务专家教师，并加强项目过程管理及项目事后总结工作。</w:t>
      </w:r>
    </w:p>
    <w:p w:rsidR="005F59E8" w:rsidRDefault="00B958CE">
      <w:pPr>
        <w:pStyle w:val="a0"/>
        <w:spacing w:beforeLines="0" w:line="560" w:lineRule="exact"/>
        <w:ind w:firstLineChars="200" w:firstLine="640"/>
        <w:rPr>
          <w:rFonts w:ascii="黑体" w:eastAsia="黑体" w:hAnsi="黑体" w:cs="黑体"/>
          <w:kern w:val="2"/>
          <w:sz w:val="32"/>
          <w:szCs w:val="32"/>
        </w:rPr>
      </w:pPr>
      <w:bookmarkStart w:id="73" w:name="_Toc615035803_WPSOffice_Level2"/>
      <w:r>
        <w:rPr>
          <w:rFonts w:ascii="黑体" w:eastAsia="黑体" w:hAnsi="黑体" w:cs="黑体" w:hint="eastAsia"/>
          <w:kern w:val="2"/>
          <w:sz w:val="32"/>
          <w:szCs w:val="32"/>
        </w:rPr>
        <w:t>六、相关措施建议</w:t>
      </w:r>
      <w:bookmarkEnd w:id="73"/>
    </w:p>
    <w:p w:rsidR="005F59E8" w:rsidRDefault="00B958CE">
      <w:pPr>
        <w:pStyle w:val="a0"/>
        <w:spacing w:beforeLines="0" w:line="560" w:lineRule="exact"/>
        <w:ind w:firstLineChars="200" w:firstLine="640"/>
        <w:rPr>
          <w:rFonts w:hAnsi="仿宋_GB2312" w:cs="仿宋_GB2312"/>
          <w:sz w:val="32"/>
          <w:szCs w:val="32"/>
        </w:rPr>
      </w:pPr>
      <w:r>
        <w:rPr>
          <w:rFonts w:hAnsi="仿宋_GB2312" w:cs="仿宋_GB2312" w:hint="eastAsia"/>
          <w:sz w:val="32"/>
          <w:szCs w:val="32"/>
        </w:rPr>
        <w:t>今后工作中，我们将以这次部门绩效自评工作为契机，进一步提高责任意识，结合绩效目标合理调节预算，提高资金使用效率；加强预算管理，提前做好项目论证，对项目执行中存在的变动提前做好预案，防止预算执行过程中出现偏差；加强专项资金制度建设，提高资金使用过程中的制度引领效果；根据绩效目标落实责任，突出专项资金结果考核。</w:t>
      </w:r>
    </w:p>
    <w:p w:rsidR="005F59E8" w:rsidRDefault="005F59E8">
      <w:pPr>
        <w:pStyle w:val="a0"/>
        <w:spacing w:beforeLines="0" w:line="560" w:lineRule="exact"/>
        <w:ind w:firstLineChars="200" w:firstLine="640"/>
        <w:rPr>
          <w:rFonts w:hAnsi="仿宋_GB2312" w:cs="仿宋_GB2312"/>
          <w:sz w:val="32"/>
          <w:szCs w:val="32"/>
        </w:rPr>
      </w:pPr>
    </w:p>
    <w:p w:rsidR="005F59E8" w:rsidRDefault="005F59E8">
      <w:pPr>
        <w:pStyle w:val="a0"/>
        <w:spacing w:beforeLines="0" w:line="560" w:lineRule="exact"/>
        <w:ind w:firstLineChars="200" w:firstLine="640"/>
        <w:rPr>
          <w:rFonts w:hAnsi="仿宋_GB2312" w:cs="仿宋_GB2312"/>
          <w:sz w:val="32"/>
          <w:szCs w:val="32"/>
        </w:rPr>
      </w:pPr>
    </w:p>
    <w:p w:rsidR="005F59E8" w:rsidRDefault="005F59E8">
      <w:pPr>
        <w:snapToGrid w:val="0"/>
        <w:spacing w:line="600" w:lineRule="exact"/>
        <w:ind w:firstLineChars="600" w:firstLine="2640"/>
        <w:rPr>
          <w:rFonts w:ascii="方正小标宋简体" w:eastAsia="方正小标宋简体" w:hAnsi="宋体"/>
          <w:sz w:val="44"/>
          <w:szCs w:val="44"/>
        </w:rPr>
      </w:pPr>
    </w:p>
    <w:p w:rsidR="005F59E8" w:rsidRDefault="00B958CE">
      <w:pPr>
        <w:snapToGrid w:val="0"/>
        <w:spacing w:line="600" w:lineRule="exact"/>
        <w:ind w:firstLineChars="600" w:firstLine="2640"/>
        <w:rPr>
          <w:rFonts w:ascii="方正小标宋简体" w:eastAsia="方正小标宋简体" w:hAnsi="宋体"/>
          <w:sz w:val="44"/>
          <w:szCs w:val="44"/>
        </w:rPr>
      </w:pPr>
      <w:r>
        <w:rPr>
          <w:rFonts w:ascii="方正小标宋简体" w:eastAsia="方正小标宋简体" w:hAnsi="宋体" w:hint="eastAsia"/>
          <w:sz w:val="44"/>
          <w:szCs w:val="44"/>
        </w:rPr>
        <w:lastRenderedPageBreak/>
        <w:t>四川省商务学校</w:t>
      </w:r>
    </w:p>
    <w:p w:rsidR="005F59E8" w:rsidRDefault="00B958CE">
      <w:pPr>
        <w:snapToGrid w:val="0"/>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部门预算项目支出绩效自评报告</w:t>
      </w:r>
    </w:p>
    <w:p w:rsidR="005F59E8" w:rsidRDefault="00B958CE">
      <w:pPr>
        <w:tabs>
          <w:tab w:val="left" w:pos="3885"/>
        </w:tabs>
        <w:snapToGrid w:val="0"/>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（省商务校运转专项经费）</w:t>
      </w:r>
    </w:p>
    <w:p w:rsidR="005F59E8" w:rsidRDefault="005F59E8">
      <w:pPr>
        <w:spacing w:line="580" w:lineRule="exact"/>
        <w:ind w:firstLineChars="200" w:firstLine="640"/>
        <w:rPr>
          <w:rFonts w:ascii="黑体" w:eastAsia="黑体" w:hAnsi="黑体"/>
          <w:bCs/>
          <w:sz w:val="32"/>
          <w:szCs w:val="32"/>
        </w:rPr>
      </w:pPr>
    </w:p>
    <w:p w:rsidR="005F59E8" w:rsidRDefault="00B958C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一、项目概况</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校有安靖和武侯两个校区，占地约250亩，共有学生3500余人，教职工280余人。但两个校区均为建成10年以上的建筑，加之学生公寓每天24小时运转，所需维护成本较高。并为提高学生生活质量，前期学校投入大量资金对学生宿舍进行了公寓化改造，配置了独立淋浴系统和卫生间，故运行费用较高。另外，因学校开设的烹饪专业情况特殊，学生实训操作需使用天然气，除学生缴纳的费用能补贴一部分外，学校也需每月支付较大金额的燃气费用。</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校为保障学生公寓正常运转，提升学生专业水平，弥补学生水、电费用不足设立本项目。主要内容包括：学生公寓水电供应、烹饪专业学生实训操作水电及燃气供应、学生实训专业材料采购、圾清运、临时突发活动等费用。</w:t>
      </w:r>
    </w:p>
    <w:p w:rsidR="005F59E8" w:rsidRDefault="00B958C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二、评价工作开展情况</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学校组织各部门组成评价组织，共同建立由后勤总务、教学部门、学生部门、专业系部组织管理体系。学校负责对项目资金评价监督和评估，后勤总务组织实施，执行和落实。</w:t>
      </w:r>
    </w:p>
    <w:p w:rsidR="005F59E8" w:rsidRDefault="00B958C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三、综合评价结论</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该项目资金按时落实到位，项目实施工作有序开展，用人管理制度健全，并能得到执行，能够完成绩效目标申报表</w:t>
      </w:r>
      <w:r>
        <w:rPr>
          <w:rFonts w:ascii="仿宋_GB2312" w:eastAsia="仿宋_GB2312" w:hAnsi="仿宋_GB2312" w:cs="仿宋_GB2312" w:hint="eastAsia"/>
          <w:kern w:val="0"/>
          <w:sz w:val="32"/>
          <w:szCs w:val="32"/>
        </w:rPr>
        <w:lastRenderedPageBreak/>
        <w:t>的考核指标，但在质量和过程中仍有待提高，自评96分。</w:t>
      </w:r>
    </w:p>
    <w:p w:rsidR="005F59E8" w:rsidRDefault="00B958C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四、绩效评价分析</w:t>
      </w:r>
    </w:p>
    <w:p w:rsidR="005F59E8" w:rsidRDefault="00B958CE" w:rsidP="000428D6">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（一）项目决策情况</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定额公用的水电费按照学校职工人数定额拨款，并未包含学生水电费，且学校未收取学生水电费，为了保障学生公寓生活使用，故设立该项目。</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省财政预算管理办法，燃气费未纳入定额公用支出。学校为了强化烹饪专业学生实际操作能力，提升烹饪专业学生竞争力，学校在人才培养计划中设立实训课程，但学校未单独收取烹饪专业学生燃气费，为保障学校人才培养计划的顺利实施，故将此项支出纳入该项目。</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疫情以来，学校实行全封闭管理，开设早晚自习，故校内教职工一日三餐均需在校内解决，为保障食品安全和对教职工生命安全负责，所以为教职工提供伙食补助，故将该项支出纳入该项目。</w:t>
      </w:r>
    </w:p>
    <w:p w:rsidR="005F59E8" w:rsidRDefault="00B958CE" w:rsidP="000428D6">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（二）项目管理情况</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项目资金年初预算191.7万元，下达资金191.7万元，全年执行数191.7万元。项目执行完成率100%。</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项目资金主要用于学生公寓和学生实训操作需要使用水、电、天然气和教职工提供伙食补助。</w:t>
      </w:r>
    </w:p>
    <w:p w:rsidR="005F59E8" w:rsidRDefault="00B958CE">
      <w:pPr>
        <w:tabs>
          <w:tab w:val="left" w:pos="2552"/>
        </w:tabs>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障该项资金的合理使用，我校严格按照财务管理制度，统一领导，集中管理，对物资采购和报销手续实行“谁签字，谁负责”的原则，建立以校领导、部门负责人为责任主体的审批制度，以保障经费使用做到一律一事一批，对经费使</w:t>
      </w:r>
      <w:r>
        <w:rPr>
          <w:rFonts w:ascii="仿宋_GB2312" w:eastAsia="仿宋_GB2312" w:hAnsi="仿宋_GB2312" w:cs="仿宋_GB2312" w:hint="eastAsia"/>
          <w:kern w:val="0"/>
          <w:sz w:val="32"/>
          <w:szCs w:val="32"/>
        </w:rPr>
        <w:lastRenderedPageBreak/>
        <w:t>用情况进行严格审核和监督，做到资金使用真实，签字审批程序规范，转账划拨及时，会计核算合法合规，符合国家财经法规和财务管理以及有关专项资金管理办法的规定。做到专项资金专款专用。</w:t>
      </w:r>
    </w:p>
    <w:p w:rsidR="005F59E8" w:rsidRDefault="00B958CE" w:rsidP="000428D6">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（三）项目产出情况</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由于学生未缴纳水、电、天然气等在校消耗费用，项目补贴水费43万元、电费60万元、天然气费2.47万元。受益学生2734人。学校开设早晚自习，故校内教职工一日三餐均需在校内解决，为保障食品安全和对教职工生命安全负责，所以为教职工提供伙食补助78.8万元，垃圾清运1.5万元、疫情防控等其他费用5.93万元。</w:t>
      </w:r>
    </w:p>
    <w:p w:rsidR="005F59E8" w:rsidRDefault="00B958CE" w:rsidP="000428D6">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（四）项目效益情况</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根据年初设定目标，我校2020年补助寄宿学生数量2439人；在我校接受职业教育，从中受益的学生2734人。完成专业课程建设4个。</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完成后，我校学生的住宿条件显著改善，独立淋浴系统和卫生间等生活设施能正常运行，学生生活质量明显提升。学生实训操作能力提升显著，学生管理后勤支持得以保障并能一定程度上解决社会职业教育需求，得到学生和家长好评。</w:t>
      </w:r>
    </w:p>
    <w:p w:rsidR="005F59E8" w:rsidRDefault="00B958C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五、存在的主要问题</w:t>
      </w:r>
    </w:p>
    <w:p w:rsidR="005F59E8" w:rsidRDefault="00B958C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加快推进学生宿舍管理、实训室经费控制管理制度建设和管理的推进，促进学校有限的经费能使用在刀刃上。即要有效满足师生对学生宿舍和实训室运行需要，又要严格控制</w:t>
      </w:r>
      <w:r>
        <w:rPr>
          <w:rFonts w:ascii="仿宋_GB2312" w:eastAsia="仿宋_GB2312" w:hAnsi="仿宋_GB2312" w:cs="仿宋_GB2312" w:hint="eastAsia"/>
          <w:kern w:val="0"/>
          <w:sz w:val="32"/>
          <w:szCs w:val="32"/>
        </w:rPr>
        <w:lastRenderedPageBreak/>
        <w:t>项目经费。需要加强项目过程管理和项目事后总结。</w:t>
      </w:r>
    </w:p>
    <w:p w:rsidR="005F59E8" w:rsidRDefault="00B958C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六、相关措施建议</w:t>
      </w:r>
    </w:p>
    <w:p w:rsidR="005F59E8" w:rsidRDefault="00B958CE">
      <w:pPr>
        <w:pStyle w:val="a0"/>
        <w:spacing w:beforeLines="0" w:line="560" w:lineRule="exact"/>
        <w:ind w:firstLineChars="200" w:firstLine="640"/>
        <w:rPr>
          <w:rFonts w:hAnsi="仿宋_GB2312" w:cs="仿宋_GB2312"/>
          <w:sz w:val="32"/>
          <w:szCs w:val="32"/>
        </w:rPr>
      </w:pPr>
      <w:r>
        <w:rPr>
          <w:rFonts w:hAnsi="仿宋_GB2312" w:cs="仿宋_GB2312" w:hint="eastAsia"/>
          <w:sz w:val="32"/>
          <w:szCs w:val="32"/>
        </w:rPr>
        <w:t>今后工作中，我们将以这次部门绩效自评工作为契机，进一步提高责任意识，结合绩效目标合理调节预算，提高资金使用效率；加强预算管理，提前做好项目论证，对项目执行中存在的变动提前做好预案，防止预算执行过程中出现偏差；加强专项资金制度建设，提高资金使用过程中的制度引领效果；根据绩效目标落实责任，突出专项资金结果考核。</w:t>
      </w:r>
    </w:p>
    <w:p w:rsidR="005F59E8" w:rsidRDefault="005F59E8">
      <w:pPr>
        <w:rPr>
          <w:rFonts w:ascii="仿宋_GB2312" w:eastAsia="仿宋_GB2312"/>
          <w:kern w:val="0"/>
          <w:sz w:val="30"/>
        </w:rPr>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pStyle w:val="a0"/>
        <w:spacing w:before="93"/>
      </w:pPr>
    </w:p>
    <w:p w:rsidR="005F59E8" w:rsidRDefault="005F59E8">
      <w:pPr>
        <w:spacing w:line="600" w:lineRule="exact"/>
        <w:jc w:val="center"/>
        <w:outlineLvl w:val="0"/>
        <w:rPr>
          <w:rFonts w:ascii="仿宋_GB2312" w:eastAsia="仿宋_GB2312"/>
          <w:color w:val="0000FF"/>
          <w:kern w:val="0"/>
          <w:sz w:val="30"/>
        </w:rPr>
      </w:pPr>
      <w:bookmarkStart w:id="74" w:name="_Toc23666"/>
      <w:bookmarkStart w:id="75" w:name="_Toc15396618"/>
    </w:p>
    <w:p w:rsidR="005F59E8" w:rsidRDefault="00B958CE">
      <w:pPr>
        <w:spacing w:line="600" w:lineRule="exact"/>
        <w:jc w:val="center"/>
        <w:outlineLvl w:val="0"/>
        <w:rPr>
          <w:rFonts w:ascii="黑体" w:eastAsia="黑体" w:hAnsi="黑体" w:cs="黑体"/>
          <w:kern w:val="0"/>
          <w:sz w:val="32"/>
          <w:szCs w:val="32"/>
        </w:rPr>
      </w:pPr>
      <w:r>
        <w:rPr>
          <w:rFonts w:ascii="黑体" w:eastAsia="黑体" w:hAnsi="黑体" w:cs="黑体" w:hint="eastAsia"/>
          <w:kern w:val="0"/>
          <w:sz w:val="32"/>
          <w:szCs w:val="32"/>
        </w:rPr>
        <w:lastRenderedPageBreak/>
        <w:t>第</w:t>
      </w:r>
      <w:r>
        <w:rPr>
          <w:rFonts w:ascii="黑体" w:eastAsia="黑体" w:hAnsi="黑体" w:cs="黑体" w:hint="eastAsia"/>
          <w:bCs/>
          <w:kern w:val="0"/>
          <w:sz w:val="32"/>
          <w:szCs w:val="32"/>
        </w:rPr>
        <w:t>五部分 附表</w:t>
      </w:r>
      <w:bookmarkStart w:id="76" w:name="_Toc15396619"/>
      <w:bookmarkEnd w:id="65"/>
      <w:bookmarkEnd w:id="74"/>
      <w:bookmarkEnd w:id="75"/>
    </w:p>
    <w:p w:rsidR="005F59E8" w:rsidRDefault="005F59E8">
      <w:pPr>
        <w:spacing w:line="560" w:lineRule="exact"/>
        <w:ind w:firstLineChars="200" w:firstLine="640"/>
        <w:rPr>
          <w:rFonts w:ascii="仿宋_GB2312" w:eastAsia="仿宋_GB2312" w:hAnsi="仿宋_GB2312" w:cs="仿宋_GB2312"/>
          <w:color w:val="000000"/>
          <w:sz w:val="32"/>
          <w:szCs w:val="32"/>
        </w:rPr>
      </w:pPr>
      <w:bookmarkStart w:id="77" w:name="_Toc8094"/>
    </w:p>
    <w:p w:rsidR="005F59E8" w:rsidRDefault="00B958C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一、收</w:t>
      </w:r>
      <w:r>
        <w:rPr>
          <w:rStyle w:val="2Char"/>
          <w:rFonts w:ascii="仿宋_GB2312" w:eastAsia="仿宋_GB2312" w:hAnsi="仿宋_GB2312" w:cs="仿宋_GB2312" w:hint="eastAsia"/>
          <w:b w:val="0"/>
          <w:bCs w:val="0"/>
        </w:rPr>
        <w:t>入支出决算总表</w:t>
      </w:r>
      <w:bookmarkEnd w:id="76"/>
      <w:bookmarkEnd w:id="77"/>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78" w:name="_Toc15396620"/>
      <w:bookmarkStart w:id="79" w:name="_Toc20881"/>
      <w:r>
        <w:rPr>
          <w:rFonts w:ascii="仿宋_GB2312" w:eastAsia="仿宋_GB2312" w:hAnsi="仿宋_GB2312" w:cs="仿宋_GB2312" w:hint="eastAsia"/>
          <w:color w:val="000000"/>
          <w:sz w:val="32"/>
          <w:szCs w:val="32"/>
        </w:rPr>
        <w:t>二、收</w:t>
      </w:r>
      <w:r>
        <w:rPr>
          <w:rStyle w:val="2Char"/>
          <w:rFonts w:ascii="仿宋_GB2312" w:eastAsia="仿宋_GB2312" w:hAnsi="仿宋_GB2312" w:cs="仿宋_GB2312" w:hint="eastAsia"/>
          <w:b w:val="0"/>
          <w:bCs w:val="0"/>
        </w:rPr>
        <w:t>入决算表</w:t>
      </w:r>
      <w:bookmarkEnd w:id="78"/>
      <w:bookmarkEnd w:id="79"/>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80" w:name="_Toc15396621"/>
      <w:bookmarkStart w:id="81" w:name="_Toc29311"/>
      <w:r>
        <w:rPr>
          <w:rStyle w:val="2Char"/>
          <w:rFonts w:ascii="仿宋_GB2312" w:eastAsia="仿宋_GB2312" w:hAnsi="仿宋_GB2312" w:cs="仿宋_GB2312" w:hint="eastAsia"/>
          <w:b w:val="0"/>
          <w:bCs w:val="0"/>
        </w:rPr>
        <w:t>三、</w:t>
      </w:r>
      <w:r>
        <w:rPr>
          <w:rFonts w:ascii="仿宋_GB2312" w:eastAsia="仿宋_GB2312" w:hAnsi="仿宋_GB2312" w:cs="仿宋_GB2312" w:hint="eastAsia"/>
          <w:color w:val="000000"/>
          <w:sz w:val="32"/>
          <w:szCs w:val="32"/>
        </w:rPr>
        <w:t>支</w:t>
      </w:r>
      <w:r>
        <w:rPr>
          <w:rStyle w:val="2Char"/>
          <w:rFonts w:ascii="仿宋_GB2312" w:eastAsia="仿宋_GB2312" w:hAnsi="仿宋_GB2312" w:cs="仿宋_GB2312" w:hint="eastAsia"/>
          <w:b w:val="0"/>
          <w:bCs w:val="0"/>
        </w:rPr>
        <w:t>出决算表</w:t>
      </w:r>
      <w:bookmarkEnd w:id="80"/>
      <w:bookmarkEnd w:id="81"/>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82" w:name="_Toc15396622"/>
      <w:bookmarkStart w:id="83" w:name="_Toc12243"/>
      <w:r>
        <w:rPr>
          <w:rStyle w:val="2Char"/>
          <w:rFonts w:ascii="仿宋_GB2312" w:eastAsia="仿宋_GB2312" w:hAnsi="仿宋_GB2312" w:cs="仿宋_GB2312" w:hint="eastAsia"/>
          <w:b w:val="0"/>
          <w:bCs w:val="0"/>
        </w:rPr>
        <w:t>四、</w:t>
      </w:r>
      <w:r>
        <w:rPr>
          <w:rFonts w:ascii="仿宋_GB2312" w:eastAsia="仿宋_GB2312" w:hAnsi="仿宋_GB2312" w:cs="仿宋_GB2312" w:hint="eastAsia"/>
          <w:color w:val="000000"/>
          <w:sz w:val="32"/>
          <w:szCs w:val="32"/>
        </w:rPr>
        <w:t>财</w:t>
      </w:r>
      <w:r>
        <w:rPr>
          <w:rStyle w:val="2Char"/>
          <w:rFonts w:ascii="仿宋_GB2312" w:eastAsia="仿宋_GB2312" w:hAnsi="仿宋_GB2312" w:cs="仿宋_GB2312" w:hint="eastAsia"/>
          <w:b w:val="0"/>
          <w:bCs w:val="0"/>
        </w:rPr>
        <w:t>政拨款收入支出决算总表</w:t>
      </w:r>
      <w:bookmarkEnd w:id="82"/>
      <w:bookmarkEnd w:id="83"/>
    </w:p>
    <w:p w:rsidR="005F59E8" w:rsidRDefault="00B958CE">
      <w:pPr>
        <w:spacing w:line="560" w:lineRule="exact"/>
        <w:ind w:firstLineChars="200" w:firstLine="640"/>
        <w:rPr>
          <w:rStyle w:val="2Char"/>
          <w:rFonts w:ascii="仿宋_GB2312" w:eastAsia="仿宋_GB2312" w:hAnsi="仿宋_GB2312" w:cs="仿宋_GB2312"/>
          <w:b w:val="0"/>
          <w:bCs w:val="0"/>
        </w:rPr>
      </w:pPr>
      <w:bookmarkStart w:id="84" w:name="_Toc2608"/>
      <w:bookmarkStart w:id="85" w:name="_Toc15396623"/>
      <w:r>
        <w:rPr>
          <w:rStyle w:val="2Char"/>
          <w:rFonts w:ascii="仿宋_GB2312" w:eastAsia="仿宋_GB2312" w:hAnsi="仿宋_GB2312" w:cs="仿宋_GB2312" w:hint="eastAsia"/>
          <w:b w:val="0"/>
          <w:bCs w:val="0"/>
        </w:rPr>
        <w:t>五、</w:t>
      </w:r>
      <w:r>
        <w:rPr>
          <w:rFonts w:ascii="仿宋_GB2312" w:eastAsia="仿宋_GB2312" w:hAnsi="仿宋_GB2312" w:cs="仿宋_GB2312" w:hint="eastAsia"/>
          <w:color w:val="000000"/>
          <w:sz w:val="32"/>
          <w:szCs w:val="32"/>
        </w:rPr>
        <w:t>财</w:t>
      </w:r>
      <w:r>
        <w:rPr>
          <w:rStyle w:val="2Char"/>
          <w:rFonts w:ascii="仿宋_GB2312" w:eastAsia="仿宋_GB2312" w:hAnsi="仿宋_GB2312" w:cs="仿宋_GB2312" w:hint="eastAsia"/>
          <w:b w:val="0"/>
          <w:bCs w:val="0"/>
        </w:rPr>
        <w:t>政拨款支出决算明细表</w:t>
      </w:r>
      <w:bookmarkStart w:id="86" w:name="_Toc15396624"/>
      <w:bookmarkEnd w:id="84"/>
      <w:bookmarkEnd w:id="85"/>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87" w:name="_Toc11260"/>
      <w:r>
        <w:rPr>
          <w:rStyle w:val="2Char"/>
          <w:rFonts w:ascii="仿宋_GB2312" w:eastAsia="仿宋_GB2312" w:hAnsi="仿宋_GB2312" w:cs="仿宋_GB2312" w:hint="eastAsia"/>
          <w:b w:val="0"/>
          <w:bCs w:val="0"/>
        </w:rPr>
        <w:t>六、</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般公共预算财政拨款支出决算表</w:t>
      </w:r>
      <w:bookmarkEnd w:id="86"/>
      <w:bookmarkEnd w:id="87"/>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88" w:name="_Toc15388"/>
      <w:bookmarkStart w:id="89" w:name="_Toc15396625"/>
      <w:r>
        <w:rPr>
          <w:rStyle w:val="2Char"/>
          <w:rFonts w:ascii="仿宋_GB2312" w:eastAsia="仿宋_GB2312" w:hAnsi="仿宋_GB2312" w:cs="仿宋_GB2312" w:hint="eastAsia"/>
          <w:b w:val="0"/>
          <w:bCs w:val="0"/>
        </w:rPr>
        <w:t>七、</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般公共预算财政拨款支出决算明细表</w:t>
      </w:r>
      <w:bookmarkEnd w:id="88"/>
      <w:bookmarkEnd w:id="89"/>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90" w:name="_Toc15396626"/>
      <w:bookmarkStart w:id="91" w:name="_Toc21156"/>
      <w:r>
        <w:rPr>
          <w:rStyle w:val="2Char"/>
          <w:rFonts w:ascii="仿宋_GB2312" w:eastAsia="仿宋_GB2312" w:hAnsi="仿宋_GB2312" w:cs="仿宋_GB2312" w:hint="eastAsia"/>
          <w:b w:val="0"/>
          <w:bCs w:val="0"/>
        </w:rPr>
        <w:t>八、</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般公共预算财政拨款基本支出决算表</w:t>
      </w:r>
      <w:bookmarkEnd w:id="90"/>
      <w:bookmarkEnd w:id="91"/>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92" w:name="_Toc15396627"/>
      <w:bookmarkStart w:id="93" w:name="_Toc1030"/>
      <w:r>
        <w:rPr>
          <w:rStyle w:val="2Char"/>
          <w:rFonts w:ascii="仿宋_GB2312" w:eastAsia="仿宋_GB2312" w:hAnsi="仿宋_GB2312" w:cs="仿宋_GB2312" w:hint="eastAsia"/>
          <w:b w:val="0"/>
          <w:bCs w:val="0"/>
        </w:rPr>
        <w:t>九、</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般公共预算财政拨款项目支出决算表</w:t>
      </w:r>
      <w:bookmarkEnd w:id="92"/>
      <w:bookmarkEnd w:id="93"/>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94" w:name="_Toc15396628"/>
      <w:bookmarkStart w:id="95" w:name="_Toc29661"/>
      <w:r>
        <w:rPr>
          <w:rStyle w:val="2Char"/>
          <w:rFonts w:ascii="仿宋_GB2312" w:eastAsia="仿宋_GB2312" w:hAnsi="仿宋_GB2312" w:cs="仿宋_GB2312" w:hint="eastAsia"/>
          <w:b w:val="0"/>
          <w:bCs w:val="0"/>
        </w:rPr>
        <w:t>十、</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般公共预算财政拨款“三公”经费支出决算表</w:t>
      </w:r>
      <w:bookmarkEnd w:id="94"/>
      <w:bookmarkEnd w:id="95"/>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96" w:name="_Toc12181"/>
      <w:bookmarkStart w:id="97" w:name="_Toc15396629"/>
      <w:r>
        <w:rPr>
          <w:rStyle w:val="2Char"/>
          <w:rFonts w:ascii="仿宋_GB2312" w:eastAsia="仿宋_GB2312" w:hAnsi="仿宋_GB2312" w:cs="仿宋_GB2312" w:hint="eastAsia"/>
          <w:b w:val="0"/>
          <w:bCs w:val="0"/>
        </w:rPr>
        <w:t>十一、</w:t>
      </w:r>
      <w:r>
        <w:rPr>
          <w:rFonts w:ascii="仿宋_GB2312" w:eastAsia="仿宋_GB2312" w:hAnsi="仿宋_GB2312" w:cs="仿宋_GB2312" w:hint="eastAsia"/>
          <w:color w:val="000000"/>
          <w:sz w:val="32"/>
          <w:szCs w:val="32"/>
        </w:rPr>
        <w:t>政</w:t>
      </w:r>
      <w:r>
        <w:rPr>
          <w:rStyle w:val="2Char"/>
          <w:rFonts w:ascii="仿宋_GB2312" w:eastAsia="仿宋_GB2312" w:hAnsi="仿宋_GB2312" w:cs="仿宋_GB2312" w:hint="eastAsia"/>
          <w:b w:val="0"/>
          <w:bCs w:val="0"/>
        </w:rPr>
        <w:t>府性基金预算财政拨款收入支出决算表</w:t>
      </w:r>
      <w:bookmarkEnd w:id="96"/>
      <w:bookmarkEnd w:id="97"/>
    </w:p>
    <w:p w:rsidR="005F59E8" w:rsidRDefault="00B958CE">
      <w:pPr>
        <w:spacing w:line="560" w:lineRule="exact"/>
        <w:ind w:firstLineChars="200" w:firstLine="640"/>
        <w:rPr>
          <w:rFonts w:ascii="仿宋_GB2312" w:eastAsia="仿宋_GB2312" w:hAnsi="仿宋_GB2312" w:cs="仿宋_GB2312"/>
          <w:color w:val="000000"/>
          <w:sz w:val="32"/>
          <w:szCs w:val="32"/>
        </w:rPr>
      </w:pPr>
      <w:bookmarkStart w:id="98" w:name="_Toc15396630"/>
      <w:bookmarkStart w:id="99" w:name="_Toc21800"/>
      <w:r>
        <w:rPr>
          <w:rStyle w:val="2Char"/>
          <w:rFonts w:ascii="仿宋_GB2312" w:eastAsia="仿宋_GB2312" w:hAnsi="仿宋_GB2312" w:cs="仿宋_GB2312" w:hint="eastAsia"/>
          <w:b w:val="0"/>
          <w:bCs w:val="0"/>
        </w:rPr>
        <w:t>十二、</w:t>
      </w:r>
      <w:r>
        <w:rPr>
          <w:rFonts w:ascii="仿宋_GB2312" w:eastAsia="仿宋_GB2312" w:hAnsi="仿宋_GB2312" w:cs="仿宋_GB2312" w:hint="eastAsia"/>
          <w:color w:val="000000"/>
          <w:sz w:val="32"/>
          <w:szCs w:val="32"/>
        </w:rPr>
        <w:t>政</w:t>
      </w:r>
      <w:r>
        <w:rPr>
          <w:rStyle w:val="2Char"/>
          <w:rFonts w:ascii="仿宋_GB2312" w:eastAsia="仿宋_GB2312" w:hAnsi="仿宋_GB2312" w:cs="仿宋_GB2312" w:hint="eastAsia"/>
          <w:b w:val="0"/>
          <w:bCs w:val="0"/>
        </w:rPr>
        <w:t>府性基金预算财政拨款“三公”经费支出决算表</w:t>
      </w:r>
      <w:bookmarkEnd w:id="98"/>
      <w:bookmarkEnd w:id="99"/>
    </w:p>
    <w:p w:rsidR="005F59E8" w:rsidRDefault="00B958CE">
      <w:pPr>
        <w:spacing w:line="560" w:lineRule="exact"/>
        <w:ind w:firstLineChars="200" w:firstLine="640"/>
        <w:rPr>
          <w:rStyle w:val="2Char"/>
          <w:rFonts w:ascii="仿宋_GB2312" w:eastAsia="仿宋_GB2312" w:hAnsi="仿宋_GB2312" w:cs="仿宋_GB2312"/>
          <w:b w:val="0"/>
          <w:bCs w:val="0"/>
        </w:rPr>
      </w:pPr>
      <w:bookmarkStart w:id="100" w:name="_Toc10985"/>
      <w:bookmarkStart w:id="101" w:name="_Toc15396631"/>
      <w:r>
        <w:rPr>
          <w:rStyle w:val="2Char"/>
          <w:rFonts w:ascii="仿宋_GB2312" w:eastAsia="仿宋_GB2312" w:hAnsi="仿宋_GB2312" w:cs="仿宋_GB2312" w:hint="eastAsia"/>
          <w:b w:val="0"/>
          <w:bCs w:val="0"/>
        </w:rPr>
        <w:t>十三、</w:t>
      </w:r>
      <w:r>
        <w:rPr>
          <w:rFonts w:ascii="仿宋_GB2312" w:eastAsia="仿宋_GB2312" w:hAnsi="仿宋_GB2312" w:cs="仿宋_GB2312" w:hint="eastAsia"/>
          <w:color w:val="000000"/>
          <w:sz w:val="32"/>
          <w:szCs w:val="32"/>
        </w:rPr>
        <w:t>国</w:t>
      </w:r>
      <w:r>
        <w:rPr>
          <w:rStyle w:val="2Char"/>
          <w:rFonts w:ascii="仿宋_GB2312" w:eastAsia="仿宋_GB2312" w:hAnsi="仿宋_GB2312" w:cs="仿宋_GB2312" w:hint="eastAsia"/>
          <w:b w:val="0"/>
          <w:bCs w:val="0"/>
        </w:rPr>
        <w:t>有资本经营预算财政拨款收入支出决算表</w:t>
      </w:r>
      <w:bookmarkEnd w:id="100"/>
      <w:bookmarkEnd w:id="101"/>
    </w:p>
    <w:p w:rsidR="005F59E8" w:rsidRDefault="00B958CE">
      <w:pPr>
        <w:spacing w:line="560" w:lineRule="exact"/>
        <w:ind w:firstLineChars="200" w:firstLine="640"/>
        <w:rPr>
          <w:rFonts w:ascii="仿宋_GB2312" w:eastAsia="仿宋_GB2312" w:hAnsi="仿宋_GB2312" w:cs="仿宋_GB2312"/>
          <w:sz w:val="32"/>
          <w:szCs w:val="32"/>
        </w:rPr>
      </w:pPr>
      <w:bookmarkStart w:id="102" w:name="_Toc9256"/>
      <w:r>
        <w:rPr>
          <w:rStyle w:val="2Char"/>
          <w:rFonts w:ascii="仿宋_GB2312" w:eastAsia="仿宋_GB2312" w:hAnsi="仿宋_GB2312" w:cs="仿宋_GB2312" w:hint="eastAsia"/>
          <w:b w:val="0"/>
          <w:bCs w:val="0"/>
        </w:rPr>
        <w:t>十四、国有资本经营预算财政拨款支出决算表</w:t>
      </w:r>
      <w:bookmarkEnd w:id="102"/>
    </w:p>
    <w:sectPr w:rsidR="005F59E8" w:rsidSect="005F59E8">
      <w:footerReference w:type="default" r:id="rId16"/>
      <w:footerReference w:type="firs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111" w:rsidRDefault="00347111" w:rsidP="005F59E8">
      <w:r>
        <w:separator/>
      </w:r>
    </w:p>
  </w:endnote>
  <w:endnote w:type="continuationSeparator" w:id="0">
    <w:p w:rsidR="00347111" w:rsidRDefault="00347111" w:rsidP="005F5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7AC93124-1F7C-4293-BEA2-A9476E4E4C4C}"/>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default"/>
    <w:sig w:usb0="00000000" w:usb1="080E0000" w:usb2="00000000" w:usb3="00000000" w:csb0="00040000" w:csb1="00000000"/>
    <w:embedRegular r:id="rId2" w:subsetted="1" w:fontKey="{DF08A324-16E4-4403-B37D-321790752387}"/>
    <w:embedBold r:id="rId3" w:subsetted="1" w:fontKey="{7425F43D-8C98-4DDA-8A71-921FC7772A26}"/>
  </w:font>
  <w:font w:name="仿宋">
    <w:panose1 w:val="02010609060101010101"/>
    <w:charset w:val="86"/>
    <w:family w:val="modern"/>
    <w:pitch w:val="fixed"/>
    <w:sig w:usb0="800002BF" w:usb1="38CF7CFA" w:usb2="00000016" w:usb3="00000000" w:csb0="00040001" w:csb1="00000000"/>
    <w:embedRegular r:id="rId4" w:subsetted="1" w:fontKey="{423571F1-874F-4C5D-B9AE-CFE9AE3B7244}"/>
  </w:font>
  <w:font w:name="方正小标宋简体">
    <w:altName w:val="Arial Unicode MS"/>
    <w:charset w:val="86"/>
    <w:family w:val="script"/>
    <w:pitch w:val="default"/>
    <w:sig w:usb0="00000000" w:usb1="184F6CFA" w:usb2="00000012" w:usb3="00000000" w:csb0="00040001"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5" w:subsetted="1" w:fontKey="{25785F9F-2009-4003-9FA2-1DDBD44A86C5}"/>
  </w:font>
  <w:font w:name="楷体">
    <w:altName w:val="方正楷体_GBK"/>
    <w:panose1 w:val="02010609060101010101"/>
    <w:charset w:val="86"/>
    <w:family w:val="modern"/>
    <w:pitch w:val="fixed"/>
    <w:sig w:usb0="800002BF" w:usb1="38CF7CFA" w:usb2="00000016" w:usb3="00000000" w:csb0="00040001" w:csb1="00000000"/>
    <w:embedBold r:id="rId6" w:subsetted="1" w:fontKey="{C49A51A3-1988-4A9E-8348-6AE2C5FF25F6}"/>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8" w:rsidRDefault="00AD5F71">
    <w:pPr>
      <w:pStyle w:val="a6"/>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5F59E8" w:rsidRDefault="00AD5F71">
                <w:pPr>
                  <w:pStyle w:val="a6"/>
                </w:pPr>
                <w:r>
                  <w:fldChar w:fldCharType="begin"/>
                </w:r>
                <w:r w:rsidR="00B958CE">
                  <w:instrText xml:space="preserve"> PAGE  \* MERGEFORMAT </w:instrText>
                </w:r>
                <w:r>
                  <w:fldChar w:fldCharType="separate"/>
                </w:r>
                <w:r w:rsidR="003158BC">
                  <w:rPr>
                    <w:noProof/>
                  </w:rPr>
                  <w:t>7</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8" w:rsidRDefault="00AD5F71">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5F59E8" w:rsidRDefault="00AD5F71">
                <w:pPr>
                  <w:pStyle w:val="a6"/>
                </w:pPr>
                <w:r>
                  <w:fldChar w:fldCharType="begin"/>
                </w:r>
                <w:r w:rsidR="00B958CE">
                  <w:instrText xml:space="preserve"> PAGE  \* MERGEFORMAT </w:instrText>
                </w:r>
                <w:r>
                  <w:fldChar w:fldCharType="separate"/>
                </w:r>
                <w:r w:rsidR="003158BC">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111" w:rsidRDefault="00347111" w:rsidP="005F59E8">
      <w:r>
        <w:separator/>
      </w:r>
    </w:p>
  </w:footnote>
  <w:footnote w:type="continuationSeparator" w:id="0">
    <w:p w:rsidR="00347111" w:rsidRDefault="00347111" w:rsidP="005F5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8" w:rsidRDefault="005F59E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VhODI1MDc3MmU4NTI4OWVlZWE1MDQ3NTBkMjA4YjcifQ=="/>
  </w:docVars>
  <w:rsids>
    <w:rsidRoot w:val="00F1361C"/>
    <w:rsid w:val="98DF4B97"/>
    <w:rsid w:val="DB7DF066"/>
    <w:rsid w:val="EAF77210"/>
    <w:rsid w:val="EE0689A4"/>
    <w:rsid w:val="F73F87F0"/>
    <w:rsid w:val="FDDF73D5"/>
    <w:rsid w:val="FFFBCD0F"/>
    <w:rsid w:val="00005DE0"/>
    <w:rsid w:val="00007F92"/>
    <w:rsid w:val="000222C6"/>
    <w:rsid w:val="0002549F"/>
    <w:rsid w:val="00032EFD"/>
    <w:rsid w:val="000428D6"/>
    <w:rsid w:val="000468DB"/>
    <w:rsid w:val="0005546B"/>
    <w:rsid w:val="0006487A"/>
    <w:rsid w:val="00065F8F"/>
    <w:rsid w:val="00070A43"/>
    <w:rsid w:val="00074D0B"/>
    <w:rsid w:val="000768F2"/>
    <w:rsid w:val="0009156A"/>
    <w:rsid w:val="0009184B"/>
    <w:rsid w:val="00094236"/>
    <w:rsid w:val="0009593C"/>
    <w:rsid w:val="00097322"/>
    <w:rsid w:val="000A61F0"/>
    <w:rsid w:val="000A6A92"/>
    <w:rsid w:val="000B047F"/>
    <w:rsid w:val="000B5923"/>
    <w:rsid w:val="000B5A48"/>
    <w:rsid w:val="000B6FF3"/>
    <w:rsid w:val="000C3467"/>
    <w:rsid w:val="000C3CA6"/>
    <w:rsid w:val="000D026A"/>
    <w:rsid w:val="000D1267"/>
    <w:rsid w:val="000D1D50"/>
    <w:rsid w:val="000D3F07"/>
    <w:rsid w:val="000D5782"/>
    <w:rsid w:val="000E6613"/>
    <w:rsid w:val="000E7119"/>
    <w:rsid w:val="000F599F"/>
    <w:rsid w:val="00100E4C"/>
    <w:rsid w:val="00111E9D"/>
    <w:rsid w:val="00114E9B"/>
    <w:rsid w:val="00142216"/>
    <w:rsid w:val="00144D6A"/>
    <w:rsid w:val="0014729F"/>
    <w:rsid w:val="00152337"/>
    <w:rsid w:val="00157718"/>
    <w:rsid w:val="00157BAB"/>
    <w:rsid w:val="00161836"/>
    <w:rsid w:val="00161DAB"/>
    <w:rsid w:val="001654D1"/>
    <w:rsid w:val="00171705"/>
    <w:rsid w:val="00174518"/>
    <w:rsid w:val="0018106D"/>
    <w:rsid w:val="001877A7"/>
    <w:rsid w:val="00191536"/>
    <w:rsid w:val="00192386"/>
    <w:rsid w:val="00195976"/>
    <w:rsid w:val="00195BF4"/>
    <w:rsid w:val="00196687"/>
    <w:rsid w:val="001C0962"/>
    <w:rsid w:val="001D7531"/>
    <w:rsid w:val="001E737D"/>
    <w:rsid w:val="001F0592"/>
    <w:rsid w:val="001F7506"/>
    <w:rsid w:val="002006CD"/>
    <w:rsid w:val="00202B36"/>
    <w:rsid w:val="00204B7A"/>
    <w:rsid w:val="00204CDE"/>
    <w:rsid w:val="0021101A"/>
    <w:rsid w:val="00220536"/>
    <w:rsid w:val="00227AE0"/>
    <w:rsid w:val="00227DE9"/>
    <w:rsid w:val="00235629"/>
    <w:rsid w:val="00236F86"/>
    <w:rsid w:val="002428BF"/>
    <w:rsid w:val="002511A9"/>
    <w:rsid w:val="00252563"/>
    <w:rsid w:val="00254EA6"/>
    <w:rsid w:val="0025624C"/>
    <w:rsid w:val="00260C38"/>
    <w:rsid w:val="002616C0"/>
    <w:rsid w:val="00265372"/>
    <w:rsid w:val="002662AA"/>
    <w:rsid w:val="00280496"/>
    <w:rsid w:val="00290275"/>
    <w:rsid w:val="00294DC9"/>
    <w:rsid w:val="00295495"/>
    <w:rsid w:val="002A31DE"/>
    <w:rsid w:val="002A7AB7"/>
    <w:rsid w:val="002B2613"/>
    <w:rsid w:val="002B436D"/>
    <w:rsid w:val="002B5DE4"/>
    <w:rsid w:val="002C4A8B"/>
    <w:rsid w:val="002C57E9"/>
    <w:rsid w:val="002D6D05"/>
    <w:rsid w:val="002E369D"/>
    <w:rsid w:val="002E655E"/>
    <w:rsid w:val="002F1818"/>
    <w:rsid w:val="002F567B"/>
    <w:rsid w:val="003158BC"/>
    <w:rsid w:val="003216A9"/>
    <w:rsid w:val="00335A74"/>
    <w:rsid w:val="00340768"/>
    <w:rsid w:val="00344B49"/>
    <w:rsid w:val="00347111"/>
    <w:rsid w:val="00364572"/>
    <w:rsid w:val="0036561B"/>
    <w:rsid w:val="00366AD1"/>
    <w:rsid w:val="0037013F"/>
    <w:rsid w:val="00380C92"/>
    <w:rsid w:val="00383FB0"/>
    <w:rsid w:val="003A484F"/>
    <w:rsid w:val="003A4883"/>
    <w:rsid w:val="003B0BE0"/>
    <w:rsid w:val="003B0C1B"/>
    <w:rsid w:val="003B688C"/>
    <w:rsid w:val="003B7BC4"/>
    <w:rsid w:val="003C0291"/>
    <w:rsid w:val="003C39AE"/>
    <w:rsid w:val="003C7B60"/>
    <w:rsid w:val="003D0C0F"/>
    <w:rsid w:val="003D1FB2"/>
    <w:rsid w:val="003D2784"/>
    <w:rsid w:val="003D66DA"/>
    <w:rsid w:val="003E0677"/>
    <w:rsid w:val="003E1310"/>
    <w:rsid w:val="003E6F55"/>
    <w:rsid w:val="003F58B1"/>
    <w:rsid w:val="00406254"/>
    <w:rsid w:val="00417492"/>
    <w:rsid w:val="004179AB"/>
    <w:rsid w:val="004223DE"/>
    <w:rsid w:val="00434489"/>
    <w:rsid w:val="00437085"/>
    <w:rsid w:val="00443880"/>
    <w:rsid w:val="004464F4"/>
    <w:rsid w:val="00471401"/>
    <w:rsid w:val="00473F31"/>
    <w:rsid w:val="004818CB"/>
    <w:rsid w:val="0048263A"/>
    <w:rsid w:val="00487E5D"/>
    <w:rsid w:val="004A43DB"/>
    <w:rsid w:val="004A711F"/>
    <w:rsid w:val="004A7800"/>
    <w:rsid w:val="004B199D"/>
    <w:rsid w:val="004B4690"/>
    <w:rsid w:val="004C5C9F"/>
    <w:rsid w:val="004E0A2D"/>
    <w:rsid w:val="004E206B"/>
    <w:rsid w:val="004E3B5C"/>
    <w:rsid w:val="004E6DF7"/>
    <w:rsid w:val="004F0FBD"/>
    <w:rsid w:val="005011CB"/>
    <w:rsid w:val="00502026"/>
    <w:rsid w:val="00505A47"/>
    <w:rsid w:val="005122FD"/>
    <w:rsid w:val="00512FDA"/>
    <w:rsid w:val="0051387C"/>
    <w:rsid w:val="00516B26"/>
    <w:rsid w:val="00520DA0"/>
    <w:rsid w:val="005664BB"/>
    <w:rsid w:val="00566FFA"/>
    <w:rsid w:val="0057481D"/>
    <w:rsid w:val="0058486E"/>
    <w:rsid w:val="00585B33"/>
    <w:rsid w:val="0059014D"/>
    <w:rsid w:val="005B5C64"/>
    <w:rsid w:val="005C26E7"/>
    <w:rsid w:val="005C5337"/>
    <w:rsid w:val="005C6BD0"/>
    <w:rsid w:val="005D1A8F"/>
    <w:rsid w:val="005D1C6D"/>
    <w:rsid w:val="005D1C8B"/>
    <w:rsid w:val="005D468D"/>
    <w:rsid w:val="005D4E0F"/>
    <w:rsid w:val="005D5CED"/>
    <w:rsid w:val="005E249A"/>
    <w:rsid w:val="005F1A4C"/>
    <w:rsid w:val="005F36A8"/>
    <w:rsid w:val="005F59E8"/>
    <w:rsid w:val="005F72EF"/>
    <w:rsid w:val="00605688"/>
    <w:rsid w:val="006070AF"/>
    <w:rsid w:val="00607E6C"/>
    <w:rsid w:val="006101B1"/>
    <w:rsid w:val="00614E44"/>
    <w:rsid w:val="0062270A"/>
    <w:rsid w:val="00622830"/>
    <w:rsid w:val="00623DA0"/>
    <w:rsid w:val="00630AEF"/>
    <w:rsid w:val="00631A97"/>
    <w:rsid w:val="006325F8"/>
    <w:rsid w:val="00633463"/>
    <w:rsid w:val="00634C9A"/>
    <w:rsid w:val="00635CBF"/>
    <w:rsid w:val="006440E4"/>
    <w:rsid w:val="006459BD"/>
    <w:rsid w:val="006629AD"/>
    <w:rsid w:val="0066343B"/>
    <w:rsid w:val="00664777"/>
    <w:rsid w:val="006748A4"/>
    <w:rsid w:val="00681A31"/>
    <w:rsid w:val="00683E73"/>
    <w:rsid w:val="006920A4"/>
    <w:rsid w:val="006A3141"/>
    <w:rsid w:val="006A5E34"/>
    <w:rsid w:val="006B2422"/>
    <w:rsid w:val="006B2B9A"/>
    <w:rsid w:val="006C1937"/>
    <w:rsid w:val="006D1746"/>
    <w:rsid w:val="006F020C"/>
    <w:rsid w:val="00701592"/>
    <w:rsid w:val="007127B7"/>
    <w:rsid w:val="0071798E"/>
    <w:rsid w:val="00733666"/>
    <w:rsid w:val="007416B6"/>
    <w:rsid w:val="00746F48"/>
    <w:rsid w:val="0075404D"/>
    <w:rsid w:val="00756B12"/>
    <w:rsid w:val="0076182A"/>
    <w:rsid w:val="00767B7E"/>
    <w:rsid w:val="00773494"/>
    <w:rsid w:val="007759C5"/>
    <w:rsid w:val="00775DE9"/>
    <w:rsid w:val="007770C3"/>
    <w:rsid w:val="00777CAF"/>
    <w:rsid w:val="00784D24"/>
    <w:rsid w:val="00785FBA"/>
    <w:rsid w:val="00786E4A"/>
    <w:rsid w:val="007875EB"/>
    <w:rsid w:val="00792F6F"/>
    <w:rsid w:val="0079426B"/>
    <w:rsid w:val="007A4107"/>
    <w:rsid w:val="007A66B0"/>
    <w:rsid w:val="007D1682"/>
    <w:rsid w:val="007D312A"/>
    <w:rsid w:val="007D3EA6"/>
    <w:rsid w:val="007D3F19"/>
    <w:rsid w:val="007E23B0"/>
    <w:rsid w:val="007E23E5"/>
    <w:rsid w:val="007F1991"/>
    <w:rsid w:val="007F2C2F"/>
    <w:rsid w:val="007F55FC"/>
    <w:rsid w:val="007F5665"/>
    <w:rsid w:val="007F713D"/>
    <w:rsid w:val="00800112"/>
    <w:rsid w:val="008112A9"/>
    <w:rsid w:val="008120C8"/>
    <w:rsid w:val="00813348"/>
    <w:rsid w:val="008253BB"/>
    <w:rsid w:val="00825741"/>
    <w:rsid w:val="0083706E"/>
    <w:rsid w:val="008408F6"/>
    <w:rsid w:val="00841D3A"/>
    <w:rsid w:val="008423A5"/>
    <w:rsid w:val="00850625"/>
    <w:rsid w:val="00853718"/>
    <w:rsid w:val="00855221"/>
    <w:rsid w:val="00856637"/>
    <w:rsid w:val="00860645"/>
    <w:rsid w:val="00871D69"/>
    <w:rsid w:val="00871F71"/>
    <w:rsid w:val="00872FD8"/>
    <w:rsid w:val="00885AF4"/>
    <w:rsid w:val="008939CD"/>
    <w:rsid w:val="0089438A"/>
    <w:rsid w:val="008A2AB6"/>
    <w:rsid w:val="008A5C91"/>
    <w:rsid w:val="008A5DCD"/>
    <w:rsid w:val="008B768C"/>
    <w:rsid w:val="008C4DB1"/>
    <w:rsid w:val="008C4EAF"/>
    <w:rsid w:val="008C5176"/>
    <w:rsid w:val="008C7FD0"/>
    <w:rsid w:val="008E1DE7"/>
    <w:rsid w:val="008E2A73"/>
    <w:rsid w:val="008E707C"/>
    <w:rsid w:val="00900B08"/>
    <w:rsid w:val="00902155"/>
    <w:rsid w:val="00902FA3"/>
    <w:rsid w:val="00910AD1"/>
    <w:rsid w:val="00923564"/>
    <w:rsid w:val="0092392E"/>
    <w:rsid w:val="009315F9"/>
    <w:rsid w:val="00933499"/>
    <w:rsid w:val="00935C98"/>
    <w:rsid w:val="0094525D"/>
    <w:rsid w:val="00946945"/>
    <w:rsid w:val="00951248"/>
    <w:rsid w:val="0095152F"/>
    <w:rsid w:val="00951C1B"/>
    <w:rsid w:val="00952E24"/>
    <w:rsid w:val="00954C49"/>
    <w:rsid w:val="00955E37"/>
    <w:rsid w:val="0097099F"/>
    <w:rsid w:val="00971997"/>
    <w:rsid w:val="00971FFC"/>
    <w:rsid w:val="0098660A"/>
    <w:rsid w:val="009931C3"/>
    <w:rsid w:val="00993E14"/>
    <w:rsid w:val="0099652F"/>
    <w:rsid w:val="009A78AD"/>
    <w:rsid w:val="009B2C43"/>
    <w:rsid w:val="009B4EAE"/>
    <w:rsid w:val="009B7573"/>
    <w:rsid w:val="009C22F4"/>
    <w:rsid w:val="009C2A4B"/>
    <w:rsid w:val="009C2E98"/>
    <w:rsid w:val="009D3447"/>
    <w:rsid w:val="009D4711"/>
    <w:rsid w:val="009F1185"/>
    <w:rsid w:val="009F18CD"/>
    <w:rsid w:val="009F2A13"/>
    <w:rsid w:val="009F4FE7"/>
    <w:rsid w:val="009F7527"/>
    <w:rsid w:val="00A04EB0"/>
    <w:rsid w:val="00A13CC1"/>
    <w:rsid w:val="00A16847"/>
    <w:rsid w:val="00A237D8"/>
    <w:rsid w:val="00A268C4"/>
    <w:rsid w:val="00A307CD"/>
    <w:rsid w:val="00A30CA1"/>
    <w:rsid w:val="00A331C8"/>
    <w:rsid w:val="00A3566D"/>
    <w:rsid w:val="00A35F72"/>
    <w:rsid w:val="00A40A00"/>
    <w:rsid w:val="00A4142F"/>
    <w:rsid w:val="00A422EB"/>
    <w:rsid w:val="00A45BB7"/>
    <w:rsid w:val="00A56DF2"/>
    <w:rsid w:val="00A56E6E"/>
    <w:rsid w:val="00A60CB6"/>
    <w:rsid w:val="00A67AB5"/>
    <w:rsid w:val="00A733B2"/>
    <w:rsid w:val="00A741C2"/>
    <w:rsid w:val="00A91760"/>
    <w:rsid w:val="00A93B00"/>
    <w:rsid w:val="00A93C21"/>
    <w:rsid w:val="00AB50B2"/>
    <w:rsid w:val="00AB64C9"/>
    <w:rsid w:val="00AC0D34"/>
    <w:rsid w:val="00AC3C6A"/>
    <w:rsid w:val="00AD0E85"/>
    <w:rsid w:val="00AD5620"/>
    <w:rsid w:val="00AD5F71"/>
    <w:rsid w:val="00AD656B"/>
    <w:rsid w:val="00AD7C1B"/>
    <w:rsid w:val="00AE16BA"/>
    <w:rsid w:val="00AE1EBE"/>
    <w:rsid w:val="00AF0937"/>
    <w:rsid w:val="00B036D3"/>
    <w:rsid w:val="00B03C9D"/>
    <w:rsid w:val="00B060AE"/>
    <w:rsid w:val="00B10517"/>
    <w:rsid w:val="00B1089D"/>
    <w:rsid w:val="00B14E76"/>
    <w:rsid w:val="00B161B8"/>
    <w:rsid w:val="00B2048C"/>
    <w:rsid w:val="00B26D52"/>
    <w:rsid w:val="00B3077D"/>
    <w:rsid w:val="00B310B9"/>
    <w:rsid w:val="00B32F32"/>
    <w:rsid w:val="00B35F3F"/>
    <w:rsid w:val="00B36CBB"/>
    <w:rsid w:val="00B425E0"/>
    <w:rsid w:val="00B440AA"/>
    <w:rsid w:val="00B44B70"/>
    <w:rsid w:val="00B46842"/>
    <w:rsid w:val="00B53C56"/>
    <w:rsid w:val="00B540DF"/>
    <w:rsid w:val="00B57DAF"/>
    <w:rsid w:val="00B65406"/>
    <w:rsid w:val="00B67305"/>
    <w:rsid w:val="00B77EA6"/>
    <w:rsid w:val="00B81598"/>
    <w:rsid w:val="00B841F1"/>
    <w:rsid w:val="00B918E4"/>
    <w:rsid w:val="00B944D6"/>
    <w:rsid w:val="00B9508C"/>
    <w:rsid w:val="00B958CE"/>
    <w:rsid w:val="00BA7ABD"/>
    <w:rsid w:val="00BB4DF0"/>
    <w:rsid w:val="00BC289F"/>
    <w:rsid w:val="00BC2D50"/>
    <w:rsid w:val="00BC4183"/>
    <w:rsid w:val="00BC5361"/>
    <w:rsid w:val="00BC5460"/>
    <w:rsid w:val="00BC6B50"/>
    <w:rsid w:val="00BD0E25"/>
    <w:rsid w:val="00BD3927"/>
    <w:rsid w:val="00BF265D"/>
    <w:rsid w:val="00BF5BD6"/>
    <w:rsid w:val="00BF6FFE"/>
    <w:rsid w:val="00C03E31"/>
    <w:rsid w:val="00C21085"/>
    <w:rsid w:val="00C33E72"/>
    <w:rsid w:val="00C3504B"/>
    <w:rsid w:val="00C354B2"/>
    <w:rsid w:val="00C35554"/>
    <w:rsid w:val="00C42709"/>
    <w:rsid w:val="00C533CC"/>
    <w:rsid w:val="00C5751C"/>
    <w:rsid w:val="00C61BFC"/>
    <w:rsid w:val="00C62B85"/>
    <w:rsid w:val="00C65438"/>
    <w:rsid w:val="00C65B56"/>
    <w:rsid w:val="00C838F7"/>
    <w:rsid w:val="00C87FD8"/>
    <w:rsid w:val="00C91381"/>
    <w:rsid w:val="00C91CBB"/>
    <w:rsid w:val="00C96D04"/>
    <w:rsid w:val="00CA4610"/>
    <w:rsid w:val="00CB4E70"/>
    <w:rsid w:val="00CC09B6"/>
    <w:rsid w:val="00CC666F"/>
    <w:rsid w:val="00CD1E3F"/>
    <w:rsid w:val="00CE1A58"/>
    <w:rsid w:val="00CE44F6"/>
    <w:rsid w:val="00CE49DA"/>
    <w:rsid w:val="00CE7B61"/>
    <w:rsid w:val="00CF30A9"/>
    <w:rsid w:val="00D00095"/>
    <w:rsid w:val="00D114F0"/>
    <w:rsid w:val="00D20620"/>
    <w:rsid w:val="00D23B0B"/>
    <w:rsid w:val="00D254F7"/>
    <w:rsid w:val="00D26091"/>
    <w:rsid w:val="00D2685C"/>
    <w:rsid w:val="00D34E7C"/>
    <w:rsid w:val="00D35489"/>
    <w:rsid w:val="00D36AFE"/>
    <w:rsid w:val="00D51276"/>
    <w:rsid w:val="00D7035F"/>
    <w:rsid w:val="00D9208E"/>
    <w:rsid w:val="00D94F30"/>
    <w:rsid w:val="00D96FF2"/>
    <w:rsid w:val="00DA1C3D"/>
    <w:rsid w:val="00DA634F"/>
    <w:rsid w:val="00DA65AC"/>
    <w:rsid w:val="00DB1913"/>
    <w:rsid w:val="00DC2E57"/>
    <w:rsid w:val="00DC410D"/>
    <w:rsid w:val="00DC5A81"/>
    <w:rsid w:val="00DC68CA"/>
    <w:rsid w:val="00DC7CBA"/>
    <w:rsid w:val="00DD73B7"/>
    <w:rsid w:val="00DE364C"/>
    <w:rsid w:val="00DF28BC"/>
    <w:rsid w:val="00DF34B9"/>
    <w:rsid w:val="00E00A2D"/>
    <w:rsid w:val="00E01053"/>
    <w:rsid w:val="00E07ACF"/>
    <w:rsid w:val="00E23A83"/>
    <w:rsid w:val="00E331A1"/>
    <w:rsid w:val="00E33202"/>
    <w:rsid w:val="00E336A9"/>
    <w:rsid w:val="00E349FE"/>
    <w:rsid w:val="00E472B1"/>
    <w:rsid w:val="00E50624"/>
    <w:rsid w:val="00E568DF"/>
    <w:rsid w:val="00E61CFA"/>
    <w:rsid w:val="00E62FED"/>
    <w:rsid w:val="00E64269"/>
    <w:rsid w:val="00E70C17"/>
    <w:rsid w:val="00E82267"/>
    <w:rsid w:val="00E853CE"/>
    <w:rsid w:val="00E867B6"/>
    <w:rsid w:val="00EA010F"/>
    <w:rsid w:val="00EC6918"/>
    <w:rsid w:val="00ED1B63"/>
    <w:rsid w:val="00ED3C1F"/>
    <w:rsid w:val="00ED4085"/>
    <w:rsid w:val="00ED420E"/>
    <w:rsid w:val="00ED6FBE"/>
    <w:rsid w:val="00EE2F57"/>
    <w:rsid w:val="00EE3C1F"/>
    <w:rsid w:val="00EF4C34"/>
    <w:rsid w:val="00EF77C6"/>
    <w:rsid w:val="00F001F9"/>
    <w:rsid w:val="00F05438"/>
    <w:rsid w:val="00F1060E"/>
    <w:rsid w:val="00F1361C"/>
    <w:rsid w:val="00F156F0"/>
    <w:rsid w:val="00F160C7"/>
    <w:rsid w:val="00F2408F"/>
    <w:rsid w:val="00F240E9"/>
    <w:rsid w:val="00F36D8F"/>
    <w:rsid w:val="00F417B1"/>
    <w:rsid w:val="00F45853"/>
    <w:rsid w:val="00F602DF"/>
    <w:rsid w:val="00F754A1"/>
    <w:rsid w:val="00F77EAB"/>
    <w:rsid w:val="00F81FD9"/>
    <w:rsid w:val="00F841AA"/>
    <w:rsid w:val="00F84A94"/>
    <w:rsid w:val="00F864BA"/>
    <w:rsid w:val="00F87E96"/>
    <w:rsid w:val="00FA23E8"/>
    <w:rsid w:val="00FA60DF"/>
    <w:rsid w:val="00FD3CC1"/>
    <w:rsid w:val="00FD52DA"/>
    <w:rsid w:val="00FD56ED"/>
    <w:rsid w:val="00FE00B9"/>
    <w:rsid w:val="00FF1E02"/>
    <w:rsid w:val="00FF30B4"/>
    <w:rsid w:val="0A2032A3"/>
    <w:rsid w:val="10C055FF"/>
    <w:rsid w:val="118107EC"/>
    <w:rsid w:val="16BB723D"/>
    <w:rsid w:val="18015F3F"/>
    <w:rsid w:val="1BE8440E"/>
    <w:rsid w:val="1D155CEE"/>
    <w:rsid w:val="20F57F95"/>
    <w:rsid w:val="21880382"/>
    <w:rsid w:val="240371BF"/>
    <w:rsid w:val="260242A1"/>
    <w:rsid w:val="27EE6B9A"/>
    <w:rsid w:val="29FD04D3"/>
    <w:rsid w:val="2ABE7A3E"/>
    <w:rsid w:val="2BDD1F07"/>
    <w:rsid w:val="2C875AED"/>
    <w:rsid w:val="2CFD37B0"/>
    <w:rsid w:val="319F7F4E"/>
    <w:rsid w:val="3C0C0783"/>
    <w:rsid w:val="3DA211FE"/>
    <w:rsid w:val="496F39ED"/>
    <w:rsid w:val="4BE068DB"/>
    <w:rsid w:val="4BF6002B"/>
    <w:rsid w:val="4E8E1460"/>
    <w:rsid w:val="4ECE2238"/>
    <w:rsid w:val="5FFD7306"/>
    <w:rsid w:val="612556D8"/>
    <w:rsid w:val="64CA39A1"/>
    <w:rsid w:val="6B6F3914"/>
    <w:rsid w:val="6C4A05C8"/>
    <w:rsid w:val="72734D90"/>
    <w:rsid w:val="795FCCF8"/>
    <w:rsid w:val="7A30481F"/>
    <w:rsid w:val="7B1E55C8"/>
    <w:rsid w:val="7CBAA973"/>
    <w:rsid w:val="7D73051F"/>
    <w:rsid w:val="7EFAA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F59E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F59E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F59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F59E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5F59E8"/>
    <w:pPr>
      <w:spacing w:beforeLines="30"/>
    </w:pPr>
    <w:rPr>
      <w:rFonts w:ascii="仿宋_GB2312" w:eastAsia="仿宋_GB2312"/>
      <w:kern w:val="0"/>
      <w:sz w:val="30"/>
    </w:rPr>
  </w:style>
  <w:style w:type="paragraph" w:styleId="a4">
    <w:name w:val="annotation text"/>
    <w:basedOn w:val="a"/>
    <w:uiPriority w:val="99"/>
    <w:semiHidden/>
    <w:unhideWhenUsed/>
    <w:qFormat/>
    <w:rsid w:val="005F59E8"/>
    <w:pPr>
      <w:jc w:val="left"/>
    </w:pPr>
  </w:style>
  <w:style w:type="paragraph" w:styleId="30">
    <w:name w:val="toc 3"/>
    <w:basedOn w:val="a"/>
    <w:next w:val="a"/>
    <w:uiPriority w:val="39"/>
    <w:unhideWhenUsed/>
    <w:qFormat/>
    <w:rsid w:val="005F59E8"/>
    <w:pPr>
      <w:tabs>
        <w:tab w:val="right" w:leader="dot" w:pos="8296"/>
      </w:tabs>
      <w:ind w:leftChars="400" w:left="840"/>
    </w:pPr>
  </w:style>
  <w:style w:type="paragraph" w:styleId="a5">
    <w:name w:val="Balloon Text"/>
    <w:basedOn w:val="a"/>
    <w:link w:val="Char0"/>
    <w:uiPriority w:val="99"/>
    <w:semiHidden/>
    <w:unhideWhenUsed/>
    <w:qFormat/>
    <w:rsid w:val="005F59E8"/>
    <w:rPr>
      <w:sz w:val="18"/>
      <w:szCs w:val="18"/>
    </w:rPr>
  </w:style>
  <w:style w:type="paragraph" w:styleId="a6">
    <w:name w:val="footer"/>
    <w:basedOn w:val="a"/>
    <w:link w:val="Char1"/>
    <w:uiPriority w:val="99"/>
    <w:qFormat/>
    <w:rsid w:val="005F59E8"/>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5F59E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F59E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F59E8"/>
    <w:pPr>
      <w:tabs>
        <w:tab w:val="right" w:leader="dot" w:pos="8296"/>
      </w:tabs>
      <w:ind w:leftChars="200" w:left="420"/>
    </w:pPr>
  </w:style>
  <w:style w:type="character" w:styleId="a8">
    <w:name w:val="Strong"/>
    <w:basedOn w:val="a1"/>
    <w:uiPriority w:val="99"/>
    <w:qFormat/>
    <w:rsid w:val="005F59E8"/>
    <w:rPr>
      <w:b/>
    </w:rPr>
  </w:style>
  <w:style w:type="character" w:styleId="a9">
    <w:name w:val="Hyperlink"/>
    <w:basedOn w:val="a1"/>
    <w:uiPriority w:val="99"/>
    <w:unhideWhenUsed/>
    <w:qFormat/>
    <w:rsid w:val="005F59E8"/>
    <w:rPr>
      <w:color w:val="0000FF" w:themeColor="hyperlink"/>
      <w:u w:val="single"/>
    </w:rPr>
  </w:style>
  <w:style w:type="character" w:styleId="aa">
    <w:name w:val="annotation reference"/>
    <w:basedOn w:val="a1"/>
    <w:uiPriority w:val="99"/>
    <w:semiHidden/>
    <w:unhideWhenUsed/>
    <w:qFormat/>
    <w:rsid w:val="005F59E8"/>
    <w:rPr>
      <w:sz w:val="21"/>
      <w:szCs w:val="21"/>
    </w:rPr>
  </w:style>
  <w:style w:type="character" w:customStyle="1" w:styleId="HeaderChar">
    <w:name w:val="Header Char"/>
    <w:basedOn w:val="a1"/>
    <w:uiPriority w:val="99"/>
    <w:semiHidden/>
    <w:qFormat/>
    <w:rsid w:val="005F59E8"/>
    <w:rPr>
      <w:rFonts w:ascii="Times New Roman" w:hAnsi="Times New Roman"/>
      <w:sz w:val="18"/>
      <w:szCs w:val="18"/>
    </w:rPr>
  </w:style>
  <w:style w:type="character" w:customStyle="1" w:styleId="Char2">
    <w:name w:val="页眉 Char"/>
    <w:link w:val="a7"/>
    <w:uiPriority w:val="99"/>
    <w:semiHidden/>
    <w:qFormat/>
    <w:locked/>
    <w:rsid w:val="005F59E8"/>
    <w:rPr>
      <w:sz w:val="18"/>
    </w:rPr>
  </w:style>
  <w:style w:type="character" w:customStyle="1" w:styleId="FooterChar">
    <w:name w:val="Footer Char"/>
    <w:basedOn w:val="a1"/>
    <w:uiPriority w:val="99"/>
    <w:semiHidden/>
    <w:qFormat/>
    <w:rsid w:val="005F59E8"/>
    <w:rPr>
      <w:rFonts w:ascii="Times New Roman" w:hAnsi="Times New Roman"/>
      <w:sz w:val="18"/>
      <w:szCs w:val="18"/>
    </w:rPr>
  </w:style>
  <w:style w:type="character" w:customStyle="1" w:styleId="Char1">
    <w:name w:val="页脚 Char"/>
    <w:link w:val="a6"/>
    <w:uiPriority w:val="99"/>
    <w:qFormat/>
    <w:locked/>
    <w:rsid w:val="005F59E8"/>
    <w:rPr>
      <w:sz w:val="18"/>
    </w:rPr>
  </w:style>
  <w:style w:type="character" w:customStyle="1" w:styleId="BodyTextChar">
    <w:name w:val="Body Text Char"/>
    <w:basedOn w:val="a1"/>
    <w:uiPriority w:val="99"/>
    <w:semiHidden/>
    <w:qFormat/>
    <w:rsid w:val="005F59E8"/>
    <w:rPr>
      <w:rFonts w:ascii="Times New Roman" w:hAnsi="Times New Roman"/>
      <w:szCs w:val="24"/>
    </w:rPr>
  </w:style>
  <w:style w:type="character" w:customStyle="1" w:styleId="Char">
    <w:name w:val="正文文本 Char"/>
    <w:link w:val="a0"/>
    <w:uiPriority w:val="99"/>
    <w:qFormat/>
    <w:locked/>
    <w:rsid w:val="005F59E8"/>
    <w:rPr>
      <w:rFonts w:ascii="仿宋_GB2312" w:eastAsia="仿宋_GB2312" w:hAnsi="Times New Roman"/>
      <w:sz w:val="24"/>
    </w:rPr>
  </w:style>
  <w:style w:type="paragraph" w:customStyle="1" w:styleId="Default">
    <w:name w:val="Default"/>
    <w:uiPriority w:val="99"/>
    <w:qFormat/>
    <w:rsid w:val="005F59E8"/>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5F59E8"/>
    <w:pPr>
      <w:ind w:firstLineChars="200" w:firstLine="420"/>
    </w:pPr>
  </w:style>
  <w:style w:type="character" w:customStyle="1" w:styleId="1Char">
    <w:name w:val="标题 1 Char"/>
    <w:basedOn w:val="a1"/>
    <w:link w:val="1"/>
    <w:uiPriority w:val="9"/>
    <w:qFormat/>
    <w:rsid w:val="005F59E8"/>
    <w:rPr>
      <w:rFonts w:ascii="Times New Roman" w:hAnsi="Times New Roman"/>
      <w:b/>
      <w:bCs/>
      <w:kern w:val="44"/>
      <w:sz w:val="44"/>
      <w:szCs w:val="44"/>
    </w:rPr>
  </w:style>
  <w:style w:type="character" w:customStyle="1" w:styleId="2Char">
    <w:name w:val="标题 2 Char"/>
    <w:basedOn w:val="a1"/>
    <w:link w:val="2"/>
    <w:uiPriority w:val="9"/>
    <w:qFormat/>
    <w:rsid w:val="005F59E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F59E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5F59E8"/>
    <w:rPr>
      <w:rFonts w:ascii="Times New Roman" w:hAnsi="Times New Roman"/>
      <w:kern w:val="2"/>
      <w:sz w:val="18"/>
      <w:szCs w:val="18"/>
    </w:rPr>
  </w:style>
  <w:style w:type="character" w:customStyle="1" w:styleId="3Char">
    <w:name w:val="标题 3 Char"/>
    <w:basedOn w:val="a1"/>
    <w:link w:val="3"/>
    <w:uiPriority w:val="9"/>
    <w:qFormat/>
    <w:rsid w:val="005F59E8"/>
    <w:rPr>
      <w:rFonts w:ascii="Times New Roman" w:hAnsi="Times New Roman"/>
      <w:b/>
      <w:bCs/>
      <w:kern w:val="2"/>
      <w:sz w:val="32"/>
      <w:szCs w:val="32"/>
    </w:rPr>
  </w:style>
  <w:style w:type="paragraph" w:customStyle="1" w:styleId="TOC2">
    <w:name w:val="TOC 标题2"/>
    <w:basedOn w:val="1"/>
    <w:next w:val="a"/>
    <w:uiPriority w:val="39"/>
    <w:unhideWhenUsed/>
    <w:qFormat/>
    <w:rsid w:val="005F59E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5F59E8"/>
  </w:style>
  <w:style w:type="paragraph" w:customStyle="1" w:styleId="WPSOffice2">
    <w:name w:val="WPSOffice手动目录 2"/>
    <w:qFormat/>
    <w:rsid w:val="005F59E8"/>
    <w:pPr>
      <w:ind w:leftChars="200" w:left="200"/>
    </w:pPr>
  </w:style>
  <w:style w:type="paragraph" w:styleId="TOC">
    <w:name w:val="TOC Heading"/>
    <w:basedOn w:val="1"/>
    <w:next w:val="a"/>
    <w:uiPriority w:val="39"/>
    <w:semiHidden/>
    <w:unhideWhenUsed/>
    <w:qFormat/>
    <w:rsid w:val="000428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Sheet1!$B$1</c:f>
              <c:strCache>
                <c:ptCount val="1"/>
                <c:pt idx="0">
                  <c:v>收、支决算总计变支情况</c:v>
                </c:pt>
              </c:strCache>
            </c:strRef>
          </c:tx>
          <c:cat>
            <c:strRef>
              <c:f>Sheet1!$A$2:$A$3</c:f>
              <c:strCache>
                <c:ptCount val="2"/>
                <c:pt idx="0">
                  <c:v>2020年</c:v>
                </c:pt>
                <c:pt idx="1">
                  <c:v>2019年</c:v>
                </c:pt>
              </c:strCache>
            </c:strRef>
          </c:cat>
          <c:val>
            <c:numRef>
              <c:f>Sheet1!$B$2:$B$3</c:f>
              <c:numCache>
                <c:formatCode>General</c:formatCode>
                <c:ptCount val="2"/>
                <c:pt idx="0">
                  <c:v>5631.41</c:v>
                </c:pt>
                <c:pt idx="1">
                  <c:v>6667.1200000000035</c:v>
                </c:pt>
              </c:numCache>
            </c:numRef>
          </c:val>
        </c:ser>
        <c:axId val="201818496"/>
        <c:axId val="201821184"/>
      </c:barChart>
      <c:catAx>
        <c:axId val="20181849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1821184"/>
        <c:crosses val="autoZero"/>
        <c:auto val="1"/>
        <c:lblAlgn val="ctr"/>
        <c:lblOffset val="100"/>
      </c:catAx>
      <c:valAx>
        <c:axId val="20182118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1818496"/>
        <c:crosses val="autoZero"/>
        <c:crossBetween val="between"/>
      </c:valAx>
      <c:dTable>
        <c:showHorzBorder val="1"/>
        <c:showVertBorder val="1"/>
        <c:showOutline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2020年收入合计</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true"/>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4060.3900000000012</c:v>
                </c:pt>
                <c:pt idx="1">
                  <c:v>652.75</c:v>
                </c:pt>
                <c:pt idx="2">
                  <c:v>114.29</c:v>
                </c:pt>
              </c:numCache>
            </c:numRef>
          </c:val>
        </c:ser>
        <c:dLbls>
          <c:showCatName val="1"/>
          <c:showPercent val="1"/>
        </c:dLbls>
        <c:firstSliceAng val="0"/>
      </c:pieChart>
    </c:plotArea>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2020年支出决算表</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3657.7599999999998</c:v>
                </c:pt>
                <c:pt idx="1">
                  <c:v>2033.6399999999999</c:v>
                </c:pt>
              </c:numCache>
            </c:numRef>
          </c:val>
        </c:ser>
        <c:dLbls>
          <c:showCatName val="1"/>
          <c:showPercent val="1"/>
        </c:dLbls>
        <c:firstSliceAng val="0"/>
      </c:pieChart>
    </c:plotArea>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Sheet1!$B$1</c:f>
              <c:strCache>
                <c:ptCount val="1"/>
                <c:pt idx="0">
                  <c:v>财政拨款收、支决算总计变动</c:v>
                </c:pt>
              </c:strCache>
            </c:strRef>
          </c:tx>
          <c:cat>
            <c:strRef>
              <c:f>Sheet1!$A$2:$A$3</c:f>
              <c:strCache>
                <c:ptCount val="2"/>
                <c:pt idx="0">
                  <c:v>2019年</c:v>
                </c:pt>
                <c:pt idx="1">
                  <c:v>2020年</c:v>
                </c:pt>
              </c:strCache>
            </c:strRef>
          </c:cat>
          <c:val>
            <c:numRef>
              <c:f>Sheet1!$B$2:$B$3</c:f>
              <c:numCache>
                <c:formatCode>General</c:formatCode>
                <c:ptCount val="2"/>
                <c:pt idx="0">
                  <c:v>4855.6900000000014</c:v>
                </c:pt>
                <c:pt idx="1">
                  <c:v>4060.3900000000012</c:v>
                </c:pt>
              </c:numCache>
            </c:numRef>
          </c:val>
        </c:ser>
        <c:axId val="200957952"/>
        <c:axId val="200959488"/>
      </c:barChart>
      <c:catAx>
        <c:axId val="20095795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0959488"/>
        <c:crosses val="autoZero"/>
        <c:auto val="1"/>
        <c:lblAlgn val="ctr"/>
        <c:lblOffset val="100"/>
      </c:catAx>
      <c:valAx>
        <c:axId val="20095948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095795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Sheet1!$B$1</c:f>
              <c:strCache>
                <c:ptCount val="1"/>
                <c:pt idx="0">
                  <c:v>一般公共预算财政拨款支出决算变动情况</c:v>
                </c:pt>
              </c:strCache>
            </c:strRef>
          </c:tx>
          <c:cat>
            <c:strRef>
              <c:f>Sheet1!$A$2:$A$3</c:f>
              <c:strCache>
                <c:ptCount val="2"/>
                <c:pt idx="0">
                  <c:v>2019年</c:v>
                </c:pt>
                <c:pt idx="1">
                  <c:v>2020年</c:v>
                </c:pt>
              </c:strCache>
            </c:strRef>
          </c:cat>
          <c:val>
            <c:numRef>
              <c:f>Sheet1!$B$2:$B$3</c:f>
              <c:numCache>
                <c:formatCode>General</c:formatCode>
                <c:ptCount val="2"/>
                <c:pt idx="0">
                  <c:v>4855.6900000000014</c:v>
                </c:pt>
                <c:pt idx="1">
                  <c:v>4060.3900000000012</c:v>
                </c:pt>
              </c:numCache>
            </c:numRef>
          </c:val>
        </c:ser>
        <c:axId val="200578176"/>
        <c:axId val="200579712"/>
      </c:barChart>
      <c:catAx>
        <c:axId val="20057817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0579712"/>
        <c:crosses val="autoZero"/>
        <c:auto val="1"/>
        <c:lblAlgn val="ctr"/>
        <c:lblOffset val="100"/>
      </c:catAx>
      <c:valAx>
        <c:axId val="20057971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057817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一般公共预算财政拨款支出决算结构</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true"/>
                <c15:leaderLines/>
              </c:ext>
            </c:extLst>
          </c:dLbls>
          <c:cat>
            <c:strRef>
              <c:f>Sheet1!$A$2:$A$6</c:f>
              <c:strCache>
                <c:ptCount val="5"/>
                <c:pt idx="0">
                  <c:v>教育支出</c:v>
                </c:pt>
                <c:pt idx="1">
                  <c:v>社公保障和就业支出</c:v>
                </c:pt>
                <c:pt idx="2">
                  <c:v>卫生健康支出</c:v>
                </c:pt>
                <c:pt idx="3">
                  <c:v>商业服务业等支出</c:v>
                </c:pt>
                <c:pt idx="4">
                  <c:v>住房保障支出</c:v>
                </c:pt>
              </c:strCache>
            </c:strRef>
          </c:cat>
          <c:val>
            <c:numRef>
              <c:f>Sheet1!$B$2:$B$6</c:f>
              <c:numCache>
                <c:formatCode>General</c:formatCode>
                <c:ptCount val="5"/>
                <c:pt idx="0">
                  <c:v>4060.3900000000012</c:v>
                </c:pt>
                <c:pt idx="1">
                  <c:v>180.46</c:v>
                </c:pt>
                <c:pt idx="2">
                  <c:v>78.460000000000022</c:v>
                </c:pt>
                <c:pt idx="3">
                  <c:v>24.84</c:v>
                </c:pt>
                <c:pt idx="4">
                  <c:v>104.61999999999999</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“三公”财政拨款支出结构图</c:v>
                </c:pt>
              </c:strCache>
            </c:strRef>
          </c:tx>
          <c:cat>
            <c:strRef>
              <c:f>Sheet1!$A$2:$A$3</c:f>
              <c:strCache>
                <c:ptCount val="2"/>
                <c:pt idx="0">
                  <c:v>公务接待费用</c:v>
                </c:pt>
                <c:pt idx="1">
                  <c:v>公务用车购置及运行费</c:v>
                </c:pt>
              </c:strCache>
            </c:strRef>
          </c:cat>
          <c:val>
            <c:numRef>
              <c:f>Sheet1!$B$2:$B$3</c:f>
              <c:numCache>
                <c:formatCode>General</c:formatCode>
                <c:ptCount val="2"/>
                <c:pt idx="0">
                  <c:v>1148</c:v>
                </c:pt>
                <c:pt idx="1">
                  <c:v>174855.56</c:v>
                </c:pt>
              </c:numCache>
            </c:numRef>
          </c:val>
        </c:ser>
        <c:firstSliceAng val="0"/>
      </c:pieChart>
    </c:plotArea>
    <c:legend>
      <c:legendPos val="b"/>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13AA9-1952-4171-AB2C-DBA3B536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2781</Words>
  <Characters>15852</Characters>
  <Application>Microsoft Office Word</Application>
  <DocSecurity>0</DocSecurity>
  <Lines>132</Lines>
  <Paragraphs>37</Paragraphs>
  <ScaleCrop>false</ScaleCrop>
  <Company>四川省财政厅</Company>
  <LinksUpToDate>false</LinksUpToDate>
  <CharactersWithSpaces>18596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2</cp:revision>
  <cp:lastPrinted>2022-06-07T00:00:00Z</cp:lastPrinted>
  <dcterms:created xsi:type="dcterms:W3CDTF">2022-11-11T02:19:00Z</dcterms:created>
  <dcterms:modified xsi:type="dcterms:W3CDTF">2022-11-11T02:19:00Z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3A3540557AAC4022981E2B0515FEBA0C</vt:lpwstr>
  </property>
</Properties>
</file>