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color w:val="000000"/>
          <w:sz w:val="30"/>
          <w:szCs w:val="30"/>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hint="eastAsia" w:ascii="方正小标宋简体" w:hAnsi="宋体" w:eastAsia="方正小标宋简体"/>
          <w:color w:val="000000"/>
          <w:sz w:val="52"/>
          <w:szCs w:val="52"/>
        </w:rPr>
      </w:pPr>
      <w:bookmarkStart w:id="1" w:name="_Toc80874571"/>
      <w:bookmarkStart w:id="2" w:name="_Toc15396475"/>
      <w:bookmarkStart w:id="3" w:name="_Toc15377425"/>
      <w:bookmarkStart w:id="4" w:name="_Toc15396597"/>
      <w:bookmarkStart w:id="5" w:name="_Toc15378441"/>
      <w:bookmarkStart w:id="6" w:name="_Toc15377193"/>
      <w:bookmarkStart w:id="7" w:name="_Toc7810"/>
      <w:r>
        <w:rPr>
          <w:rFonts w:hint="eastAsia" w:ascii="方正小标宋简体" w:hAnsi="宋体" w:eastAsia="方正小标宋简体"/>
          <w:color w:val="000000"/>
          <w:sz w:val="52"/>
          <w:szCs w:val="52"/>
        </w:rPr>
        <w:t>2020年度</w:t>
      </w:r>
      <w:bookmarkEnd w:id="1"/>
      <w:bookmarkEnd w:id="2"/>
      <w:bookmarkEnd w:id="3"/>
      <w:bookmarkEnd w:id="4"/>
      <w:bookmarkEnd w:id="5"/>
      <w:bookmarkEnd w:id="6"/>
      <w:bookmarkEnd w:id="7"/>
    </w:p>
    <w:p>
      <w:pPr>
        <w:adjustRightInd w:val="0"/>
        <w:snapToGrid w:val="0"/>
        <w:spacing w:line="360" w:lineRule="auto"/>
        <w:jc w:val="center"/>
        <w:outlineLvl w:val="0"/>
        <w:rPr>
          <w:rFonts w:ascii="方正小标宋简体" w:hAnsi="宋体" w:eastAsia="方正小标宋简体"/>
          <w:color w:val="000000"/>
          <w:sz w:val="72"/>
          <w:szCs w:val="72"/>
        </w:rPr>
      </w:pPr>
      <w:bookmarkStart w:id="8" w:name="_Toc80874572"/>
      <w:bookmarkStart w:id="9" w:name="_Toc5010"/>
      <w:bookmarkStart w:id="10" w:name="_Toc15377426"/>
      <w:bookmarkStart w:id="11" w:name="_Toc15396598"/>
      <w:bookmarkStart w:id="12" w:name="_Toc15396476"/>
      <w:bookmarkStart w:id="13" w:name="_Toc15378442"/>
      <w:bookmarkStart w:id="14" w:name="_Toc15377194"/>
      <w:r>
        <w:rPr>
          <w:rFonts w:hint="eastAsia" w:ascii="方正小标宋简体" w:hAnsi="宋体" w:eastAsia="方正小标宋简体"/>
          <w:color w:val="000000"/>
          <w:sz w:val="52"/>
          <w:szCs w:val="52"/>
        </w:rPr>
        <w:t>四川省</w:t>
      </w:r>
      <w:bookmarkEnd w:id="0"/>
      <w:bookmarkStart w:id="15" w:name="_Toc15306268"/>
      <w:r>
        <w:rPr>
          <w:rFonts w:hint="eastAsia" w:ascii="方正小标宋简体" w:hAnsi="宋体" w:eastAsia="方正小标宋简体"/>
          <w:color w:val="000000"/>
          <w:sz w:val="52"/>
          <w:szCs w:val="52"/>
        </w:rPr>
        <w:t>国际经济贸易研究所</w:t>
      </w:r>
      <w:bookmarkEnd w:id="8"/>
      <w:bookmarkEnd w:id="9"/>
    </w:p>
    <w:p>
      <w:pPr>
        <w:adjustRightInd w:val="0"/>
        <w:snapToGrid w:val="0"/>
        <w:spacing w:line="360" w:lineRule="auto"/>
        <w:jc w:val="center"/>
        <w:outlineLvl w:val="0"/>
        <w:rPr>
          <w:rFonts w:ascii="方正小标宋简体" w:hAnsi="宋体" w:eastAsia="方正小标宋简体"/>
          <w:color w:val="000000"/>
          <w:sz w:val="52"/>
          <w:szCs w:val="52"/>
        </w:rPr>
      </w:pPr>
      <w:bookmarkStart w:id="16" w:name="_Toc80874573"/>
      <w:bookmarkStart w:id="17" w:name="_Toc8998"/>
      <w:r>
        <w:rPr>
          <w:rFonts w:hint="eastAsia" w:ascii="方正小标宋简体" w:hAnsi="宋体" w:eastAsia="方正小标宋简体"/>
          <w:color w:val="000000"/>
          <w:sz w:val="52"/>
          <w:szCs w:val="52"/>
          <w:lang w:eastAsia="zh-CN"/>
        </w:rPr>
        <w:t>单位</w:t>
      </w:r>
      <w:r>
        <w:rPr>
          <w:rFonts w:hint="eastAsia" w:ascii="方正小标宋简体" w:hAnsi="宋体" w:eastAsia="方正小标宋简体"/>
          <w:color w:val="000000"/>
          <w:sz w:val="52"/>
          <w:szCs w:val="52"/>
        </w:rPr>
        <w:t>决算</w:t>
      </w:r>
      <w:bookmarkEnd w:id="10"/>
      <w:bookmarkEnd w:id="11"/>
      <w:bookmarkEnd w:id="12"/>
      <w:bookmarkEnd w:id="13"/>
      <w:bookmarkEnd w:id="14"/>
      <w:bookmarkEnd w:id="15"/>
      <w:bookmarkEnd w:id="16"/>
      <w:bookmarkEnd w:id="17"/>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bookmarkStart w:id="106" w:name="_GoBack"/>
      <w:bookmarkEnd w:id="106"/>
    </w:p>
    <w:sdt>
      <w:sdtPr>
        <w:rPr>
          <w:rFonts w:ascii="Times New Roman" w:hAnsi="Times New Roman" w:eastAsia="宋体" w:cs="Times New Roman"/>
          <w:b w:val="0"/>
          <w:bCs w:val="0"/>
          <w:color w:val="auto"/>
          <w:kern w:val="2"/>
          <w:sz w:val="21"/>
          <w:szCs w:val="24"/>
          <w:lang w:val="zh-CN"/>
        </w:rPr>
        <w:id w:val="7356578"/>
        <w:docPartObj>
          <w:docPartGallery w:val="Table of Contents"/>
          <w:docPartUnique/>
        </w:docPartObj>
      </w:sdtPr>
      <w:sdtEndPr>
        <w:rPr>
          <w:rFonts w:hint="eastAsia" w:ascii="宋体" w:hAnsi="宋体" w:eastAsia="宋体" w:cs="宋体"/>
          <w:b w:val="0"/>
          <w:bCs w:val="0"/>
          <w:color w:val="auto"/>
          <w:kern w:val="2"/>
          <w:sz w:val="24"/>
          <w:szCs w:val="24"/>
          <w:lang w:val="en-US"/>
        </w:rPr>
      </w:sdtEndPr>
      <w:sdtContent>
        <w:p>
          <w:pPr>
            <w:pStyle w:val="31"/>
            <w:spacing w:before="0" w:line="240" w:lineRule="auto"/>
            <w:jc w:val="center"/>
          </w:pPr>
          <w:r>
            <w:rPr>
              <w:rFonts w:ascii="黑体" w:hAnsi="黑体" w:eastAsia="黑体"/>
              <w:b w:val="0"/>
              <w:color w:val="auto"/>
              <w:sz w:val="48"/>
              <w:szCs w:val="48"/>
              <w:lang w:val="zh-CN"/>
            </w:rPr>
            <w:t>目录</w:t>
          </w:r>
        </w:p>
        <w:p>
          <w:pPr>
            <w:pStyle w:val="10"/>
            <w:rPr>
              <w:rFonts w:hint="eastAsia"/>
            </w:rPr>
          </w:pPr>
        </w:p>
        <w:p>
          <w:pPr>
            <w:pStyle w:val="10"/>
          </w:pPr>
          <w:r>
            <w:rPr>
              <w:rFonts w:hint="eastAsia"/>
            </w:rPr>
            <w:t>公开时间：2021年9月10日</w:t>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TOC \o "1-3" \h \z \u </w:instrText>
          </w:r>
          <w:r>
            <w:rPr>
              <w:rFonts w:hint="eastAsia" w:ascii="宋体" w:hAnsi="宋体" w:eastAsia="宋体" w:cs="宋体"/>
              <w:sz w:val="24"/>
              <w:szCs w:val="24"/>
            </w:rPr>
            <w:fldChar w:fldCharType="separate"/>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_Toc25042 </w:instrText>
          </w:r>
          <w:r>
            <w:rPr>
              <w:rFonts w:hint="eastAsia" w:ascii="宋体" w:hAnsi="宋体" w:eastAsia="宋体" w:cs="宋体"/>
              <w:sz w:val="24"/>
              <w:szCs w:val="24"/>
            </w:rPr>
            <w:fldChar w:fldCharType="separate"/>
          </w:r>
          <w:r>
            <w:rPr>
              <w:rFonts w:hint="eastAsia" w:ascii="仿宋" w:hAnsi="仿宋" w:eastAsia="仿宋" w:cs="仿宋"/>
              <w:sz w:val="24"/>
              <w:szCs w:val="24"/>
            </w:rPr>
            <w:t>第一部分 单位概况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_Toc25042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_Toc28805 </w:instrText>
          </w:r>
          <w:r>
            <w:rPr>
              <w:rFonts w:hint="eastAsia" w:ascii="宋体" w:hAnsi="宋体" w:eastAsia="宋体" w:cs="宋体"/>
              <w:sz w:val="24"/>
              <w:szCs w:val="24"/>
            </w:rPr>
            <w:fldChar w:fldCharType="separate"/>
          </w:r>
          <w:r>
            <w:rPr>
              <w:rFonts w:hint="eastAsia" w:ascii="宋体" w:hAnsi="宋体" w:eastAsia="宋体" w:cs="宋体"/>
              <w:sz w:val="24"/>
              <w:szCs w:val="24"/>
            </w:rPr>
            <w:t>一、职能简介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_Toc28805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_Toc27508 </w:instrText>
          </w:r>
          <w:r>
            <w:rPr>
              <w:rFonts w:hint="eastAsia" w:ascii="宋体" w:hAnsi="宋体" w:eastAsia="宋体" w:cs="宋体"/>
              <w:sz w:val="24"/>
              <w:szCs w:val="24"/>
            </w:rPr>
            <w:fldChar w:fldCharType="separate"/>
          </w:r>
          <w:r>
            <w:rPr>
              <w:rFonts w:hint="eastAsia" w:ascii="宋体" w:hAnsi="宋体" w:eastAsia="宋体" w:cs="宋体"/>
              <w:sz w:val="24"/>
              <w:szCs w:val="24"/>
            </w:rPr>
            <w:t>二、2020年重点工作完成情况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_Toc27508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_Toc12288 </w:instrText>
          </w:r>
          <w:r>
            <w:rPr>
              <w:rFonts w:hint="eastAsia" w:ascii="宋体" w:hAnsi="宋体" w:eastAsia="宋体" w:cs="宋体"/>
              <w:sz w:val="24"/>
              <w:szCs w:val="24"/>
            </w:rPr>
            <w:fldChar w:fldCharType="separate"/>
          </w:r>
          <w:r>
            <w:rPr>
              <w:rFonts w:hint="eastAsia" w:ascii="宋体" w:hAnsi="宋体" w:eastAsia="宋体" w:cs="宋体"/>
              <w:sz w:val="24"/>
              <w:szCs w:val="24"/>
              <w:lang w:eastAsia="zh-CN"/>
            </w:rPr>
            <w:t>三</w:t>
          </w:r>
          <w:r>
            <w:rPr>
              <w:rFonts w:hint="eastAsia" w:ascii="宋体" w:hAnsi="宋体" w:eastAsia="宋体" w:cs="宋体"/>
              <w:sz w:val="24"/>
              <w:szCs w:val="24"/>
            </w:rPr>
            <w:t>、</w:t>
          </w:r>
          <w:r>
            <w:rPr>
              <w:rFonts w:hint="eastAsia" w:ascii="宋体" w:hAnsi="宋体" w:eastAsia="宋体" w:cs="宋体"/>
              <w:sz w:val="24"/>
              <w:szCs w:val="24"/>
              <w:lang w:eastAsia="zh-CN"/>
            </w:rPr>
            <w:t>机构设置情况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_Toc12288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_Toc770 </w:instrText>
          </w:r>
          <w:r>
            <w:rPr>
              <w:rFonts w:hint="eastAsia" w:ascii="宋体" w:hAnsi="宋体" w:eastAsia="宋体" w:cs="宋体"/>
              <w:sz w:val="24"/>
              <w:szCs w:val="24"/>
            </w:rPr>
            <w:fldChar w:fldCharType="separate"/>
          </w:r>
          <w:r>
            <w:rPr>
              <w:rFonts w:hint="eastAsia" w:ascii="仿宋" w:hAnsi="仿宋" w:eastAsia="仿宋" w:cs="仿宋"/>
              <w:sz w:val="24"/>
              <w:szCs w:val="24"/>
            </w:rPr>
            <w:t>第二部分 2020年度</w:t>
          </w:r>
          <w:r>
            <w:rPr>
              <w:rFonts w:hint="eastAsia" w:ascii="仿宋" w:hAnsi="仿宋" w:eastAsia="仿宋" w:cs="仿宋"/>
              <w:sz w:val="24"/>
              <w:szCs w:val="24"/>
              <w:lang w:eastAsia="zh-CN"/>
            </w:rPr>
            <w:t>单位</w:t>
          </w:r>
          <w:r>
            <w:rPr>
              <w:rFonts w:hint="eastAsia" w:ascii="仿宋" w:hAnsi="仿宋" w:eastAsia="仿宋" w:cs="仿宋"/>
              <w:sz w:val="24"/>
              <w:szCs w:val="24"/>
            </w:rPr>
            <w:t>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_Toc770 \h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_Toc9719 </w:instrText>
          </w:r>
          <w:r>
            <w:rPr>
              <w:rFonts w:hint="eastAsia" w:ascii="宋体" w:hAnsi="宋体" w:eastAsia="宋体" w:cs="宋体"/>
              <w:sz w:val="24"/>
              <w:szCs w:val="24"/>
            </w:rPr>
            <w:fldChar w:fldCharType="separate"/>
          </w:r>
          <w:r>
            <w:rPr>
              <w:rFonts w:hint="eastAsia" w:ascii="宋体" w:hAnsi="宋体" w:eastAsia="宋体" w:cs="宋体"/>
              <w:sz w:val="24"/>
              <w:szCs w:val="24"/>
            </w:rPr>
            <w:t>一、收入支出决算总体情况说明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_Toc9719 \h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_Toc12117 </w:instrText>
          </w:r>
          <w:r>
            <w:rPr>
              <w:rFonts w:hint="eastAsia" w:ascii="宋体" w:hAnsi="宋体" w:eastAsia="宋体" w:cs="宋体"/>
              <w:sz w:val="24"/>
              <w:szCs w:val="24"/>
            </w:rPr>
            <w:fldChar w:fldCharType="separate"/>
          </w:r>
          <w:r>
            <w:rPr>
              <w:rFonts w:hint="eastAsia" w:ascii="宋体" w:hAnsi="宋体" w:eastAsia="宋体" w:cs="宋体"/>
              <w:sz w:val="24"/>
              <w:szCs w:val="24"/>
            </w:rPr>
            <w:t>二、收入决算情况说明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_Toc12117 \h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_Toc10741 </w:instrText>
          </w:r>
          <w:r>
            <w:rPr>
              <w:rFonts w:hint="eastAsia" w:ascii="宋体" w:hAnsi="宋体" w:eastAsia="宋体" w:cs="宋体"/>
              <w:sz w:val="24"/>
              <w:szCs w:val="24"/>
            </w:rPr>
            <w:fldChar w:fldCharType="separate"/>
          </w:r>
          <w:r>
            <w:rPr>
              <w:rFonts w:hint="eastAsia" w:ascii="宋体" w:hAnsi="宋体" w:eastAsia="宋体" w:cs="宋体"/>
              <w:sz w:val="24"/>
              <w:szCs w:val="24"/>
            </w:rPr>
            <w:t>三、支出决算情况说明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_Toc10741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_Toc28056 </w:instrText>
          </w:r>
          <w:r>
            <w:rPr>
              <w:rFonts w:hint="eastAsia" w:ascii="宋体" w:hAnsi="宋体" w:eastAsia="宋体" w:cs="宋体"/>
              <w:sz w:val="24"/>
              <w:szCs w:val="24"/>
            </w:rPr>
            <w:fldChar w:fldCharType="separate"/>
          </w:r>
          <w:r>
            <w:rPr>
              <w:rFonts w:hint="eastAsia" w:ascii="宋体" w:hAnsi="宋体" w:eastAsia="宋体" w:cs="宋体"/>
              <w:sz w:val="24"/>
              <w:szCs w:val="24"/>
            </w:rPr>
            <w:t>四、财政拨款收入支出决算总体情况说明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_Toc28056 \h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_Toc24859 </w:instrText>
          </w:r>
          <w:r>
            <w:rPr>
              <w:rFonts w:hint="eastAsia" w:ascii="宋体" w:hAnsi="宋体" w:eastAsia="宋体" w:cs="宋体"/>
              <w:sz w:val="24"/>
              <w:szCs w:val="24"/>
            </w:rPr>
            <w:fldChar w:fldCharType="separate"/>
          </w:r>
          <w:r>
            <w:rPr>
              <w:rFonts w:hint="eastAsia" w:ascii="宋体" w:hAnsi="宋体" w:eastAsia="宋体" w:cs="宋体"/>
              <w:sz w:val="24"/>
              <w:szCs w:val="24"/>
            </w:rPr>
            <w:t>五、一般公共预算财政拨款支出决算情况说明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_Toc24859 \h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_Toc126 </w:instrText>
          </w:r>
          <w:r>
            <w:rPr>
              <w:rFonts w:hint="eastAsia" w:ascii="宋体" w:hAnsi="宋体" w:eastAsia="宋体" w:cs="宋体"/>
              <w:sz w:val="24"/>
              <w:szCs w:val="24"/>
            </w:rPr>
            <w:fldChar w:fldCharType="separate"/>
          </w:r>
          <w:r>
            <w:rPr>
              <w:rFonts w:hint="eastAsia" w:ascii="宋体" w:hAnsi="宋体" w:eastAsia="宋体" w:cs="宋体"/>
              <w:sz w:val="24"/>
              <w:szCs w:val="24"/>
            </w:rPr>
            <w:t>六、一般公共预算财政拨款基本支出决算情况说明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_Toc126 \h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_Toc21758 </w:instrText>
          </w:r>
          <w:r>
            <w:rPr>
              <w:rFonts w:hint="eastAsia" w:ascii="宋体" w:hAnsi="宋体" w:eastAsia="宋体" w:cs="宋体"/>
              <w:sz w:val="24"/>
              <w:szCs w:val="24"/>
            </w:rPr>
            <w:fldChar w:fldCharType="separate"/>
          </w:r>
          <w:r>
            <w:rPr>
              <w:rFonts w:hint="eastAsia" w:ascii="宋体" w:hAnsi="宋体" w:eastAsia="宋体" w:cs="宋体"/>
              <w:sz w:val="24"/>
              <w:szCs w:val="24"/>
            </w:rPr>
            <w:t>七、“三公”经费财政拨款支出决算情况说明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_Toc21758 \h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_Toc7735 </w:instrText>
          </w:r>
          <w:r>
            <w:rPr>
              <w:rFonts w:hint="eastAsia" w:ascii="宋体" w:hAnsi="宋体" w:eastAsia="宋体" w:cs="宋体"/>
              <w:sz w:val="24"/>
              <w:szCs w:val="24"/>
            </w:rPr>
            <w:fldChar w:fldCharType="separate"/>
          </w:r>
          <w:r>
            <w:rPr>
              <w:rFonts w:hint="eastAsia" w:ascii="宋体" w:hAnsi="宋体" w:eastAsia="宋体" w:cs="宋体"/>
              <w:sz w:val="24"/>
              <w:szCs w:val="24"/>
            </w:rPr>
            <w:t>八、政府性基金预算支出决算情况说明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_Toc7735 \h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_Toc4689 </w:instrText>
          </w:r>
          <w:r>
            <w:rPr>
              <w:rFonts w:hint="eastAsia" w:ascii="宋体" w:hAnsi="宋体" w:eastAsia="宋体" w:cs="宋体"/>
              <w:sz w:val="24"/>
              <w:szCs w:val="24"/>
            </w:rPr>
            <w:fldChar w:fldCharType="separate"/>
          </w:r>
          <w:r>
            <w:rPr>
              <w:rFonts w:hint="eastAsia" w:ascii="宋体" w:hAnsi="宋体" w:eastAsia="宋体" w:cs="宋体"/>
              <w:sz w:val="24"/>
              <w:szCs w:val="24"/>
            </w:rPr>
            <w:t>九、国有资本经营预算支出决算情况说明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_Toc4689 \h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_Toc6878 </w:instrText>
          </w:r>
          <w:r>
            <w:rPr>
              <w:rFonts w:hint="eastAsia" w:ascii="宋体" w:hAnsi="宋体" w:eastAsia="宋体" w:cs="宋体"/>
              <w:sz w:val="24"/>
              <w:szCs w:val="24"/>
            </w:rPr>
            <w:fldChar w:fldCharType="separate"/>
          </w:r>
          <w:r>
            <w:rPr>
              <w:rFonts w:hint="eastAsia" w:ascii="宋体" w:hAnsi="宋体" w:eastAsia="宋体" w:cs="宋体"/>
              <w:sz w:val="24"/>
              <w:szCs w:val="24"/>
            </w:rPr>
            <w:t>十、其他重要事项的情况说明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_Toc6878 \h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_Toc5658 </w:instrText>
          </w:r>
          <w:r>
            <w:rPr>
              <w:rFonts w:hint="eastAsia" w:ascii="宋体" w:hAnsi="宋体" w:eastAsia="宋体" w:cs="宋体"/>
              <w:sz w:val="24"/>
              <w:szCs w:val="24"/>
            </w:rPr>
            <w:fldChar w:fldCharType="separate"/>
          </w:r>
          <w:r>
            <w:rPr>
              <w:rFonts w:hint="eastAsia" w:ascii="仿宋" w:hAnsi="仿宋" w:eastAsia="仿宋" w:cs="仿宋"/>
              <w:sz w:val="24"/>
              <w:szCs w:val="24"/>
            </w:rPr>
            <w:t>第三部分 名词解释</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_Toc5658 \h </w:instrText>
          </w:r>
          <w:r>
            <w:rPr>
              <w:rFonts w:hint="eastAsia" w:ascii="宋体" w:hAnsi="宋体" w:eastAsia="宋体" w:cs="宋体"/>
              <w:sz w:val="24"/>
              <w:szCs w:val="24"/>
            </w:rPr>
            <w:fldChar w:fldCharType="separate"/>
          </w:r>
          <w:r>
            <w:rPr>
              <w:rFonts w:hint="eastAsia" w:ascii="宋体" w:hAnsi="宋体" w:eastAsia="宋体" w:cs="宋体"/>
              <w:sz w:val="24"/>
              <w:szCs w:val="24"/>
            </w:rPr>
            <w:t>22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_Toc23409 </w:instrText>
          </w:r>
          <w:r>
            <w:rPr>
              <w:rFonts w:hint="eastAsia" w:ascii="宋体" w:hAnsi="宋体" w:eastAsia="宋体" w:cs="宋体"/>
              <w:sz w:val="24"/>
              <w:szCs w:val="24"/>
            </w:rPr>
            <w:fldChar w:fldCharType="separate"/>
          </w:r>
          <w:r>
            <w:rPr>
              <w:rFonts w:hint="eastAsia" w:ascii="仿宋" w:hAnsi="仿宋" w:eastAsia="仿宋" w:cs="仿宋"/>
              <w:sz w:val="24"/>
              <w:szCs w:val="24"/>
            </w:rPr>
            <w:t>第四部分 附件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_Toc23409 \h </w:instrText>
          </w:r>
          <w:r>
            <w:rPr>
              <w:rFonts w:hint="eastAsia" w:ascii="宋体" w:hAnsi="宋体" w:eastAsia="宋体" w:cs="宋体"/>
              <w:sz w:val="24"/>
              <w:szCs w:val="24"/>
            </w:rPr>
            <w:fldChar w:fldCharType="separate"/>
          </w:r>
          <w:r>
            <w:rPr>
              <w:rFonts w:hint="eastAsia" w:ascii="宋体" w:hAnsi="宋体" w:eastAsia="宋体" w:cs="宋体"/>
              <w:sz w:val="24"/>
              <w:szCs w:val="24"/>
            </w:rPr>
            <w:t>25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_Toc17722 </w:instrText>
          </w:r>
          <w:r>
            <w:rPr>
              <w:rFonts w:hint="eastAsia" w:ascii="宋体" w:hAnsi="宋体" w:eastAsia="宋体" w:cs="宋体"/>
              <w:sz w:val="24"/>
              <w:szCs w:val="24"/>
            </w:rPr>
            <w:fldChar w:fldCharType="separate"/>
          </w:r>
          <w:r>
            <w:rPr>
              <w:rFonts w:hint="eastAsia" w:ascii="仿宋" w:hAnsi="仿宋" w:eastAsia="仿宋" w:cs="仿宋"/>
              <w:sz w:val="24"/>
              <w:szCs w:val="24"/>
            </w:rPr>
            <w:t>第五部分 附表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_Toc17722 \h </w:instrText>
          </w:r>
          <w:r>
            <w:rPr>
              <w:rFonts w:hint="eastAsia" w:ascii="宋体" w:hAnsi="宋体" w:eastAsia="宋体" w:cs="宋体"/>
              <w:sz w:val="24"/>
              <w:szCs w:val="24"/>
            </w:rPr>
            <w:fldChar w:fldCharType="separate"/>
          </w:r>
          <w:r>
            <w:rPr>
              <w:rFonts w:hint="eastAsia" w:ascii="宋体" w:hAnsi="宋体" w:eastAsia="宋体" w:cs="宋体"/>
              <w:sz w:val="24"/>
              <w:szCs w:val="24"/>
            </w:rPr>
            <w:t>35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_Toc32161 </w:instrText>
          </w:r>
          <w:r>
            <w:rPr>
              <w:rFonts w:hint="eastAsia" w:ascii="宋体" w:hAnsi="宋体" w:eastAsia="宋体" w:cs="宋体"/>
              <w:sz w:val="24"/>
              <w:szCs w:val="24"/>
            </w:rPr>
            <w:fldChar w:fldCharType="separate"/>
          </w:r>
          <w:r>
            <w:rPr>
              <w:rFonts w:hint="eastAsia" w:ascii="宋体" w:hAnsi="宋体" w:eastAsia="宋体" w:cs="宋体"/>
              <w:bCs w:val="0"/>
              <w:kern w:val="2"/>
              <w:sz w:val="24"/>
              <w:szCs w:val="24"/>
              <w:lang w:val="zh-CN" w:eastAsia="zh-CN" w:bidi="ar-SA"/>
            </w:rPr>
            <w:t>一、收入支出决算总表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_Toc32161 \h </w:instrText>
          </w:r>
          <w:r>
            <w:rPr>
              <w:rFonts w:hint="eastAsia" w:ascii="宋体" w:hAnsi="宋体" w:eastAsia="宋体" w:cs="宋体"/>
              <w:sz w:val="24"/>
              <w:szCs w:val="24"/>
            </w:rPr>
            <w:fldChar w:fldCharType="separate"/>
          </w:r>
          <w:r>
            <w:rPr>
              <w:rFonts w:hint="eastAsia" w:ascii="宋体" w:hAnsi="宋体" w:eastAsia="宋体" w:cs="宋体"/>
              <w:sz w:val="24"/>
              <w:szCs w:val="24"/>
            </w:rPr>
            <w:t>35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_Toc18837 </w:instrText>
          </w:r>
          <w:r>
            <w:rPr>
              <w:rFonts w:hint="eastAsia" w:ascii="宋体" w:hAnsi="宋体" w:eastAsia="宋体" w:cs="宋体"/>
              <w:sz w:val="24"/>
              <w:szCs w:val="24"/>
            </w:rPr>
            <w:fldChar w:fldCharType="separate"/>
          </w:r>
          <w:r>
            <w:rPr>
              <w:rFonts w:hint="eastAsia" w:ascii="宋体" w:hAnsi="宋体" w:eastAsia="宋体" w:cs="宋体"/>
              <w:bCs w:val="0"/>
              <w:kern w:val="2"/>
              <w:sz w:val="24"/>
              <w:szCs w:val="24"/>
              <w:lang w:val="zh-CN" w:eastAsia="zh-CN" w:bidi="ar-SA"/>
            </w:rPr>
            <w:t>二、收入决算表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_Toc18837 \h </w:instrText>
          </w:r>
          <w:r>
            <w:rPr>
              <w:rFonts w:hint="eastAsia" w:ascii="宋体" w:hAnsi="宋体" w:eastAsia="宋体" w:cs="宋体"/>
              <w:sz w:val="24"/>
              <w:szCs w:val="24"/>
            </w:rPr>
            <w:fldChar w:fldCharType="separate"/>
          </w:r>
          <w:r>
            <w:rPr>
              <w:rFonts w:hint="eastAsia" w:ascii="宋体" w:hAnsi="宋体" w:eastAsia="宋体" w:cs="宋体"/>
              <w:sz w:val="24"/>
              <w:szCs w:val="24"/>
            </w:rPr>
            <w:t>35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_Toc17138 </w:instrText>
          </w:r>
          <w:r>
            <w:rPr>
              <w:rFonts w:hint="eastAsia" w:ascii="宋体" w:hAnsi="宋体" w:eastAsia="宋体" w:cs="宋体"/>
              <w:sz w:val="24"/>
              <w:szCs w:val="24"/>
            </w:rPr>
            <w:fldChar w:fldCharType="separate"/>
          </w:r>
          <w:r>
            <w:rPr>
              <w:rFonts w:hint="eastAsia" w:ascii="宋体" w:hAnsi="宋体" w:eastAsia="宋体" w:cs="宋体"/>
              <w:bCs w:val="0"/>
              <w:kern w:val="2"/>
              <w:sz w:val="24"/>
              <w:szCs w:val="24"/>
              <w:lang w:val="zh-CN" w:eastAsia="zh-CN" w:bidi="ar-SA"/>
            </w:rPr>
            <w:t>三、支出决算表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_Toc17138 \h </w:instrText>
          </w:r>
          <w:r>
            <w:rPr>
              <w:rFonts w:hint="eastAsia" w:ascii="宋体" w:hAnsi="宋体" w:eastAsia="宋体" w:cs="宋体"/>
              <w:sz w:val="24"/>
              <w:szCs w:val="24"/>
            </w:rPr>
            <w:fldChar w:fldCharType="separate"/>
          </w:r>
          <w:r>
            <w:rPr>
              <w:rFonts w:hint="eastAsia" w:ascii="宋体" w:hAnsi="宋体" w:eastAsia="宋体" w:cs="宋体"/>
              <w:sz w:val="24"/>
              <w:szCs w:val="24"/>
            </w:rPr>
            <w:t>35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_Toc18717 </w:instrText>
          </w:r>
          <w:r>
            <w:rPr>
              <w:rFonts w:hint="eastAsia" w:ascii="宋体" w:hAnsi="宋体" w:eastAsia="宋体" w:cs="宋体"/>
              <w:sz w:val="24"/>
              <w:szCs w:val="24"/>
            </w:rPr>
            <w:fldChar w:fldCharType="separate"/>
          </w:r>
          <w:r>
            <w:rPr>
              <w:rFonts w:hint="eastAsia" w:ascii="宋体" w:hAnsi="宋体" w:eastAsia="宋体" w:cs="宋体"/>
              <w:bCs w:val="0"/>
              <w:kern w:val="2"/>
              <w:sz w:val="24"/>
              <w:szCs w:val="24"/>
              <w:lang w:val="zh-CN" w:eastAsia="zh-CN" w:bidi="ar-SA"/>
            </w:rPr>
            <w:t>四、财政拨款收入支出决算总表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_Toc18717 \h </w:instrText>
          </w:r>
          <w:r>
            <w:rPr>
              <w:rFonts w:hint="eastAsia" w:ascii="宋体" w:hAnsi="宋体" w:eastAsia="宋体" w:cs="宋体"/>
              <w:sz w:val="24"/>
              <w:szCs w:val="24"/>
            </w:rPr>
            <w:fldChar w:fldCharType="separate"/>
          </w:r>
          <w:r>
            <w:rPr>
              <w:rFonts w:hint="eastAsia" w:ascii="宋体" w:hAnsi="宋体" w:eastAsia="宋体" w:cs="宋体"/>
              <w:sz w:val="24"/>
              <w:szCs w:val="24"/>
            </w:rPr>
            <w:t>35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_Toc516 </w:instrText>
          </w:r>
          <w:r>
            <w:rPr>
              <w:rFonts w:hint="eastAsia" w:ascii="宋体" w:hAnsi="宋体" w:eastAsia="宋体" w:cs="宋体"/>
              <w:sz w:val="24"/>
              <w:szCs w:val="24"/>
            </w:rPr>
            <w:fldChar w:fldCharType="separate"/>
          </w:r>
          <w:r>
            <w:rPr>
              <w:rFonts w:hint="eastAsia" w:ascii="宋体" w:hAnsi="宋体" w:eastAsia="宋体" w:cs="宋体"/>
              <w:bCs w:val="0"/>
              <w:kern w:val="2"/>
              <w:sz w:val="24"/>
              <w:szCs w:val="24"/>
              <w:lang w:val="zh-CN" w:eastAsia="zh-CN" w:bidi="ar-SA"/>
            </w:rPr>
            <w:t>五、财政拨款支出决算明细表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_Toc516 \h </w:instrText>
          </w:r>
          <w:r>
            <w:rPr>
              <w:rFonts w:hint="eastAsia" w:ascii="宋体" w:hAnsi="宋体" w:eastAsia="宋体" w:cs="宋体"/>
              <w:sz w:val="24"/>
              <w:szCs w:val="24"/>
            </w:rPr>
            <w:fldChar w:fldCharType="separate"/>
          </w:r>
          <w:r>
            <w:rPr>
              <w:rFonts w:hint="eastAsia" w:ascii="宋体" w:hAnsi="宋体" w:eastAsia="宋体" w:cs="宋体"/>
              <w:sz w:val="24"/>
              <w:szCs w:val="24"/>
            </w:rPr>
            <w:t>35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_Toc20106 </w:instrText>
          </w:r>
          <w:r>
            <w:rPr>
              <w:rFonts w:hint="eastAsia" w:ascii="宋体" w:hAnsi="宋体" w:eastAsia="宋体" w:cs="宋体"/>
              <w:sz w:val="24"/>
              <w:szCs w:val="24"/>
            </w:rPr>
            <w:fldChar w:fldCharType="separate"/>
          </w:r>
          <w:r>
            <w:rPr>
              <w:rFonts w:hint="eastAsia" w:ascii="宋体" w:hAnsi="宋体" w:eastAsia="宋体" w:cs="宋体"/>
              <w:bCs w:val="0"/>
              <w:kern w:val="2"/>
              <w:sz w:val="24"/>
              <w:szCs w:val="24"/>
              <w:lang w:val="zh-CN" w:eastAsia="zh-CN" w:bidi="ar-SA"/>
            </w:rPr>
            <w:t>六、一般公共预算财政拨款支出决算表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_Toc20106 \h </w:instrText>
          </w:r>
          <w:r>
            <w:rPr>
              <w:rFonts w:hint="eastAsia" w:ascii="宋体" w:hAnsi="宋体" w:eastAsia="宋体" w:cs="宋体"/>
              <w:sz w:val="24"/>
              <w:szCs w:val="24"/>
            </w:rPr>
            <w:fldChar w:fldCharType="separate"/>
          </w:r>
          <w:r>
            <w:rPr>
              <w:rFonts w:hint="eastAsia" w:ascii="宋体" w:hAnsi="宋体" w:eastAsia="宋体" w:cs="宋体"/>
              <w:sz w:val="24"/>
              <w:szCs w:val="24"/>
            </w:rPr>
            <w:t>35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_Toc14075 </w:instrText>
          </w:r>
          <w:r>
            <w:rPr>
              <w:rFonts w:hint="eastAsia" w:ascii="宋体" w:hAnsi="宋体" w:eastAsia="宋体" w:cs="宋体"/>
              <w:sz w:val="24"/>
              <w:szCs w:val="24"/>
            </w:rPr>
            <w:fldChar w:fldCharType="separate"/>
          </w:r>
          <w:r>
            <w:rPr>
              <w:rFonts w:hint="eastAsia" w:ascii="宋体" w:hAnsi="宋体" w:eastAsia="宋体" w:cs="宋体"/>
              <w:bCs w:val="0"/>
              <w:kern w:val="2"/>
              <w:sz w:val="24"/>
              <w:szCs w:val="24"/>
              <w:lang w:val="zh-CN" w:eastAsia="zh-CN" w:bidi="ar-SA"/>
            </w:rPr>
            <w:t>七、一般公共预算财政拨款支出决算明细表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_Toc14075 \h </w:instrText>
          </w:r>
          <w:r>
            <w:rPr>
              <w:rFonts w:hint="eastAsia" w:ascii="宋体" w:hAnsi="宋体" w:eastAsia="宋体" w:cs="宋体"/>
              <w:sz w:val="24"/>
              <w:szCs w:val="24"/>
            </w:rPr>
            <w:fldChar w:fldCharType="separate"/>
          </w:r>
          <w:r>
            <w:rPr>
              <w:rFonts w:hint="eastAsia" w:ascii="宋体" w:hAnsi="宋体" w:eastAsia="宋体" w:cs="宋体"/>
              <w:sz w:val="24"/>
              <w:szCs w:val="24"/>
            </w:rPr>
            <w:t>35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_Toc14474 </w:instrText>
          </w:r>
          <w:r>
            <w:rPr>
              <w:rFonts w:hint="eastAsia" w:ascii="宋体" w:hAnsi="宋体" w:eastAsia="宋体" w:cs="宋体"/>
              <w:sz w:val="24"/>
              <w:szCs w:val="24"/>
            </w:rPr>
            <w:fldChar w:fldCharType="separate"/>
          </w:r>
          <w:r>
            <w:rPr>
              <w:rFonts w:hint="eastAsia" w:ascii="宋体" w:hAnsi="宋体" w:eastAsia="宋体" w:cs="宋体"/>
              <w:bCs w:val="0"/>
              <w:kern w:val="2"/>
              <w:sz w:val="24"/>
              <w:szCs w:val="24"/>
              <w:lang w:val="zh-CN" w:eastAsia="zh-CN" w:bidi="ar-SA"/>
            </w:rPr>
            <w:t>八、一般公共预算财政拨款基本支出决算表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_Toc14474 \h </w:instrText>
          </w:r>
          <w:r>
            <w:rPr>
              <w:rFonts w:hint="eastAsia" w:ascii="宋体" w:hAnsi="宋体" w:eastAsia="宋体" w:cs="宋体"/>
              <w:sz w:val="24"/>
              <w:szCs w:val="24"/>
            </w:rPr>
            <w:fldChar w:fldCharType="separate"/>
          </w:r>
          <w:r>
            <w:rPr>
              <w:rFonts w:hint="eastAsia" w:ascii="宋体" w:hAnsi="宋体" w:eastAsia="宋体" w:cs="宋体"/>
              <w:sz w:val="24"/>
              <w:szCs w:val="24"/>
            </w:rPr>
            <w:t>35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_Toc21607 </w:instrText>
          </w:r>
          <w:r>
            <w:rPr>
              <w:rFonts w:hint="eastAsia" w:ascii="宋体" w:hAnsi="宋体" w:eastAsia="宋体" w:cs="宋体"/>
              <w:sz w:val="24"/>
              <w:szCs w:val="24"/>
            </w:rPr>
            <w:fldChar w:fldCharType="separate"/>
          </w:r>
          <w:r>
            <w:rPr>
              <w:rFonts w:hint="eastAsia" w:ascii="宋体" w:hAnsi="宋体" w:eastAsia="宋体" w:cs="宋体"/>
              <w:bCs w:val="0"/>
              <w:kern w:val="2"/>
              <w:sz w:val="24"/>
              <w:szCs w:val="24"/>
              <w:lang w:val="zh-CN" w:eastAsia="zh-CN" w:bidi="ar-SA"/>
            </w:rPr>
            <w:t>九、一般公共预算财政拨款项目支出决算表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_Toc21607 \h </w:instrText>
          </w:r>
          <w:r>
            <w:rPr>
              <w:rFonts w:hint="eastAsia" w:ascii="宋体" w:hAnsi="宋体" w:eastAsia="宋体" w:cs="宋体"/>
              <w:sz w:val="24"/>
              <w:szCs w:val="24"/>
            </w:rPr>
            <w:fldChar w:fldCharType="separate"/>
          </w:r>
          <w:r>
            <w:rPr>
              <w:rFonts w:hint="eastAsia" w:ascii="宋体" w:hAnsi="宋体" w:eastAsia="宋体" w:cs="宋体"/>
              <w:sz w:val="24"/>
              <w:szCs w:val="24"/>
            </w:rPr>
            <w:t>35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_Toc27559 </w:instrText>
          </w:r>
          <w:r>
            <w:rPr>
              <w:rFonts w:hint="eastAsia" w:ascii="宋体" w:hAnsi="宋体" w:eastAsia="宋体" w:cs="宋体"/>
              <w:sz w:val="24"/>
              <w:szCs w:val="24"/>
            </w:rPr>
            <w:fldChar w:fldCharType="separate"/>
          </w:r>
          <w:r>
            <w:rPr>
              <w:rFonts w:hint="eastAsia" w:ascii="宋体" w:hAnsi="宋体" w:eastAsia="宋体" w:cs="宋体"/>
              <w:bCs w:val="0"/>
              <w:kern w:val="2"/>
              <w:sz w:val="24"/>
              <w:szCs w:val="24"/>
              <w:lang w:val="zh-CN" w:eastAsia="zh-CN" w:bidi="ar-SA"/>
            </w:rPr>
            <w:t>十、一般公共预算财政拨款“三公”经费支出决算表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_Toc27559 \h </w:instrText>
          </w:r>
          <w:r>
            <w:rPr>
              <w:rFonts w:hint="eastAsia" w:ascii="宋体" w:hAnsi="宋体" w:eastAsia="宋体" w:cs="宋体"/>
              <w:sz w:val="24"/>
              <w:szCs w:val="24"/>
            </w:rPr>
            <w:fldChar w:fldCharType="separate"/>
          </w:r>
          <w:r>
            <w:rPr>
              <w:rFonts w:hint="eastAsia" w:ascii="宋体" w:hAnsi="宋体" w:eastAsia="宋体" w:cs="宋体"/>
              <w:sz w:val="24"/>
              <w:szCs w:val="24"/>
            </w:rPr>
            <w:t>35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_Toc16403 </w:instrText>
          </w:r>
          <w:r>
            <w:rPr>
              <w:rFonts w:hint="eastAsia" w:ascii="宋体" w:hAnsi="宋体" w:eastAsia="宋体" w:cs="宋体"/>
              <w:sz w:val="24"/>
              <w:szCs w:val="24"/>
            </w:rPr>
            <w:fldChar w:fldCharType="separate"/>
          </w:r>
          <w:r>
            <w:rPr>
              <w:rFonts w:hint="eastAsia" w:ascii="宋体" w:hAnsi="宋体" w:eastAsia="宋体" w:cs="宋体"/>
              <w:bCs w:val="0"/>
              <w:kern w:val="2"/>
              <w:sz w:val="24"/>
              <w:szCs w:val="24"/>
              <w:lang w:val="zh-CN" w:eastAsia="zh-CN" w:bidi="ar-SA"/>
            </w:rPr>
            <w:t>十一、政府性基金预算财政拨款收入支出决算表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_Toc16403 \h </w:instrText>
          </w:r>
          <w:r>
            <w:rPr>
              <w:rFonts w:hint="eastAsia" w:ascii="宋体" w:hAnsi="宋体" w:eastAsia="宋体" w:cs="宋体"/>
              <w:sz w:val="24"/>
              <w:szCs w:val="24"/>
            </w:rPr>
            <w:fldChar w:fldCharType="separate"/>
          </w:r>
          <w:r>
            <w:rPr>
              <w:rFonts w:hint="eastAsia" w:ascii="宋体" w:hAnsi="宋体" w:eastAsia="宋体" w:cs="宋体"/>
              <w:sz w:val="24"/>
              <w:szCs w:val="24"/>
            </w:rPr>
            <w:t>35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_Toc9277 </w:instrText>
          </w:r>
          <w:r>
            <w:rPr>
              <w:rFonts w:hint="eastAsia" w:ascii="宋体" w:hAnsi="宋体" w:eastAsia="宋体" w:cs="宋体"/>
              <w:sz w:val="24"/>
              <w:szCs w:val="24"/>
            </w:rPr>
            <w:fldChar w:fldCharType="separate"/>
          </w:r>
          <w:r>
            <w:rPr>
              <w:rFonts w:hint="eastAsia" w:ascii="宋体" w:hAnsi="宋体" w:eastAsia="宋体" w:cs="宋体"/>
              <w:bCs w:val="0"/>
              <w:kern w:val="2"/>
              <w:sz w:val="24"/>
              <w:szCs w:val="24"/>
              <w:lang w:val="zh-CN" w:eastAsia="zh-CN" w:bidi="ar-SA"/>
            </w:rPr>
            <w:t>十二、政府性基金预算财政拨款“三公”经费支出决算表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_Toc9277 \h </w:instrText>
          </w:r>
          <w:r>
            <w:rPr>
              <w:rFonts w:hint="eastAsia" w:ascii="宋体" w:hAnsi="宋体" w:eastAsia="宋体" w:cs="宋体"/>
              <w:sz w:val="24"/>
              <w:szCs w:val="24"/>
            </w:rPr>
            <w:fldChar w:fldCharType="separate"/>
          </w:r>
          <w:r>
            <w:rPr>
              <w:rFonts w:hint="eastAsia" w:ascii="宋体" w:hAnsi="宋体" w:eastAsia="宋体" w:cs="宋体"/>
              <w:sz w:val="24"/>
              <w:szCs w:val="24"/>
            </w:rPr>
            <w:t>35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_Toc931 </w:instrText>
          </w:r>
          <w:r>
            <w:rPr>
              <w:rFonts w:hint="eastAsia" w:ascii="宋体" w:hAnsi="宋体" w:eastAsia="宋体" w:cs="宋体"/>
              <w:sz w:val="24"/>
              <w:szCs w:val="24"/>
            </w:rPr>
            <w:fldChar w:fldCharType="separate"/>
          </w:r>
          <w:r>
            <w:rPr>
              <w:rFonts w:hint="eastAsia" w:ascii="宋体" w:hAnsi="宋体" w:eastAsia="宋体" w:cs="宋体"/>
              <w:bCs w:val="0"/>
              <w:kern w:val="2"/>
              <w:sz w:val="24"/>
              <w:szCs w:val="24"/>
              <w:lang w:val="zh-CN" w:eastAsia="zh-CN" w:bidi="ar-SA"/>
            </w:rPr>
            <w:t>十三、国有资本经营预算财政拨款收入支出决算表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_Toc931 \h </w:instrText>
          </w:r>
          <w:r>
            <w:rPr>
              <w:rFonts w:hint="eastAsia" w:ascii="宋体" w:hAnsi="宋体" w:eastAsia="宋体" w:cs="宋体"/>
              <w:sz w:val="24"/>
              <w:szCs w:val="24"/>
            </w:rPr>
            <w:fldChar w:fldCharType="separate"/>
          </w:r>
          <w:r>
            <w:rPr>
              <w:rFonts w:hint="eastAsia" w:ascii="宋体" w:hAnsi="宋体" w:eastAsia="宋体" w:cs="宋体"/>
              <w:sz w:val="24"/>
              <w:szCs w:val="24"/>
            </w:rPr>
            <w:t>35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_Toc28976 </w:instrText>
          </w:r>
          <w:r>
            <w:rPr>
              <w:rFonts w:hint="eastAsia" w:ascii="宋体" w:hAnsi="宋体" w:eastAsia="宋体" w:cs="宋体"/>
              <w:sz w:val="24"/>
              <w:szCs w:val="24"/>
            </w:rPr>
            <w:fldChar w:fldCharType="separate"/>
          </w:r>
          <w:r>
            <w:rPr>
              <w:rFonts w:hint="eastAsia" w:ascii="宋体" w:hAnsi="宋体" w:eastAsia="宋体" w:cs="宋体"/>
              <w:bCs w:val="0"/>
              <w:kern w:val="2"/>
              <w:sz w:val="24"/>
              <w:szCs w:val="24"/>
              <w:lang w:val="zh-CN" w:eastAsia="zh-CN" w:bidi="ar-SA"/>
            </w:rPr>
            <w:t>十四、国有资本经营预算财政拨款支出决算表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_Toc28976 \h </w:instrText>
          </w:r>
          <w:r>
            <w:rPr>
              <w:rFonts w:hint="eastAsia" w:ascii="宋体" w:hAnsi="宋体" w:eastAsia="宋体" w:cs="宋体"/>
              <w:sz w:val="24"/>
              <w:szCs w:val="24"/>
            </w:rPr>
            <w:fldChar w:fldCharType="separate"/>
          </w:r>
          <w:r>
            <w:rPr>
              <w:rFonts w:hint="eastAsia" w:ascii="宋体" w:hAnsi="宋体" w:eastAsia="宋体" w:cs="宋体"/>
              <w:sz w:val="24"/>
              <w:szCs w:val="24"/>
            </w:rPr>
            <w:t>35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end"/>
          </w:r>
        </w:p>
      </w:sdtContent>
    </w:sdt>
    <w:p>
      <w:pPr>
        <w:widowControl/>
        <w:spacing w:line="440" w:lineRule="exact"/>
        <w:jc w:val="left"/>
        <w:sectPr>
          <w:footerReference r:id="rId5" w:type="first"/>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bookmarkStart w:id="18" w:name="_Toc15396599"/>
      <w:bookmarkStart w:id="19" w:name="_Toc15377196"/>
      <w:r>
        <w:rPr>
          <w:rFonts w:ascii="仿宋" w:hAnsi="仿宋" w:eastAsia="仿宋"/>
          <w:b/>
          <w:sz w:val="24"/>
        </w:rPr>
        <w:br w:type="page"/>
      </w:r>
    </w:p>
    <w:p>
      <w:pPr>
        <w:pStyle w:val="3"/>
      </w:pPr>
      <w:bookmarkStart w:id="20" w:name="_Toc25042"/>
      <w:r>
        <w:rPr>
          <w:rFonts w:hint="eastAsia"/>
        </w:rPr>
        <w:t>第一部分 单位概况</w:t>
      </w:r>
      <w:bookmarkEnd w:id="18"/>
      <w:bookmarkEnd w:id="19"/>
      <w:bookmarkEnd w:id="20"/>
    </w:p>
    <w:p>
      <w:pPr>
        <w:pStyle w:val="4"/>
        <w:spacing w:before="0" w:after="0" w:line="600" w:lineRule="exact"/>
        <w:ind w:firstLine="640"/>
      </w:pPr>
      <w:bookmarkStart w:id="21" w:name="_Toc28805"/>
      <w:bookmarkStart w:id="22" w:name="_Toc15377197"/>
      <w:bookmarkStart w:id="23" w:name="_Toc15396600"/>
      <w:r>
        <w:rPr>
          <w:rFonts w:hint="eastAsia"/>
        </w:rPr>
        <w:t>一、职能简介</w:t>
      </w:r>
      <w:bookmarkEnd w:id="21"/>
    </w:p>
    <w:p>
      <w:pPr>
        <w:pStyle w:val="2"/>
        <w:spacing w:before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川省国际经济贸易研究所为财政全额拨款的科研事业单位，核编20人。现实有在职人员11人（其中，管理岗5级1人，管理岗8级3人，专业技术岗7级2人，专业技术岗9级2人，专业技术岗10级2人，专业技术岗12级1人）；退休人员9人。</w:t>
      </w:r>
    </w:p>
    <w:p>
      <w:pPr>
        <w:pStyle w:val="2"/>
        <w:spacing w:beforeLines="0" w:line="600" w:lineRule="exact"/>
        <w:ind w:firstLine="640" w:firstLineChars="200"/>
        <w:rPr>
          <w:rFonts w:ascii="仿宋" w:hAnsi="仿宋" w:eastAsia="仿宋"/>
          <w:sz w:val="32"/>
          <w:szCs w:val="32"/>
        </w:rPr>
      </w:pPr>
      <w:r>
        <w:rPr>
          <w:rFonts w:hint="eastAsia" w:ascii="仿宋_GB2312" w:hAnsi="仿宋_GB2312" w:eastAsia="仿宋_GB2312" w:cs="仿宋_GB2312"/>
          <w:sz w:val="32"/>
          <w:szCs w:val="32"/>
        </w:rPr>
        <w:t>我所主要职能为：收集整理国际经济贸易信息、开展对外经济贸易调查研究、为领导决策提供依据、举办研讨活动、编印内部刊物及资料、面向社会开展信息咨询服务。</w:t>
      </w:r>
    </w:p>
    <w:p>
      <w:pPr>
        <w:pStyle w:val="4"/>
        <w:spacing w:before="0" w:after="0" w:line="600" w:lineRule="exact"/>
        <w:ind w:firstLine="640"/>
        <w:rPr>
          <w:rFonts w:hint="eastAsia"/>
        </w:rPr>
      </w:pPr>
      <w:bookmarkStart w:id="24" w:name="_Toc27508"/>
      <w:r>
        <w:rPr>
          <w:rFonts w:hint="eastAsia"/>
        </w:rPr>
        <w:t>二、</w:t>
      </w:r>
      <w:r>
        <w:rPr>
          <w:rFonts w:hint="eastAsia" w:ascii="黑体" w:hAnsi="黑体" w:eastAsia="黑体" w:cs="黑体"/>
        </w:rPr>
        <w:t>2020</w:t>
      </w:r>
      <w:r>
        <w:rPr>
          <w:rFonts w:hint="eastAsia"/>
        </w:rPr>
        <w:t>年重点工作</w:t>
      </w:r>
      <w:bookmarkEnd w:id="22"/>
      <w:bookmarkEnd w:id="23"/>
      <w:r>
        <w:rPr>
          <w:rFonts w:hint="eastAsia"/>
        </w:rPr>
        <w:t>完成情况</w:t>
      </w:r>
      <w:bookmarkEnd w:id="24"/>
    </w:p>
    <w:p>
      <w:pPr>
        <w:pStyle w:val="2"/>
        <w:spacing w:before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今年以来，研究所立足商务中心，不断强化核心业务，着力打造一支“善于思考，勇于创新，精于钻研”的调研队伍，面对疫情，将“走出去”调研调整为“坐下来”钻研，加速推进年初各项工作计划，结合商务发展面临的新形势，充分发挥团队协作力量，聚焦热点、把握重点、攻克难点，有针对性地开展调研工作，打造课题精品。</w:t>
      </w:r>
    </w:p>
    <w:p>
      <w:pPr>
        <w:pStyle w:val="2"/>
        <w:spacing w:before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紧扣中心，前瞻调研显实效。认真贯彻落实中央及省委省政府部署，研究所今年共完成各类课题21项，其中：省领导课题1篇，成渝地区双城经济圈商务手册1本，“十四五”规划研究2篇，《商务调研》17期。一是着眼“十四五”发展形势、疫情下商务经济发展、开放型经济、消费等热点领域，开展《“十四五”时期商务发展的形势展望》《“十四五”时期我国国际环境特征趋势及开放经济发展对策》《眉山市东坡区服务业“十四五”发展规划》《疫情冲击下四川外贸的危与机》《找准疫情下促进消费回补升级的着力点》《新形势下我国产业参与全球竞争的优势分析》《人民币升值对货物进出口的影响分析及企业应对之策》《关于推进四川更高水平开放的几点思考》《对加快培育四川新消费的研究》《从城市商业魅力看成都的消费潜力》等10余篇课题研究；二是紧扣国家发展战略，聚焦构建“双循环”新发展格局，开展《建设现代流通体系 助力新发展格局》《扩大服务业高水平开放 加速融入“双循环”新发展格局》等专题研究；根据刘欣厅长指示，积极对接省发改委、厅市运处和外贸处，主动承担《融入双循环新发展格局、扩大内需的四川路径》课题撰写工作；三是贯彻落实成渝地区双城经济圈建设重大战略部署，开展专项研究。收集整理四川、重庆两地近五年来经济及商务相关数据，汇编《成渝地区双城经济圈商务手册》，于4月印发全省商务系统参阅，收到广泛好评；主动开展《成渝地区双城经济圈协同发展研究》，研究讨论成渝地区双城经济圈建设战略定位、协同发展重点领域以及主要措施。</w:t>
      </w:r>
    </w:p>
    <w:p>
      <w:pPr>
        <w:pStyle w:val="2"/>
        <w:spacing w:before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强化协作，处室合作增能力。根据年初制定的《研究所与厅处室联系对接表》，研究所积极与厅机关处室建立紧密的协作机制，服务商务中心工作。协助外贸处完成2-6月外贸结构运行分析等5篇报告；配合扶贫办完成《川越贫困》四川脱贫攻坚书系综述卷材料商务扶贫部分；协助流通业处筹备全国小店经济试点申请评审会；配合市建处完成对省第十三届人大第三次会议第905号提案《以新零售思维创新精准扶贫模式，牵引市场化、产业化开发扶贫》的答复。</w:t>
      </w:r>
    </w:p>
    <w:p>
      <w:pPr>
        <w:pStyle w:val="2"/>
        <w:spacing w:before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务实编印刊物。紧扣商务发展热点难点，编印《四川商务》内刊10期，客观宣传商务系统工作和思路，印发全省商务系统。完成2020年《四川商务年鉴》、《四川国际商务指南》的编印工作、商务厅大事记编写工作以及《中国商务年鉴》四川部分和《四川年鉴》商务部分的供稿工作。</w:t>
      </w:r>
    </w:p>
    <w:p>
      <w:pPr>
        <w:pStyle w:val="2"/>
        <w:spacing w:before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积极开展四川自贸试验区相关工作。通过深入座谈，撰写《自贸试验区达州协同改革先行区建设总体方案》《自贸试验区遂宁协同改革先行区建设总体方案》《自贸试验区德阳协同改革先行区发展报告》等；成立四川自贸区专家咨询委员会，举办自贸区协同开放专家座谈会，研讨自贸区协同开放热点等问题；举办四川自贸试验区协同改革先行区工作交流会，分享先行区工作经验；组织四川自贸试验区第四批“最佳实践案例”专家研讨会，确定20条第四批“最佳实践案例”，并对其进行评估，形成四川自贸试验区第四批最佳实践案例评估报告。</w:t>
      </w:r>
    </w:p>
    <w:p>
      <w:pPr>
        <w:pStyle w:val="2"/>
        <w:spacing w:before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切实做好全省步行街改造升级工作。成立全省步行街研究中心，组织步行街专家，完成全省20个申报步行街的预评审工作；协助商务厅举办眉山“步步欢乐购”步行街促消费活动，联络组织全省具有代表性的步行街运营方参与活动并发布宣言；应国务院办公厅就四川步行街发展的约稿要求，深入分析四川当前改造提升步行街、推动消费回升过程中面临的突出困难和瓶颈掣肘以及下一步工作重点，形成专报报送省政府。</w:t>
      </w:r>
    </w:p>
    <w:p>
      <w:pPr>
        <w:pStyle w:val="2"/>
        <w:spacing w:before="93"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（七）协助四川自贸办完成其它工作。协助完成四川自贸试验区第二批协同改革先行区申建评审工作，促进其顺利完成；收集、整理、汇编、校对自贸办各处室材料，协助完成中央深改办来川调研材料准备工作。</w:t>
      </w:r>
    </w:p>
    <w:p>
      <w:pPr>
        <w:pStyle w:val="4"/>
        <w:spacing w:before="0" w:after="0" w:line="600" w:lineRule="exact"/>
        <w:ind w:firstLine="640"/>
        <w:rPr>
          <w:rFonts w:hint="eastAsia" w:eastAsia="黑体"/>
          <w:lang w:eastAsia="zh-CN"/>
        </w:rPr>
      </w:pPr>
      <w:bookmarkStart w:id="25" w:name="_Toc12288"/>
      <w:r>
        <w:rPr>
          <w:rFonts w:hint="eastAsia"/>
          <w:lang w:eastAsia="zh-CN"/>
        </w:rPr>
        <w:t>三</w:t>
      </w:r>
      <w:r>
        <w:rPr>
          <w:rFonts w:hint="eastAsia"/>
        </w:rPr>
        <w:t>、</w:t>
      </w:r>
      <w:r>
        <w:rPr>
          <w:rFonts w:hint="eastAsia"/>
          <w:lang w:eastAsia="zh-CN"/>
        </w:rPr>
        <w:t>机构设置情况</w:t>
      </w:r>
      <w:bookmarkEnd w:id="25"/>
    </w:p>
    <w:p>
      <w:pPr>
        <w:pStyle w:val="2"/>
        <w:spacing w:before="93"/>
        <w:ind w:firstLine="640" w:firstLineChars="200"/>
        <w:rPr>
          <w:rFonts w:hint="eastAsia" w:eastAsia="仿宋_GB2312" w:asciiTheme="minorHAnsi" w:hAnsiTheme="minorHAnsi"/>
          <w:lang w:eastAsia="zh-CN"/>
        </w:rPr>
      </w:pPr>
      <w:r>
        <w:rPr>
          <w:rFonts w:hint="eastAsia" w:hAnsi="仿宋_GB2312" w:cs="仿宋_GB2312"/>
          <w:sz w:val="32"/>
          <w:szCs w:val="32"/>
          <w:lang w:eastAsia="zh-CN"/>
        </w:rPr>
        <w:t>研究所暂未设置内设机构，根据各职能分工，单位共由</w:t>
      </w:r>
      <w:r>
        <w:rPr>
          <w:rFonts w:hint="eastAsia" w:hAnsi="仿宋_GB2312" w:cs="仿宋_GB2312"/>
          <w:sz w:val="32"/>
          <w:szCs w:val="32"/>
          <w:lang w:val="en-US" w:eastAsia="zh-CN"/>
        </w:rPr>
        <w:t>5个组（室）组成，分别是：</w:t>
      </w:r>
      <w:r>
        <w:rPr>
          <w:rFonts w:hint="eastAsia" w:hAnsi="仿宋_GB2312" w:cs="仿宋_GB2312"/>
          <w:sz w:val="32"/>
          <w:szCs w:val="32"/>
          <w:lang w:eastAsia="zh-CN"/>
        </w:rPr>
        <w:t>办公室、财务室、服务业发展研究小组、开放型经济研究小组及商贸流通研究小组。</w:t>
      </w:r>
    </w:p>
    <w:p>
      <w:pPr>
        <w:pStyle w:val="2"/>
        <w:spacing w:before="93"/>
        <w:rPr>
          <w:rFonts w:asciiTheme="minorHAnsi" w:hAnsiTheme="minorHAnsi"/>
        </w:rPr>
      </w:pPr>
    </w:p>
    <w:p>
      <w:pPr>
        <w:pStyle w:val="2"/>
        <w:spacing w:before="93"/>
        <w:rPr>
          <w:rFonts w:asciiTheme="minorHAnsi" w:hAnsiTheme="minorHAnsi"/>
        </w:rPr>
      </w:pPr>
    </w:p>
    <w:p>
      <w:pPr>
        <w:pStyle w:val="2"/>
        <w:spacing w:before="93"/>
        <w:rPr>
          <w:rFonts w:asciiTheme="minorHAnsi" w:hAnsiTheme="minorHAnsi"/>
        </w:rPr>
      </w:pPr>
    </w:p>
    <w:p>
      <w:pPr>
        <w:pStyle w:val="2"/>
        <w:spacing w:before="93"/>
        <w:rPr>
          <w:rFonts w:asciiTheme="minorHAnsi" w:hAnsiTheme="minorHAnsi"/>
        </w:rPr>
      </w:pPr>
    </w:p>
    <w:p>
      <w:pPr>
        <w:pStyle w:val="2"/>
        <w:spacing w:before="93"/>
        <w:rPr>
          <w:rFonts w:asciiTheme="minorHAnsi" w:hAnsiTheme="minorHAnsi"/>
        </w:rPr>
      </w:pPr>
    </w:p>
    <w:p>
      <w:pPr>
        <w:pStyle w:val="2"/>
        <w:spacing w:before="93"/>
        <w:rPr>
          <w:rFonts w:asciiTheme="minorHAnsi" w:hAnsiTheme="minorHAnsi"/>
        </w:rPr>
      </w:pPr>
    </w:p>
    <w:p>
      <w:pPr>
        <w:pStyle w:val="2"/>
        <w:spacing w:before="93"/>
        <w:rPr>
          <w:rFonts w:asciiTheme="minorHAnsi" w:hAnsiTheme="minorHAnsi"/>
        </w:rPr>
      </w:pPr>
    </w:p>
    <w:p>
      <w:pPr>
        <w:pStyle w:val="3"/>
      </w:pPr>
      <w:bookmarkStart w:id="26" w:name="_Toc15396602"/>
      <w:bookmarkStart w:id="27" w:name="_Toc15377204"/>
      <w:bookmarkStart w:id="28" w:name="_Toc770"/>
      <w:r>
        <w:rPr>
          <w:rFonts w:hint="eastAsia"/>
        </w:rPr>
        <w:t xml:space="preserve">第二部分 </w:t>
      </w:r>
      <w:r>
        <w:rPr>
          <w:rFonts w:hint="eastAsia" w:ascii="黑体" w:hAnsi="黑体"/>
        </w:rPr>
        <w:t>2020</w:t>
      </w:r>
      <w:r>
        <w:rPr>
          <w:rFonts w:hint="eastAsia"/>
        </w:rPr>
        <w:t>年度</w:t>
      </w:r>
      <w:r>
        <w:rPr>
          <w:rFonts w:hint="eastAsia"/>
          <w:lang w:eastAsia="zh-CN"/>
        </w:rPr>
        <w:t>单位</w:t>
      </w:r>
      <w:r>
        <w:rPr>
          <w:rFonts w:hint="eastAsia"/>
        </w:rPr>
        <w:t>决算情况说明</w:t>
      </w:r>
      <w:bookmarkEnd w:id="26"/>
      <w:bookmarkEnd w:id="27"/>
      <w:bookmarkEnd w:id="28"/>
    </w:p>
    <w:p>
      <w:pPr>
        <w:pStyle w:val="4"/>
        <w:spacing w:before="0" w:after="0" w:line="600" w:lineRule="exact"/>
        <w:ind w:firstLine="640"/>
      </w:pPr>
      <w:bookmarkStart w:id="29" w:name="_Toc15377205"/>
      <w:bookmarkStart w:id="30" w:name="_Toc15396603"/>
      <w:bookmarkStart w:id="31" w:name="_Toc9719"/>
      <w:r>
        <w:rPr>
          <w:rFonts w:hint="eastAsia"/>
        </w:rPr>
        <w:t>一、收入支出决算总体情况说明</w:t>
      </w:r>
      <w:bookmarkEnd w:id="29"/>
      <w:bookmarkEnd w:id="30"/>
      <w:bookmarkEnd w:id="31"/>
    </w:p>
    <w:p>
      <w:pPr>
        <w:pStyle w:val="2"/>
        <w:spacing w:before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2020年度收、支总计各230.27万元。与2019年相比，收、支总计各增加33.40万元，增长16.97%。主要变动原因是2019年12月新进6名人员，使得2020年经费需求增加。</w:t>
      </w:r>
    </w:p>
    <w:p>
      <w:pPr>
        <w:pStyle w:val="2"/>
        <w:spacing w:before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（图1：收、支决算总计变动情况图）（柱状图）</w:t>
      </w:r>
    </w:p>
    <w:p>
      <w:pPr>
        <w:pStyle w:val="2"/>
        <w:spacing w:before="93"/>
        <w:rPr>
          <w:rFonts w:asciiTheme="minorEastAsia" w:hAnsiTheme="minorEastAsia" w:eastAsiaTheme="minorEastAsia"/>
          <w:sz w:val="32"/>
          <w:szCs w:val="32"/>
        </w:rPr>
      </w:pPr>
      <w:r>
        <w:rPr>
          <w:rFonts w:asciiTheme="minorEastAsia" w:hAnsiTheme="minorEastAsia" w:eastAsiaTheme="minorEastAsia"/>
          <w:sz w:val="32"/>
          <w:szCs w:val="32"/>
        </w:rPr>
        <w:drawing>
          <wp:inline distT="0" distB="0" distL="0" distR="0">
            <wp:extent cx="5274310" cy="3076575"/>
            <wp:effectExtent l="19050" t="0" r="2159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32" w:name="_Toc15396604"/>
      <w:bookmarkStart w:id="33" w:name="_Toc15377206"/>
    </w:p>
    <w:p>
      <w:pPr>
        <w:pStyle w:val="4"/>
        <w:spacing w:before="0" w:after="0" w:line="600" w:lineRule="exact"/>
        <w:ind w:firstLine="640"/>
      </w:pPr>
      <w:bookmarkStart w:id="34" w:name="_Toc12117"/>
      <w:r>
        <w:rPr>
          <w:rFonts w:hint="eastAsia"/>
        </w:rPr>
        <w:t>二、收入决算情况说明</w:t>
      </w:r>
      <w:bookmarkEnd w:id="32"/>
      <w:bookmarkEnd w:id="33"/>
      <w:bookmarkEnd w:id="34"/>
    </w:p>
    <w:p>
      <w:pPr>
        <w:pStyle w:val="2"/>
        <w:spacing w:beforeLines="0" w:line="600" w:lineRule="exact"/>
        <w:ind w:firstLine="640" w:firstLineChars="200"/>
        <w:rPr>
          <w:rFonts w:hint="eastAsia" w:ascii="仿宋_GB2312" w:hAnsi="仿宋_GB2312" w:eastAsia="仿宋_GB2312" w:cs="仿宋_GB2312"/>
          <w:sz w:val="32"/>
          <w:szCs w:val="32"/>
        </w:rPr>
      </w:pPr>
      <w:bookmarkStart w:id="35" w:name="_Toc80874580"/>
      <w:r>
        <w:rPr>
          <w:rFonts w:hint="eastAsia" w:ascii="仿宋_GB2312" w:hAnsi="仿宋_GB2312" w:eastAsia="仿宋_GB2312" w:cs="仿宋_GB2312"/>
          <w:sz w:val="32"/>
          <w:szCs w:val="32"/>
        </w:rPr>
        <w:t>2020年本年收入合计230.27万元，其中：一般公共预算财政拨款收入230.27万元，占100%；政府性基金预算财政拨款收入0万元，占0%；上级补助收入0万元，占0%；事业收入0万元，占0%；经营收入0万元，占0%；附属单位上缴收入0万元，占0%；其他收入0万元，占0%。</w:t>
      </w:r>
      <w:bookmarkEnd w:id="35"/>
    </w:p>
    <w:p>
      <w:pPr>
        <w:pStyle w:val="2"/>
        <w:spacing w:before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（图2：收入决算结构图）（饼状图）</w:t>
      </w:r>
    </w:p>
    <w:p>
      <w:pPr>
        <w:pStyle w:val="2"/>
        <w:spacing w:before="93"/>
        <w:rPr>
          <w:rFonts w:asciiTheme="minorEastAsia" w:hAnsiTheme="minorEastAsia" w:eastAsiaTheme="minorEastAsia"/>
          <w:sz w:val="32"/>
          <w:szCs w:val="32"/>
        </w:rPr>
      </w:pPr>
      <w:r>
        <w:rPr>
          <w:rFonts w:asciiTheme="minorEastAsia" w:hAnsiTheme="minorEastAsia" w:eastAsiaTheme="minorEastAsia"/>
          <w:sz w:val="32"/>
          <w:szCs w:val="32"/>
        </w:rPr>
        <w:drawing>
          <wp:inline distT="0" distB="0" distL="0" distR="0">
            <wp:extent cx="5274310" cy="3076575"/>
            <wp:effectExtent l="19050" t="0" r="2159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4"/>
        <w:spacing w:before="0" w:after="0" w:line="600" w:lineRule="exact"/>
        <w:ind w:firstLine="640"/>
      </w:pPr>
      <w:bookmarkStart w:id="36" w:name="_Toc15396605"/>
      <w:bookmarkStart w:id="37" w:name="_Toc15377207"/>
      <w:bookmarkStart w:id="38" w:name="_Toc10741"/>
      <w:r>
        <w:rPr>
          <w:rFonts w:hint="eastAsia"/>
        </w:rPr>
        <w:t>三、支出决算情况说明</w:t>
      </w:r>
      <w:bookmarkEnd w:id="36"/>
      <w:bookmarkEnd w:id="37"/>
      <w:bookmarkEnd w:id="38"/>
    </w:p>
    <w:p>
      <w:pPr>
        <w:pStyle w:val="2"/>
        <w:spacing w:beforeLines="0" w:line="600" w:lineRule="exact"/>
        <w:ind w:firstLine="640" w:firstLineChars="200"/>
        <w:rPr>
          <w:rFonts w:hint="eastAsia" w:ascii="仿宋_GB2312" w:hAnsi="仿宋_GB2312" w:eastAsia="仿宋_GB2312" w:cs="仿宋_GB2312"/>
          <w:sz w:val="32"/>
          <w:szCs w:val="32"/>
        </w:rPr>
      </w:pPr>
      <w:bookmarkStart w:id="39" w:name="_Toc80874582"/>
      <w:r>
        <w:rPr>
          <w:rFonts w:hint="eastAsia" w:ascii="仿宋_GB2312" w:hAnsi="仿宋_GB2312" w:eastAsia="仿宋_GB2312" w:cs="仿宋_GB2312"/>
          <w:sz w:val="32"/>
          <w:szCs w:val="32"/>
        </w:rPr>
        <w:t>2020年本年支出合计230.27万元，其中：基本支出189.89万元，占82.46%；项目支出40.38万元，占17.54%；上缴上级支出0万元，占0%；经营支出0万元，占0%；对附属单位补助支出0万元，占0%。</w:t>
      </w:r>
      <w:bookmarkEnd w:id="39"/>
    </w:p>
    <w:p>
      <w:pPr>
        <w:pStyle w:val="2"/>
        <w:spacing w:before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（图3：支出决算结构图）（饼状图）</w:t>
      </w:r>
    </w:p>
    <w:p>
      <w:pPr>
        <w:pStyle w:val="2"/>
        <w:spacing w:before="93"/>
        <w:rPr>
          <w:rFonts w:asciiTheme="minorEastAsia" w:hAnsiTheme="minorEastAsia" w:eastAsiaTheme="minorEastAsia"/>
          <w:sz w:val="32"/>
          <w:szCs w:val="32"/>
        </w:rPr>
      </w:pPr>
      <w:r>
        <w:rPr>
          <w:rFonts w:asciiTheme="minorEastAsia" w:hAnsiTheme="minorEastAsia" w:eastAsiaTheme="minorEastAsia"/>
          <w:sz w:val="32"/>
          <w:szCs w:val="32"/>
        </w:rPr>
        <w:drawing>
          <wp:inline distT="0" distB="0" distL="0" distR="0">
            <wp:extent cx="5274310" cy="3076575"/>
            <wp:effectExtent l="19050" t="0" r="2159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4"/>
        <w:spacing w:before="0" w:after="0" w:line="600" w:lineRule="exact"/>
        <w:ind w:firstLine="640"/>
      </w:pPr>
      <w:bookmarkStart w:id="40" w:name="_Toc15396606"/>
      <w:bookmarkStart w:id="41" w:name="_Toc15377208"/>
      <w:bookmarkStart w:id="42" w:name="_Toc28056"/>
      <w:r>
        <w:rPr>
          <w:rFonts w:hint="eastAsia"/>
        </w:rPr>
        <w:t>四、财政拨款收入支出决算总体情况说明</w:t>
      </w:r>
      <w:bookmarkEnd w:id="40"/>
      <w:bookmarkEnd w:id="41"/>
      <w:bookmarkEnd w:id="42"/>
    </w:p>
    <w:p>
      <w:pPr>
        <w:pStyle w:val="2"/>
        <w:spacing w:before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2020年财政拨款收、支总计各230.27万元。与2019年相比，财政拨款收、支总计各增加33.40万元，增长16.97%。主要变动原因是2019年12月新进6名人员，使得2020年经费需求增加。</w:t>
      </w:r>
    </w:p>
    <w:p>
      <w:pPr>
        <w:pStyle w:val="2"/>
        <w:spacing w:before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（图4：财政拨款收、支决算总计变动情况）（柱状图）</w:t>
      </w:r>
    </w:p>
    <w:p>
      <w:pPr>
        <w:pStyle w:val="2"/>
        <w:spacing w:before="93"/>
        <w:rPr>
          <w:rFonts w:asciiTheme="minorEastAsia" w:hAnsiTheme="minorEastAsia" w:eastAsiaTheme="minorEastAsia"/>
          <w:sz w:val="32"/>
          <w:szCs w:val="32"/>
        </w:rPr>
      </w:pPr>
      <w:r>
        <w:rPr>
          <w:rFonts w:asciiTheme="minorEastAsia" w:hAnsiTheme="minorEastAsia" w:eastAsiaTheme="minorEastAsia"/>
          <w:sz w:val="32"/>
          <w:szCs w:val="32"/>
        </w:rPr>
        <w:drawing>
          <wp:inline distT="0" distB="0" distL="0" distR="0">
            <wp:extent cx="5274310" cy="3076575"/>
            <wp:effectExtent l="19050" t="0" r="21590" b="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4"/>
        <w:spacing w:before="0" w:after="0" w:line="600" w:lineRule="exact"/>
        <w:ind w:firstLine="640"/>
      </w:pPr>
      <w:bookmarkStart w:id="43" w:name="_Toc15377209"/>
      <w:bookmarkStart w:id="44" w:name="_Toc15396607"/>
      <w:bookmarkStart w:id="45" w:name="_Toc24859"/>
      <w:r>
        <w:rPr>
          <w:rFonts w:hint="eastAsia"/>
        </w:rPr>
        <w:t>五、一般公共预算财政拨款支出决算情况说明</w:t>
      </w:r>
      <w:bookmarkEnd w:id="43"/>
      <w:bookmarkEnd w:id="44"/>
      <w:bookmarkEnd w:id="45"/>
    </w:p>
    <w:p>
      <w:pPr>
        <w:pStyle w:val="2"/>
        <w:spacing w:beforeLines="0" w:line="600" w:lineRule="exact"/>
        <w:ind w:firstLine="643" w:firstLineChars="200"/>
        <w:rPr>
          <w:rFonts w:hint="eastAsia" w:ascii="楷体_GB2312" w:hAnsi="楷体_GB2312" w:eastAsia="楷体_GB2312" w:cs="楷体_GB2312"/>
          <w:b/>
          <w:sz w:val="32"/>
          <w:szCs w:val="32"/>
        </w:rPr>
      </w:pPr>
      <w:bookmarkStart w:id="46" w:name="_Toc80874585"/>
      <w:bookmarkStart w:id="47" w:name="_Toc15377210"/>
      <w:r>
        <w:rPr>
          <w:rFonts w:hint="eastAsia" w:ascii="楷体_GB2312" w:hAnsi="楷体_GB2312" w:eastAsia="楷体_GB2312" w:cs="楷体_GB2312"/>
          <w:b/>
          <w:sz w:val="32"/>
          <w:szCs w:val="32"/>
        </w:rPr>
        <w:t>（一）一般公共预算财政拨款支出决算总体情况</w:t>
      </w:r>
      <w:bookmarkEnd w:id="46"/>
      <w:bookmarkEnd w:id="47"/>
    </w:p>
    <w:p>
      <w:pPr>
        <w:pStyle w:val="2"/>
        <w:spacing w:before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2020年一般公共预算财政拨款支出230.27万元，占本年支出合计的100%。与2019年相比，一般公共预算财政拨款增加33.40万元，增长16.97%。主要变动原因是2019年12月新进6名人员，使得2020年经费需求增加。</w:t>
      </w:r>
    </w:p>
    <w:p>
      <w:pPr>
        <w:pStyle w:val="2"/>
        <w:spacing w:before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（图5：一般公共预算财政拨款支出决算变动情况）（柱状图）</w:t>
      </w:r>
    </w:p>
    <w:p>
      <w:pPr>
        <w:pStyle w:val="2"/>
        <w:spacing w:before="93"/>
        <w:rPr>
          <w:rFonts w:asciiTheme="minorEastAsia" w:hAnsiTheme="minorEastAsia" w:eastAsiaTheme="minorEastAsia"/>
          <w:sz w:val="32"/>
          <w:szCs w:val="32"/>
        </w:rPr>
      </w:pPr>
      <w:r>
        <w:rPr>
          <w:rFonts w:asciiTheme="minorEastAsia" w:hAnsiTheme="minorEastAsia" w:eastAsiaTheme="minorEastAsia"/>
          <w:sz w:val="32"/>
          <w:szCs w:val="32"/>
        </w:rPr>
        <w:drawing>
          <wp:inline distT="0" distB="0" distL="0" distR="0">
            <wp:extent cx="5274310" cy="3076575"/>
            <wp:effectExtent l="19050" t="0" r="2159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2"/>
        <w:spacing w:beforeLines="0" w:line="600" w:lineRule="exact"/>
        <w:ind w:firstLine="643" w:firstLineChars="200"/>
        <w:rPr>
          <w:rFonts w:hint="eastAsia" w:ascii="楷体_GB2312" w:hAnsi="楷体_GB2312" w:eastAsia="楷体_GB2312" w:cs="楷体_GB2312"/>
          <w:b/>
          <w:sz w:val="32"/>
          <w:szCs w:val="32"/>
        </w:rPr>
      </w:pPr>
      <w:bookmarkStart w:id="48" w:name="_Toc80874586"/>
      <w:bookmarkStart w:id="49" w:name="_Toc15377211"/>
      <w:r>
        <w:rPr>
          <w:rFonts w:hint="eastAsia" w:ascii="楷体_GB2312" w:hAnsi="楷体_GB2312" w:eastAsia="楷体_GB2312" w:cs="楷体_GB2312"/>
          <w:b/>
          <w:sz w:val="32"/>
          <w:szCs w:val="32"/>
        </w:rPr>
        <w:t>（二）一般公共预算财政拨款支出决算结构情况</w:t>
      </w:r>
      <w:bookmarkEnd w:id="48"/>
      <w:bookmarkEnd w:id="49"/>
    </w:p>
    <w:p>
      <w:pPr>
        <w:pStyle w:val="2"/>
        <w:spacing w:before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2020年一般公共预算财政拨款支出230.27万元，主要用于以下方面:</w:t>
      </w:r>
      <w:r>
        <w:rPr>
          <w:rFonts w:hint="eastAsia" w:ascii="仿宋_GB2312" w:hAnsi="仿宋_GB2312" w:eastAsia="仿宋_GB2312" w:cs="仿宋_GB2312"/>
          <w:b/>
          <w:sz w:val="32"/>
          <w:szCs w:val="32"/>
        </w:rPr>
        <w:t>科学技术（类）支出</w:t>
      </w:r>
      <w:r>
        <w:rPr>
          <w:rFonts w:hint="eastAsia" w:ascii="仿宋_GB2312" w:hAnsi="仿宋_GB2312" w:eastAsia="仿宋_GB2312" w:cs="仿宋_GB2312"/>
          <w:sz w:val="32"/>
          <w:szCs w:val="32"/>
        </w:rPr>
        <w:t>174.23万元，占75.66%；</w:t>
      </w:r>
      <w:r>
        <w:rPr>
          <w:rFonts w:hint="eastAsia" w:ascii="仿宋_GB2312" w:hAnsi="仿宋_GB2312" w:eastAsia="仿宋_GB2312" w:cs="仿宋_GB2312"/>
          <w:b/>
          <w:sz w:val="32"/>
          <w:szCs w:val="32"/>
        </w:rPr>
        <w:t>社会保障和就业（类）支出</w:t>
      </w:r>
      <w:r>
        <w:rPr>
          <w:rFonts w:hint="eastAsia" w:ascii="仿宋_GB2312" w:hAnsi="仿宋_GB2312" w:eastAsia="仿宋_GB2312" w:cs="仿宋_GB2312"/>
          <w:sz w:val="32"/>
          <w:szCs w:val="32"/>
        </w:rPr>
        <w:t>23.92万元，占10.39%；</w:t>
      </w:r>
      <w:r>
        <w:rPr>
          <w:rFonts w:hint="eastAsia" w:ascii="仿宋_GB2312" w:hAnsi="仿宋_GB2312" w:eastAsia="仿宋_GB2312" w:cs="仿宋_GB2312"/>
          <w:b/>
          <w:sz w:val="32"/>
          <w:szCs w:val="32"/>
        </w:rPr>
        <w:t>卫生健康类</w:t>
      </w:r>
      <w:r>
        <w:rPr>
          <w:rFonts w:hint="eastAsia" w:ascii="仿宋_GB2312" w:hAnsi="仿宋_GB2312" w:eastAsia="仿宋_GB2312" w:cs="仿宋_GB2312"/>
          <w:sz w:val="32"/>
          <w:szCs w:val="32"/>
        </w:rPr>
        <w:t>支出15.70万元，占6.82%；</w:t>
      </w:r>
      <w:r>
        <w:rPr>
          <w:rFonts w:hint="eastAsia" w:ascii="仿宋_GB2312" w:hAnsi="仿宋_GB2312" w:eastAsia="仿宋_GB2312" w:cs="仿宋_GB2312"/>
          <w:b/>
          <w:sz w:val="32"/>
          <w:szCs w:val="32"/>
        </w:rPr>
        <w:t>住房保障类支出</w:t>
      </w:r>
      <w:r>
        <w:rPr>
          <w:rFonts w:hint="eastAsia" w:ascii="仿宋_GB2312" w:hAnsi="仿宋_GB2312" w:eastAsia="仿宋_GB2312" w:cs="仿宋_GB2312"/>
          <w:sz w:val="32"/>
          <w:szCs w:val="32"/>
        </w:rPr>
        <w:t>16.42万元，占7.13%。</w:t>
      </w:r>
    </w:p>
    <w:p>
      <w:pPr>
        <w:pStyle w:val="2"/>
        <w:spacing w:beforeLines="0"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（图6：一般公共预算财政拨款支出决算结构）（饼状图）</w:t>
      </w:r>
    </w:p>
    <w:p>
      <w:pPr>
        <w:spacing w:line="600" w:lineRule="exact"/>
        <w:ind w:firstLine="640" w:firstLineChars="200"/>
        <w:rPr>
          <w:rFonts w:hint="eastAsia" w:ascii="仿宋_GB2312" w:hAnsi="仿宋_GB2312" w:eastAsia="仿宋_GB2312" w:cs="仿宋_GB2312"/>
          <w:sz w:val="32"/>
          <w:szCs w:val="32"/>
        </w:rPr>
      </w:pPr>
    </w:p>
    <w:p>
      <w:pPr>
        <w:pStyle w:val="2"/>
        <w:spacing w:before="93"/>
        <w:rPr>
          <w:rFonts w:asciiTheme="minorEastAsia" w:hAnsiTheme="minorEastAsia" w:eastAsiaTheme="minorEastAsia"/>
          <w:sz w:val="32"/>
          <w:szCs w:val="32"/>
        </w:rPr>
      </w:pPr>
    </w:p>
    <w:p>
      <w:pPr>
        <w:pStyle w:val="2"/>
        <w:spacing w:before="93"/>
        <w:rPr>
          <w:rFonts w:asciiTheme="minorEastAsia" w:hAnsiTheme="minorEastAsia" w:eastAsiaTheme="minorEastAsia"/>
          <w:sz w:val="32"/>
          <w:szCs w:val="32"/>
        </w:rPr>
      </w:pPr>
      <w:r>
        <w:rPr>
          <w:rFonts w:asciiTheme="minorEastAsia" w:hAnsiTheme="minorEastAsia" w:eastAsiaTheme="minorEastAsia"/>
          <w:sz w:val="32"/>
          <w:szCs w:val="32"/>
        </w:rPr>
        <w:drawing>
          <wp:inline distT="0" distB="0" distL="0" distR="0">
            <wp:extent cx="5274310" cy="3076575"/>
            <wp:effectExtent l="19050" t="0" r="2159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2"/>
        <w:spacing w:beforeLines="0" w:line="600" w:lineRule="exact"/>
        <w:ind w:firstLine="643" w:firstLineChars="200"/>
        <w:rPr>
          <w:rFonts w:hint="eastAsia" w:ascii="楷体_GB2312" w:hAnsi="楷体_GB2312" w:eastAsia="楷体_GB2312" w:cs="楷体_GB2312"/>
          <w:b/>
          <w:sz w:val="32"/>
          <w:szCs w:val="32"/>
        </w:rPr>
      </w:pPr>
      <w:bookmarkStart w:id="50" w:name="_Toc80874587"/>
      <w:bookmarkStart w:id="51" w:name="_Toc15377212"/>
      <w:r>
        <w:rPr>
          <w:rFonts w:hint="eastAsia" w:ascii="楷体_GB2312" w:hAnsi="楷体_GB2312" w:eastAsia="楷体_GB2312" w:cs="楷体_GB2312"/>
          <w:b/>
          <w:sz w:val="32"/>
          <w:szCs w:val="32"/>
        </w:rPr>
        <w:t>（三）一般公共预算财政拨款支出决算具体情况</w:t>
      </w:r>
      <w:bookmarkEnd w:id="50"/>
      <w:bookmarkEnd w:id="51"/>
    </w:p>
    <w:p>
      <w:pPr>
        <w:pStyle w:val="2"/>
        <w:spacing w:beforeLines="0" w:line="600" w:lineRule="exact"/>
        <w:ind w:firstLine="640" w:firstLineChars="200"/>
        <w:rPr>
          <w:rFonts w:hint="eastAsia" w:ascii="仿宋_GB2312" w:hAnsi="仿宋_GB2312" w:eastAsia="仿宋_GB2312" w:cs="仿宋_GB2312"/>
          <w:sz w:val="32"/>
          <w:szCs w:val="32"/>
        </w:rPr>
      </w:pPr>
      <w:bookmarkStart w:id="52" w:name="_Toc80874588"/>
      <w:bookmarkStart w:id="53" w:name="_Toc15378460"/>
      <w:bookmarkStart w:id="54" w:name="_Toc15377444"/>
      <w:bookmarkStart w:id="55" w:name="_Toc15377213"/>
      <w:r>
        <w:rPr>
          <w:rFonts w:hint="eastAsia" w:ascii="仿宋_GB2312" w:hAnsi="仿宋_GB2312" w:eastAsia="仿宋_GB2312" w:cs="仿宋_GB2312"/>
          <w:sz w:val="32"/>
          <w:szCs w:val="32"/>
        </w:rPr>
        <w:t>2020年一般公共预算支出决算数为230.27万元，完成预算90.00%。其中：</w:t>
      </w:r>
      <w:bookmarkEnd w:id="52"/>
      <w:bookmarkEnd w:id="53"/>
      <w:bookmarkEnd w:id="54"/>
      <w:bookmarkEnd w:id="55"/>
    </w:p>
    <w:p>
      <w:pPr>
        <w:pStyle w:val="2"/>
        <w:spacing w:beforeLines="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1.科学技术支出（类）应用研究（款）机构运行（项）:</w:t>
      </w:r>
      <w:r>
        <w:rPr>
          <w:rFonts w:hint="eastAsia" w:ascii="仿宋_GB2312" w:hAnsi="仿宋_GB2312" w:eastAsia="仿宋_GB2312" w:cs="仿宋_GB2312"/>
          <w:sz w:val="32"/>
          <w:szCs w:val="32"/>
        </w:rPr>
        <w:t xml:space="preserve"> 支出决算为133.85万元，完成预算93.75%，决算数小于预算数的主要原因是人员调出，人员经费支出比预期少。</w:t>
      </w:r>
    </w:p>
    <w:p>
      <w:pPr>
        <w:pStyle w:val="2"/>
        <w:spacing w:beforeLines="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2.科学技术支出（类）应用研究（款）社会公益研究（项）: </w:t>
      </w:r>
      <w:r>
        <w:rPr>
          <w:rFonts w:hint="eastAsia" w:ascii="仿宋_GB2312" w:hAnsi="仿宋_GB2312" w:eastAsia="仿宋_GB2312" w:cs="仿宋_GB2312"/>
          <w:sz w:val="32"/>
          <w:szCs w:val="32"/>
        </w:rPr>
        <w:t>支出决算为40.38万元，完成预算73.78%，决算数小于预算数的主要原因是：（1）受疫情影响，单位调研人员外出调研工作的情况比预期少，影响单位本年差旅费的支出；（2）单位办公地址于年中搬迁，预算中的原办公地址的物管费暂停支付。</w:t>
      </w:r>
    </w:p>
    <w:p>
      <w:pPr>
        <w:pStyle w:val="2"/>
        <w:spacing w:beforeLines="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3.社会保障和就业支出（类）行政事业单位养老支出（款）机关事业单位基本养老保险缴费支出（项）:</w:t>
      </w:r>
      <w:r>
        <w:rPr>
          <w:rFonts w:hint="eastAsia" w:ascii="仿宋_GB2312" w:hAnsi="仿宋_GB2312" w:eastAsia="仿宋_GB2312" w:cs="仿宋_GB2312"/>
          <w:sz w:val="32"/>
          <w:szCs w:val="32"/>
        </w:rPr>
        <w:t xml:space="preserve"> 支出决算为15.63万元，完成预算84.49%，决算数小于预算数的主要原因是人员调出，支出减少。</w:t>
      </w:r>
    </w:p>
    <w:p>
      <w:pPr>
        <w:pStyle w:val="2"/>
        <w:spacing w:beforeLines="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4.社会保障和就业支出（类）行政事业单位养老支出（款）机关事业单位职业年金缴费支出（项）:</w:t>
      </w:r>
      <w:r>
        <w:rPr>
          <w:rFonts w:hint="eastAsia" w:ascii="仿宋_GB2312" w:hAnsi="仿宋_GB2312" w:eastAsia="仿宋_GB2312" w:cs="仿宋_GB2312"/>
          <w:sz w:val="32"/>
          <w:szCs w:val="32"/>
        </w:rPr>
        <w:t xml:space="preserve"> 支出决算为7.67万元，完成预算82.47%，决算数小于预算数的主要原因是人员调出，支出减少。</w:t>
      </w:r>
    </w:p>
    <w:p>
      <w:pPr>
        <w:pStyle w:val="2"/>
        <w:spacing w:beforeLines="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5.社会保障和就业支出（类）其他社会保障和就业支出（款）其他社会保障和就业支出（项）:</w:t>
      </w:r>
      <w:r>
        <w:rPr>
          <w:rFonts w:hint="eastAsia" w:ascii="仿宋_GB2312" w:hAnsi="仿宋_GB2312" w:eastAsia="仿宋_GB2312" w:cs="仿宋_GB2312"/>
          <w:sz w:val="32"/>
          <w:szCs w:val="32"/>
        </w:rPr>
        <w:t>支出决算为0.62万元，完成预算100%，决算数等于预算数。</w:t>
      </w:r>
    </w:p>
    <w:p>
      <w:pPr>
        <w:pStyle w:val="2"/>
        <w:spacing w:beforeLines="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6.卫生健康支出（类）行政事业单位医疗（款）事业单位医疗（项）：</w:t>
      </w:r>
      <w:r>
        <w:rPr>
          <w:rFonts w:hint="eastAsia" w:ascii="仿宋_GB2312" w:hAnsi="仿宋_GB2312" w:eastAsia="仿宋_GB2312" w:cs="仿宋_GB2312"/>
          <w:sz w:val="32"/>
          <w:szCs w:val="32"/>
        </w:rPr>
        <w:t>支出决算为15.7万元，完成预算100%，决算数等于预算数。</w:t>
      </w:r>
    </w:p>
    <w:p>
      <w:pPr>
        <w:pStyle w:val="2"/>
        <w:spacing w:beforeLines="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7.住房保障支出（类）住房改革支出（款）住房公积金（项）：</w:t>
      </w:r>
      <w:r>
        <w:rPr>
          <w:rFonts w:hint="eastAsia" w:ascii="仿宋_GB2312" w:hAnsi="仿宋_GB2312" w:eastAsia="仿宋_GB2312" w:cs="仿宋_GB2312"/>
          <w:sz w:val="32"/>
          <w:szCs w:val="32"/>
        </w:rPr>
        <w:t>支出决算为12.93万元，完成预算93.02%，决算数小于预算数的主要原因是人员调出，与之相关的住房公积金支出比预期少。</w:t>
      </w:r>
    </w:p>
    <w:p>
      <w:pPr>
        <w:pStyle w:val="2"/>
        <w:spacing w:beforeLines="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8.住房保障支出（类）住房改革支出（款）购房补贴（项）：</w:t>
      </w:r>
      <w:r>
        <w:rPr>
          <w:rFonts w:hint="eastAsia" w:ascii="仿宋_GB2312" w:hAnsi="仿宋_GB2312" w:eastAsia="仿宋_GB2312" w:cs="仿宋_GB2312"/>
          <w:sz w:val="32"/>
          <w:szCs w:val="32"/>
        </w:rPr>
        <w:t>支出决算为3.49万元，完成预算100%，决算数等于预算数。</w:t>
      </w:r>
    </w:p>
    <w:p>
      <w:pPr>
        <w:pStyle w:val="4"/>
        <w:spacing w:before="0" w:after="0" w:line="600" w:lineRule="exact"/>
        <w:ind w:firstLine="640"/>
        <w:rPr>
          <w:rFonts w:hint="eastAsia"/>
        </w:rPr>
      </w:pPr>
      <w:bookmarkStart w:id="56" w:name="_Toc15396608"/>
      <w:bookmarkStart w:id="57" w:name="_Toc15377214"/>
      <w:bookmarkStart w:id="58" w:name="_Toc126"/>
      <w:r>
        <w:rPr>
          <w:rFonts w:hint="eastAsia"/>
        </w:rPr>
        <w:t>六、一般公共预算财政拨款基本支出决算情况说明</w:t>
      </w:r>
      <w:bookmarkEnd w:id="56"/>
      <w:bookmarkEnd w:id="57"/>
      <w:bookmarkEnd w:id="58"/>
      <w:r>
        <w:rPr>
          <w:rFonts w:hint="eastAsia"/>
        </w:rPr>
        <w:tab/>
      </w:r>
    </w:p>
    <w:p>
      <w:pPr>
        <w:pStyle w:val="2"/>
        <w:spacing w:before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2020年一般公共预算财政拨款基本支出189.89万元，其中：</w:t>
      </w:r>
    </w:p>
    <w:p>
      <w:pPr>
        <w:pStyle w:val="2"/>
        <w:spacing w:beforeLines="0"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人员经费179.49万元，主要包括：基本工资、津贴补贴、绩效工资、机关事业单位基本养老保险缴费、职业年金缴费、职工基本医疗保险缴费、其他社会保障缴费、其他工资福利支出、奖励金、住房公积金、其他对个人和家庭的补助支出。</w:t>
      </w:r>
    </w:p>
    <w:p>
      <w:pPr>
        <w:pStyle w:val="2"/>
        <w:spacing w:before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公用经费10.40万元，主要包括：办公费、水费、电费、工会经费、福利费、其他商品和服务支出。</w:t>
      </w:r>
    </w:p>
    <w:p>
      <w:pPr>
        <w:pStyle w:val="4"/>
        <w:spacing w:before="0" w:after="0" w:line="600" w:lineRule="exact"/>
        <w:ind w:firstLine="640"/>
      </w:pPr>
      <w:bookmarkStart w:id="59" w:name="_Toc15396609"/>
      <w:bookmarkStart w:id="60" w:name="_Toc15377215"/>
      <w:bookmarkStart w:id="61" w:name="_Toc21758"/>
      <w:r>
        <w:rPr>
          <w:rFonts w:hint="eastAsia"/>
        </w:rPr>
        <w:t>七、“三公”经费财政拨款支出决算情况说明</w:t>
      </w:r>
      <w:bookmarkEnd w:id="59"/>
      <w:bookmarkEnd w:id="60"/>
      <w:bookmarkEnd w:id="61"/>
    </w:p>
    <w:p>
      <w:pPr>
        <w:pStyle w:val="2"/>
        <w:spacing w:beforeLines="0" w:line="600" w:lineRule="exact"/>
        <w:ind w:firstLine="643" w:firstLineChars="200"/>
        <w:rPr>
          <w:rFonts w:hint="eastAsia" w:ascii="楷体_GB2312" w:hAnsi="楷体_GB2312" w:eastAsia="楷体_GB2312" w:cs="楷体_GB2312"/>
          <w:b/>
          <w:sz w:val="32"/>
          <w:szCs w:val="32"/>
        </w:rPr>
      </w:pPr>
      <w:bookmarkStart w:id="62" w:name="_Toc80874591"/>
      <w:bookmarkStart w:id="63" w:name="_Toc15377216"/>
      <w:r>
        <w:rPr>
          <w:rFonts w:hint="eastAsia" w:ascii="楷体_GB2312" w:hAnsi="楷体_GB2312" w:eastAsia="楷体_GB2312" w:cs="楷体_GB2312"/>
          <w:b/>
          <w:sz w:val="32"/>
          <w:szCs w:val="32"/>
        </w:rPr>
        <w:t>（一）“三公”经费财政拨款支出决算总体情况说明</w:t>
      </w:r>
      <w:bookmarkEnd w:id="62"/>
      <w:bookmarkEnd w:id="63"/>
    </w:p>
    <w:p>
      <w:pPr>
        <w:pStyle w:val="2"/>
        <w:spacing w:before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2020年“三公”经费财政拨款支出决算为0万元，完成预算</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0%，决算数与预算数持平。</w:t>
      </w:r>
    </w:p>
    <w:p>
      <w:pPr>
        <w:pStyle w:val="2"/>
        <w:spacing w:beforeLines="0" w:line="600" w:lineRule="exact"/>
        <w:ind w:firstLine="643" w:firstLineChars="200"/>
        <w:rPr>
          <w:rFonts w:hint="eastAsia" w:ascii="楷体_GB2312" w:hAnsi="楷体_GB2312" w:eastAsia="楷体_GB2312" w:cs="楷体_GB2312"/>
          <w:b/>
          <w:sz w:val="32"/>
          <w:szCs w:val="32"/>
        </w:rPr>
      </w:pPr>
      <w:bookmarkStart w:id="64" w:name="_Toc80874592"/>
      <w:bookmarkStart w:id="65" w:name="_Toc15377217"/>
      <w:r>
        <w:rPr>
          <w:rFonts w:hint="eastAsia" w:ascii="楷体_GB2312" w:hAnsi="楷体_GB2312" w:eastAsia="楷体_GB2312" w:cs="楷体_GB2312"/>
          <w:b/>
          <w:sz w:val="32"/>
          <w:szCs w:val="32"/>
        </w:rPr>
        <w:t>（二）“三公”经费财政拨款支出决算具体情况说明</w:t>
      </w:r>
      <w:bookmarkEnd w:id="64"/>
      <w:bookmarkEnd w:id="65"/>
    </w:p>
    <w:p>
      <w:pPr>
        <w:pStyle w:val="2"/>
        <w:spacing w:before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2020年“三公”经费财政拨款支出决算中，因公出国（境）费支出决算0万元，占0%；公务用车购置及运行维护费支出决算0万元，占0%；公务接待费支出决算0万元，占0%。具体情况如下：</w:t>
      </w:r>
    </w:p>
    <w:p>
      <w:pPr>
        <w:pStyle w:val="2"/>
        <w:spacing w:before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（图7：“三公”经费财政拨款支出结构）（饼状图）</w:t>
      </w:r>
    </w:p>
    <w:p>
      <w:pPr>
        <w:pStyle w:val="2"/>
        <w:spacing w:before="93"/>
        <w:rPr>
          <w:rFonts w:asciiTheme="minorHAnsi" w:hAnsiTheme="minorHAnsi"/>
        </w:rPr>
      </w:pPr>
      <w:r>
        <w:drawing>
          <wp:inline distT="0" distB="0" distL="0" distR="0">
            <wp:extent cx="5274310" cy="3076575"/>
            <wp:effectExtent l="19050" t="0" r="2159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2"/>
        <w:spacing w:beforeLines="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1.因公出国（境）经费支出</w:t>
      </w:r>
      <w:r>
        <w:rPr>
          <w:rFonts w:hint="eastAsia" w:ascii="仿宋_GB2312" w:hAnsi="仿宋_GB2312" w:eastAsia="仿宋_GB2312" w:cs="仿宋_GB2312"/>
          <w:sz w:val="32"/>
          <w:szCs w:val="32"/>
        </w:rPr>
        <w:t>0万元，</w:t>
      </w:r>
      <w:r>
        <w:rPr>
          <w:rFonts w:hint="eastAsia" w:ascii="仿宋_GB2312" w:hAnsi="仿宋_GB2312" w:eastAsia="仿宋_GB2312" w:cs="仿宋_GB2312"/>
        </w:rPr>
        <w:t>完成预算</w:t>
      </w:r>
      <w:r>
        <w:rPr>
          <w:rFonts w:hint="eastAsia" w:ascii="仿宋_GB2312" w:hAnsi="仿宋_GB2312" w:eastAsia="仿宋_GB2312" w:cs="仿宋_GB2312"/>
          <w:lang w:val="en-US" w:eastAsia="zh-CN"/>
        </w:rPr>
        <w:t>10</w:t>
      </w:r>
      <w:r>
        <w:rPr>
          <w:rFonts w:hint="eastAsia" w:ascii="仿宋_GB2312" w:hAnsi="仿宋_GB2312" w:eastAsia="仿宋_GB2312" w:cs="仿宋_GB2312"/>
        </w:rPr>
        <w:t>0%。</w:t>
      </w:r>
      <w:r>
        <w:rPr>
          <w:rFonts w:hint="eastAsia" w:ascii="仿宋_GB2312" w:hAnsi="仿宋_GB2312" w:eastAsia="仿宋_GB2312" w:cs="仿宋_GB2312"/>
          <w:sz w:val="32"/>
          <w:szCs w:val="32"/>
        </w:rPr>
        <w:t>全年安排因公出国（境）团组0次，出国（境）0人。因公出国（境）支出决算与2019年持平。</w:t>
      </w:r>
    </w:p>
    <w:p>
      <w:pPr>
        <w:pStyle w:val="2"/>
        <w:spacing w:beforeLines="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2.公务用车购置及运行维护费支出</w:t>
      </w:r>
      <w:r>
        <w:rPr>
          <w:rFonts w:hint="eastAsia" w:ascii="仿宋_GB2312" w:hAnsi="仿宋_GB2312" w:eastAsia="仿宋_GB2312" w:cs="仿宋_GB2312"/>
          <w:sz w:val="32"/>
          <w:szCs w:val="32"/>
        </w:rPr>
        <w:t>0万元,</w:t>
      </w:r>
      <w:r>
        <w:rPr>
          <w:rFonts w:hint="eastAsia" w:ascii="仿宋_GB2312" w:hAnsi="仿宋_GB2312" w:eastAsia="仿宋_GB2312" w:cs="仿宋_GB2312"/>
        </w:rPr>
        <w:t>完成预算</w:t>
      </w:r>
      <w:r>
        <w:rPr>
          <w:rFonts w:hint="eastAsia" w:ascii="仿宋_GB2312" w:hAnsi="仿宋_GB2312" w:eastAsia="仿宋_GB2312" w:cs="仿宋_GB2312"/>
          <w:lang w:val="en-US" w:eastAsia="zh-CN"/>
        </w:rPr>
        <w:t>10</w:t>
      </w:r>
      <w:r>
        <w:rPr>
          <w:rFonts w:hint="eastAsia" w:ascii="仿宋_GB2312" w:hAnsi="仿宋_GB2312" w:eastAsia="仿宋_GB2312" w:cs="仿宋_GB2312"/>
        </w:rPr>
        <w:t>0%。</w:t>
      </w:r>
      <w:r>
        <w:rPr>
          <w:rFonts w:hint="eastAsia" w:ascii="仿宋_GB2312" w:hAnsi="仿宋_GB2312" w:eastAsia="仿宋_GB2312" w:cs="仿宋_GB2312"/>
          <w:sz w:val="32"/>
          <w:szCs w:val="32"/>
        </w:rPr>
        <w:t>公务用车购置及运行维护费支出决算与2019年持平。</w:t>
      </w:r>
    </w:p>
    <w:p>
      <w:pPr>
        <w:pStyle w:val="2"/>
        <w:spacing w:before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w:t>
      </w:r>
      <w:r>
        <w:rPr>
          <w:rFonts w:hint="eastAsia" w:ascii="仿宋_GB2312" w:hAnsi="仿宋_GB2312" w:eastAsia="仿宋_GB2312" w:cs="仿宋_GB2312"/>
          <w:b/>
          <w:sz w:val="32"/>
          <w:szCs w:val="32"/>
        </w:rPr>
        <w:t>公务用车购置支出</w:t>
      </w:r>
      <w:r>
        <w:rPr>
          <w:rFonts w:hint="eastAsia" w:ascii="仿宋_GB2312" w:hAnsi="仿宋_GB2312" w:eastAsia="仿宋_GB2312" w:cs="仿宋_GB2312"/>
          <w:sz w:val="32"/>
          <w:szCs w:val="32"/>
        </w:rPr>
        <w:t>0万元。全年按规定更新购置公务用车0辆，其中：轿车0辆、金额0万元，越野车0辆、金额0万元，载客汽车0辆、金额0万元。截至2020年12月底，单位共有公务用车0辆，其中：轿车0辆、越野车0辆、载客汽车0辆。</w:t>
      </w:r>
    </w:p>
    <w:p>
      <w:pPr>
        <w:pStyle w:val="2"/>
        <w:spacing w:beforeLines="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公务用车运行维护费支出</w:t>
      </w:r>
      <w:r>
        <w:rPr>
          <w:rFonts w:hint="eastAsia" w:ascii="仿宋_GB2312" w:hAnsi="仿宋_GB2312" w:eastAsia="仿宋_GB2312" w:cs="仿宋_GB2312"/>
          <w:sz w:val="32"/>
          <w:szCs w:val="32"/>
        </w:rPr>
        <w:t>0万元。</w:t>
      </w:r>
    </w:p>
    <w:p>
      <w:pPr>
        <w:pStyle w:val="2"/>
        <w:spacing w:beforeLines="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3.公务接待费支出</w:t>
      </w:r>
      <w:r>
        <w:rPr>
          <w:rFonts w:hint="eastAsia" w:ascii="仿宋_GB2312" w:hAnsi="仿宋_GB2312" w:eastAsia="仿宋_GB2312" w:cs="仿宋_GB2312"/>
          <w:sz w:val="32"/>
          <w:szCs w:val="32"/>
        </w:rPr>
        <w:t>0万元，</w:t>
      </w:r>
      <w:r>
        <w:rPr>
          <w:rFonts w:hint="eastAsia" w:ascii="仿宋_GB2312" w:hAnsi="仿宋_GB2312" w:eastAsia="仿宋_GB2312" w:cs="仿宋_GB2312"/>
        </w:rPr>
        <w:t>完成预算</w:t>
      </w:r>
      <w:r>
        <w:rPr>
          <w:rFonts w:hint="eastAsia" w:ascii="仿宋_GB2312" w:hAnsi="仿宋_GB2312" w:eastAsia="仿宋_GB2312" w:cs="仿宋_GB2312"/>
          <w:lang w:val="en-US" w:eastAsia="zh-CN"/>
        </w:rPr>
        <w:t>10</w:t>
      </w:r>
      <w:r>
        <w:rPr>
          <w:rFonts w:hint="eastAsia" w:ascii="仿宋_GB2312" w:hAnsi="仿宋_GB2312" w:eastAsia="仿宋_GB2312" w:cs="仿宋_GB2312"/>
        </w:rPr>
        <w:t>0%。</w:t>
      </w:r>
      <w:r>
        <w:rPr>
          <w:rFonts w:hint="eastAsia" w:ascii="仿宋_GB2312" w:hAnsi="仿宋_GB2312" w:eastAsia="仿宋_GB2312" w:cs="仿宋_GB2312"/>
          <w:sz w:val="32"/>
          <w:szCs w:val="32"/>
        </w:rPr>
        <w:t>公务接待费支出决算比2019年减少0.03万元，下降100%。主要原因是2020年度受疫情影响，尽可能减少或避免接待活动。其中：</w:t>
      </w:r>
    </w:p>
    <w:p>
      <w:pPr>
        <w:pStyle w:val="2"/>
        <w:spacing w:beforeLines="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国内公务接待支出</w:t>
      </w:r>
      <w:r>
        <w:rPr>
          <w:rFonts w:hint="eastAsia" w:ascii="仿宋_GB2312" w:hAnsi="仿宋_GB2312" w:eastAsia="仿宋_GB2312" w:cs="仿宋_GB2312"/>
          <w:sz w:val="32"/>
          <w:szCs w:val="32"/>
        </w:rPr>
        <w:t>0万元。国内公务接待0批次，0人次（不包括陪同人员），共计支出0万元。</w:t>
      </w:r>
    </w:p>
    <w:p>
      <w:pPr>
        <w:pStyle w:val="2"/>
        <w:spacing w:beforeLines="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外事接待支出</w:t>
      </w:r>
      <w:r>
        <w:rPr>
          <w:rFonts w:hint="eastAsia" w:ascii="仿宋_GB2312" w:hAnsi="仿宋_GB2312" w:eastAsia="仿宋_GB2312" w:cs="仿宋_GB2312"/>
          <w:sz w:val="32"/>
          <w:szCs w:val="32"/>
        </w:rPr>
        <w:t>0万元，外事接待0批次，0人，共计支出0万元。</w:t>
      </w:r>
      <w:bookmarkStart w:id="66" w:name="_Toc15377218"/>
      <w:bookmarkStart w:id="67" w:name="_Toc15396610"/>
    </w:p>
    <w:p>
      <w:pPr>
        <w:pStyle w:val="4"/>
        <w:spacing w:before="0" w:after="0" w:line="600" w:lineRule="exact"/>
        <w:ind w:firstLine="640"/>
      </w:pPr>
      <w:bookmarkStart w:id="68" w:name="_Toc7735"/>
      <w:r>
        <w:rPr>
          <w:rFonts w:hint="eastAsia"/>
        </w:rPr>
        <w:t>八、政府性基金预算支出决算情况说明</w:t>
      </w:r>
      <w:bookmarkEnd w:id="66"/>
      <w:bookmarkEnd w:id="67"/>
      <w:bookmarkEnd w:id="68"/>
    </w:p>
    <w:p>
      <w:pPr>
        <w:pStyle w:val="2"/>
        <w:spacing w:before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2020年政府性基金预算财政拨款支出0万元。</w:t>
      </w:r>
    </w:p>
    <w:p>
      <w:pPr>
        <w:pStyle w:val="4"/>
        <w:spacing w:before="0" w:after="0" w:line="600" w:lineRule="exact"/>
        <w:ind w:firstLine="640"/>
      </w:pPr>
      <w:bookmarkStart w:id="69" w:name="_Toc15396611"/>
      <w:bookmarkStart w:id="70" w:name="_Toc15377219"/>
      <w:bookmarkStart w:id="71" w:name="_Toc4689"/>
      <w:r>
        <w:rPr>
          <w:rFonts w:hint="eastAsia"/>
        </w:rPr>
        <w:t>九、国有资本经营预算支出决算情况说明</w:t>
      </w:r>
      <w:bookmarkEnd w:id="69"/>
      <w:bookmarkEnd w:id="70"/>
      <w:bookmarkEnd w:id="71"/>
    </w:p>
    <w:p>
      <w:pPr>
        <w:pStyle w:val="2"/>
        <w:spacing w:before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2020年国有资本经营预算财政拨款支出0万元。</w:t>
      </w:r>
    </w:p>
    <w:p>
      <w:pPr>
        <w:pStyle w:val="4"/>
        <w:spacing w:before="0" w:after="0" w:line="600" w:lineRule="exact"/>
        <w:ind w:firstLine="640"/>
      </w:pPr>
      <w:bookmarkStart w:id="72" w:name="_Toc15396612"/>
      <w:bookmarkStart w:id="73" w:name="_Toc15377221"/>
      <w:bookmarkStart w:id="74" w:name="_Toc6878"/>
      <w:r>
        <w:rPr>
          <w:rFonts w:hint="eastAsia"/>
        </w:rPr>
        <w:t>十、其他重要事项的情况说明</w:t>
      </w:r>
      <w:bookmarkEnd w:id="72"/>
      <w:bookmarkEnd w:id="73"/>
      <w:bookmarkEnd w:id="74"/>
    </w:p>
    <w:p>
      <w:pPr>
        <w:pStyle w:val="2"/>
        <w:spacing w:beforeLines="0" w:line="600" w:lineRule="exact"/>
        <w:ind w:firstLine="643" w:firstLineChars="200"/>
        <w:rPr>
          <w:rFonts w:hint="eastAsia" w:ascii="楷体_GB2312" w:hAnsi="楷体_GB2312" w:eastAsia="楷体_GB2312" w:cs="楷体_GB2312"/>
          <w:b/>
          <w:sz w:val="32"/>
          <w:szCs w:val="32"/>
        </w:rPr>
      </w:pPr>
      <w:bookmarkStart w:id="75" w:name="_Toc15377222"/>
      <w:bookmarkStart w:id="76" w:name="_Toc80874596"/>
      <w:r>
        <w:rPr>
          <w:rFonts w:hint="eastAsia" w:ascii="楷体_GB2312" w:hAnsi="楷体_GB2312" w:eastAsia="楷体_GB2312" w:cs="楷体_GB2312"/>
          <w:b/>
          <w:sz w:val="32"/>
          <w:szCs w:val="32"/>
        </w:rPr>
        <w:t>（一）机关运行经费支出情况</w:t>
      </w:r>
      <w:bookmarkEnd w:id="75"/>
      <w:bookmarkEnd w:id="76"/>
    </w:p>
    <w:p>
      <w:pPr>
        <w:pStyle w:val="2"/>
        <w:spacing w:before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四川省国际经济贸易研究所为事业单位，无机关运行费。</w:t>
      </w:r>
    </w:p>
    <w:p>
      <w:pPr>
        <w:pStyle w:val="2"/>
        <w:spacing w:beforeLines="0" w:line="600" w:lineRule="exact"/>
        <w:ind w:firstLine="643" w:firstLineChars="200"/>
        <w:rPr>
          <w:rFonts w:hint="eastAsia" w:ascii="楷体_GB2312" w:hAnsi="楷体_GB2312" w:eastAsia="楷体_GB2312" w:cs="楷体_GB2312"/>
          <w:b/>
          <w:sz w:val="32"/>
          <w:szCs w:val="32"/>
        </w:rPr>
      </w:pPr>
      <w:bookmarkStart w:id="77" w:name="_Toc80874597"/>
      <w:bookmarkStart w:id="78" w:name="_Toc15377223"/>
      <w:r>
        <w:rPr>
          <w:rFonts w:hint="eastAsia" w:ascii="楷体_GB2312" w:hAnsi="楷体_GB2312" w:eastAsia="楷体_GB2312" w:cs="楷体_GB2312"/>
          <w:b/>
          <w:sz w:val="32"/>
          <w:szCs w:val="32"/>
        </w:rPr>
        <w:t>（二）政府采购支出情况</w:t>
      </w:r>
      <w:bookmarkEnd w:id="77"/>
      <w:bookmarkEnd w:id="78"/>
    </w:p>
    <w:p>
      <w:pPr>
        <w:pStyle w:val="2"/>
        <w:spacing w:before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pStyle w:val="2"/>
        <w:spacing w:beforeLines="0" w:line="600" w:lineRule="exact"/>
        <w:ind w:firstLine="643" w:firstLineChars="200"/>
        <w:rPr>
          <w:rFonts w:hint="eastAsia" w:ascii="楷体_GB2312" w:hAnsi="楷体_GB2312" w:eastAsia="楷体_GB2312" w:cs="楷体_GB2312"/>
          <w:b/>
          <w:sz w:val="32"/>
          <w:szCs w:val="32"/>
        </w:rPr>
      </w:pPr>
      <w:bookmarkStart w:id="79" w:name="_Toc80874598"/>
      <w:bookmarkStart w:id="80" w:name="_Toc15377224"/>
      <w:r>
        <w:rPr>
          <w:rFonts w:hint="eastAsia" w:ascii="楷体_GB2312" w:hAnsi="楷体_GB2312" w:eastAsia="楷体_GB2312" w:cs="楷体_GB2312"/>
          <w:b/>
          <w:sz w:val="32"/>
          <w:szCs w:val="32"/>
        </w:rPr>
        <w:t>（三）国有资产占有使用情况</w:t>
      </w:r>
      <w:bookmarkEnd w:id="79"/>
      <w:bookmarkEnd w:id="80"/>
    </w:p>
    <w:p>
      <w:pPr>
        <w:pStyle w:val="2"/>
        <w:spacing w:before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截至2020年12月31日，共有车辆0辆，其中：主要领导干部用车0辆、机要通信用车0辆、应急保障用车0辆、其他用车0辆。单价50万元以上通用设备0台（套），单价100万元以上专用设备0台（套）。</w:t>
      </w:r>
    </w:p>
    <w:p>
      <w:pPr>
        <w:pStyle w:val="2"/>
        <w:spacing w:beforeLines="0" w:line="600" w:lineRule="exact"/>
        <w:ind w:firstLine="643" w:firstLineChars="200"/>
        <w:rPr>
          <w:rFonts w:hint="eastAsia" w:ascii="楷体_GB2312" w:hAnsi="楷体_GB2312" w:eastAsia="楷体_GB2312" w:cs="楷体_GB2312"/>
          <w:b/>
          <w:sz w:val="32"/>
          <w:szCs w:val="32"/>
        </w:rPr>
      </w:pPr>
      <w:bookmarkStart w:id="81" w:name="_Toc80874599"/>
      <w:r>
        <w:rPr>
          <w:rFonts w:hint="eastAsia" w:ascii="楷体_GB2312" w:hAnsi="楷体_GB2312" w:eastAsia="楷体_GB2312" w:cs="楷体_GB2312"/>
          <w:b/>
          <w:sz w:val="32"/>
          <w:szCs w:val="32"/>
        </w:rPr>
        <w:t>（四）预算绩效管理情况</w:t>
      </w:r>
      <w:bookmarkEnd w:id="81"/>
    </w:p>
    <w:p>
      <w:pPr>
        <w:pStyle w:val="2"/>
        <w:spacing w:before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2020年度预算编制阶段，组织对项目支出开展了预算事前绩效评估，对8个项目编制了绩效目标，预算执行过程中，选取5个项目开展绩效监控，年终执行完毕后，对5个项目开展了绩效目标完成情况自评。</w:t>
      </w:r>
    </w:p>
    <w:p>
      <w:pPr>
        <w:pStyle w:val="2"/>
        <w:spacing w:before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按要求对2020年整体支出开展绩效自评，从评价情况来看我所严格按照政策和社会发展要求制定目标任务，将工作任务分工落实到每一项细则上，进行细化、量化，制定目标任务时，总结历史经验，结合当年实际，进行科学论证，保障目标任务按质按量完成。</w:t>
      </w:r>
    </w:p>
    <w:p>
      <w:pPr>
        <w:pStyle w:val="2"/>
        <w:spacing w:before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我所按照国家行政事业单位相关支出标准，结合当年制定的工作任务，合理安排基本支出与项目支出，及时上报预算结果，根据上级主管单位的相关要求合理调整，及时报送，保证预算数据的可执行性。</w:t>
      </w:r>
    </w:p>
    <w:p>
      <w:pPr>
        <w:pStyle w:val="2"/>
        <w:spacing w:before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所在制定预算时已将全年可能发生的工作安排及变动考虑在内，年中时，对已执行预算进行总结，对未执行预算再次核实，若有突发事件或未预测到事件，根据相关变化，及时进行中期调整，提交主管部门审核。</w:t>
      </w:r>
    </w:p>
    <w:p>
      <w:pPr>
        <w:pStyle w:val="2"/>
        <w:spacing w:before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除差旅费、物业管理费、水费因疫情及办公地变动影响执行进度不如预期外，其余指标全年预算执行情况较好。全年总收入2302674.72元，总支出2302574.72元，做到了收支平衡。</w:t>
      </w:r>
    </w:p>
    <w:p>
      <w:pPr>
        <w:pStyle w:val="2"/>
        <w:spacing w:beforeLines="0" w:line="60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1.项目绩效目标完成情况</w:t>
      </w:r>
    </w:p>
    <w:p>
      <w:pPr>
        <w:pStyle w:val="2"/>
        <w:spacing w:before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本单位在2020年度部门决算中反映“公务接待费””其他交通费用”“业务经费”等5个项目绩效目标实际完成情况。</w:t>
      </w:r>
    </w:p>
    <w:p>
      <w:pPr>
        <w:pStyle w:val="2"/>
        <w:spacing w:before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（1）公务接待费项目绩效目标完成情况综述。项目全年预算数0.3万元，执行数为0万元，完成预算的0%。受疫情影响，本年度未安排公务接待活动。</w:t>
      </w:r>
    </w:p>
    <w:p>
      <w:pPr>
        <w:pStyle w:val="2"/>
        <w:spacing w:before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其他交通费用项目绩效目标完成情况综述。项目全年预算数4万元，执行数为3.71万元，完成预算的92.75%。通过项目实施，保障了单位调研工作的正常进行，发现的主要问题：在交通费用的报销过程中存在票据不合规的情况。下一步改进措施：加强对单位人员交通费报销流程及手续的培训。</w:t>
      </w:r>
    </w:p>
    <w:p>
      <w:pPr>
        <w:pStyle w:val="2"/>
        <w:spacing w:before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业务经费项目绩效目标完成情况综述。项目全年预算数10.53万元，执行数为10.46万元，完成预算的99.34%。通过项目实施，提高了单位调研工作成效，发现的主要问题：业务经费的各项开支没有归集到具体的科目进行核算，不利于日后核查。下一步改进措施：将业务经费的各项开支归集到具体的科目，以便日后核查。</w:t>
      </w:r>
    </w:p>
    <w:p>
      <w:pPr>
        <w:pStyle w:val="2"/>
        <w:spacing w:before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租赁费项目绩效目标完成情况综述。项目全年预算数13万元，执行数为12.08万元，完成预算的92.92%。通过项目实施，为单位工作提供了后勤保障，发现的主要问题：该合同业务标的过高，加重了单位的成本开支。下一步改进措施：积极联系其他出租方，尽可能降低租赁费支出。</w:t>
      </w:r>
    </w:p>
    <w:p>
      <w:pPr>
        <w:pStyle w:val="2"/>
        <w:spacing w:before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物业管理费项目绩效目标完成情况综述。项目全年预算数10万元，执行数为5.81万元，完成预算的58.1%。通过项目实施，为单位工作提供了后勤保障，发现的主要问题：因办公地址搬迁，原办公地址的物管费暂定支付，造成本项目的执行进度缓慢。下一步改进措施：以新办公地址的实际物管费为基础来编制来年的预算。</w:t>
      </w:r>
    </w:p>
    <w:p>
      <w:pPr>
        <w:pStyle w:val="2"/>
        <w:spacing w:before="93"/>
        <w:ind w:firstLine="600"/>
        <w:rPr>
          <w:rFonts w:cs="仿宋_GB2312" w:asciiTheme="minorEastAsia" w:hAnsiTheme="minorEastAsia" w:eastAsiaTheme="minorEastAsia"/>
          <w:sz w:val="32"/>
          <w:szCs w:val="32"/>
        </w:rPr>
      </w:pPr>
    </w:p>
    <w:p>
      <w:pPr>
        <w:spacing w:line="580" w:lineRule="exact"/>
        <w:ind w:firstLine="640" w:firstLineChars="200"/>
        <w:rPr>
          <w:rFonts w:cs="仿宋_GB2312" w:asciiTheme="minorEastAsia" w:hAnsiTheme="minorEastAsia" w:eastAsiaTheme="minorEastAsia"/>
          <w:sz w:val="32"/>
          <w:szCs w:val="32"/>
        </w:rPr>
      </w:pPr>
    </w:p>
    <w:p>
      <w:pPr>
        <w:spacing w:line="580" w:lineRule="exact"/>
        <w:ind w:firstLine="640" w:firstLineChars="200"/>
        <w:rPr>
          <w:rFonts w:cs="仿宋_GB2312" w:asciiTheme="minorEastAsia" w:hAnsiTheme="minorEastAsia" w:eastAsiaTheme="minorEastAsia"/>
          <w:sz w:val="32"/>
          <w:szCs w:val="32"/>
        </w:rPr>
      </w:pPr>
    </w:p>
    <w:p>
      <w:pPr>
        <w:spacing w:line="580" w:lineRule="exact"/>
        <w:ind w:firstLine="640" w:firstLineChars="200"/>
        <w:rPr>
          <w:rFonts w:cs="仿宋_GB2312" w:asciiTheme="minorEastAsia" w:hAnsiTheme="minorEastAsia" w:eastAsiaTheme="minorEastAsia"/>
          <w:sz w:val="32"/>
          <w:szCs w:val="32"/>
        </w:rPr>
      </w:pPr>
    </w:p>
    <w:p>
      <w:pPr>
        <w:spacing w:line="580" w:lineRule="exact"/>
        <w:ind w:firstLine="640" w:firstLineChars="200"/>
        <w:rPr>
          <w:rFonts w:cs="仿宋_GB2312" w:asciiTheme="minorEastAsia" w:hAnsiTheme="minorEastAsia" w:eastAsiaTheme="minorEastAsia"/>
          <w:sz w:val="32"/>
          <w:szCs w:val="32"/>
        </w:rPr>
      </w:pPr>
    </w:p>
    <w:p>
      <w:pPr>
        <w:spacing w:line="580" w:lineRule="exact"/>
        <w:ind w:firstLine="640" w:firstLineChars="200"/>
        <w:rPr>
          <w:rFonts w:cs="仿宋_GB2312" w:asciiTheme="minorEastAsia" w:hAnsiTheme="minorEastAsia" w:eastAsiaTheme="minorEastAsia"/>
          <w:sz w:val="32"/>
          <w:szCs w:val="32"/>
        </w:rPr>
      </w:pPr>
    </w:p>
    <w:p>
      <w:pPr>
        <w:spacing w:line="580" w:lineRule="exact"/>
        <w:ind w:firstLine="640" w:firstLineChars="200"/>
        <w:rPr>
          <w:rFonts w:cs="仿宋_GB2312" w:asciiTheme="minorEastAsia" w:hAnsiTheme="minorEastAsia" w:eastAsiaTheme="minorEastAsia"/>
          <w:sz w:val="32"/>
          <w:szCs w:val="32"/>
        </w:rPr>
      </w:pPr>
    </w:p>
    <w:p>
      <w:pPr>
        <w:pStyle w:val="2"/>
        <w:spacing w:before="93"/>
        <w:rPr>
          <w:rFonts w:asciiTheme="minorEastAsia" w:hAnsiTheme="minorEastAsia" w:eastAsiaTheme="minorEastAsia"/>
          <w:sz w:val="32"/>
          <w:szCs w:val="32"/>
        </w:rPr>
      </w:pPr>
    </w:p>
    <w:p>
      <w:pPr>
        <w:pStyle w:val="2"/>
        <w:spacing w:before="93"/>
        <w:rPr>
          <w:rFonts w:asciiTheme="minorEastAsia" w:hAnsiTheme="minorEastAsia" w:eastAsiaTheme="minorEastAsia"/>
          <w:sz w:val="32"/>
          <w:szCs w:val="32"/>
        </w:rPr>
      </w:pPr>
    </w:p>
    <w:p>
      <w:pPr>
        <w:pStyle w:val="2"/>
        <w:spacing w:before="93"/>
        <w:rPr>
          <w:rFonts w:asciiTheme="minorEastAsia" w:hAnsiTheme="minorEastAsia" w:eastAsiaTheme="minorEastAsia"/>
          <w:sz w:val="32"/>
          <w:szCs w:val="32"/>
        </w:rPr>
      </w:pPr>
    </w:p>
    <w:p>
      <w:pPr>
        <w:pStyle w:val="2"/>
        <w:spacing w:before="93"/>
        <w:rPr>
          <w:rFonts w:asciiTheme="minorEastAsia" w:hAnsiTheme="minorEastAsia" w:eastAsiaTheme="minorEastAsia"/>
          <w:sz w:val="32"/>
          <w:szCs w:val="32"/>
        </w:rPr>
      </w:pPr>
    </w:p>
    <w:p>
      <w:pPr>
        <w:pStyle w:val="2"/>
        <w:spacing w:before="93"/>
        <w:rPr>
          <w:rFonts w:asciiTheme="minorEastAsia" w:hAnsiTheme="minorEastAsia" w:eastAsiaTheme="minorEastAsia"/>
          <w:sz w:val="32"/>
          <w:szCs w:val="32"/>
        </w:rPr>
      </w:pPr>
    </w:p>
    <w:p>
      <w:pPr>
        <w:pStyle w:val="2"/>
        <w:spacing w:before="93"/>
        <w:rPr>
          <w:rFonts w:asciiTheme="minorEastAsia" w:hAnsiTheme="minorEastAsia" w:eastAsiaTheme="minorEastAsia"/>
          <w:sz w:val="32"/>
          <w:szCs w:val="32"/>
        </w:rPr>
      </w:pPr>
    </w:p>
    <w:p>
      <w:pPr>
        <w:pStyle w:val="2"/>
        <w:spacing w:before="93"/>
        <w:rPr>
          <w:rFonts w:asciiTheme="minorEastAsia" w:hAnsiTheme="minorEastAsia" w:eastAsiaTheme="minorEastAsia"/>
          <w:sz w:val="32"/>
          <w:szCs w:val="32"/>
        </w:rPr>
      </w:pPr>
    </w:p>
    <w:p>
      <w:pPr>
        <w:pStyle w:val="2"/>
        <w:spacing w:before="93"/>
        <w:rPr>
          <w:rFonts w:asciiTheme="minorEastAsia" w:hAnsiTheme="minorEastAsia" w:eastAsiaTheme="minorEastAsia"/>
          <w:sz w:val="32"/>
          <w:szCs w:val="32"/>
        </w:rPr>
      </w:pP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530"/>
        <w:gridCol w:w="122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eastAsia="宋体" w:cs="宋体"/>
                <w:b/>
                <w:bCs/>
                <w:kern w:val="0"/>
                <w:sz w:val="36"/>
                <w:szCs w:val="36"/>
                <w:lang w:eastAsia="zh-CN"/>
              </w:rPr>
            </w:pPr>
            <w:r>
              <w:rPr>
                <w:rFonts w:hint="eastAsia" w:ascii="宋体" w:hAnsi="宋体" w:cs="宋体"/>
                <w:b/>
                <w:bCs/>
                <w:kern w:val="0"/>
                <w:sz w:val="36"/>
                <w:szCs w:val="36"/>
              </w:rPr>
              <w:t>项目绩效目标完成情况表</w:t>
            </w:r>
          </w:p>
          <w:p>
            <w:pPr>
              <w:widowControl/>
              <w:jc w:val="center"/>
              <w:textAlignment w:val="center"/>
              <w:rPr>
                <w:rFonts w:cs="宋体" w:asciiTheme="minorEastAsia" w:hAnsiTheme="minorEastAsia" w:eastAsiaTheme="minorEastAsia"/>
                <w:sz w:val="24"/>
                <w:szCs w:val="30"/>
              </w:rPr>
            </w:pPr>
            <w:r>
              <w:rPr>
                <w:rFonts w:hint="eastAsia" w:ascii="宋体" w:hAnsi="宋体" w:cs="宋体"/>
                <w:kern w:val="0"/>
                <w:sz w:val="36"/>
                <w:szCs w:val="36"/>
              </w:rPr>
              <w:t>(2020年度)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0"/>
              </w:rPr>
            </w:pPr>
            <w:r>
              <w:rPr>
                <w:rFonts w:hint="eastAsia" w:ascii="宋体" w:hAnsi="宋体" w:cs="宋体"/>
                <w:kern w:val="0"/>
                <w:sz w:val="24"/>
                <w:szCs w:val="30"/>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0"/>
              </w:rPr>
            </w:pPr>
            <w:r>
              <w:rPr>
                <w:rFonts w:hint="eastAsia" w:ascii="宋体" w:hAnsi="宋体" w:cs="宋体"/>
                <w:sz w:val="24"/>
                <w:szCs w:val="30"/>
              </w:rPr>
              <w:t>公务接待</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0"/>
              </w:rPr>
            </w:pPr>
            <w:r>
              <w:rPr>
                <w:rFonts w:hint="eastAsia" w:ascii="宋体" w:hAnsi="宋体" w:cs="宋体"/>
                <w:kern w:val="0"/>
                <w:sz w:val="24"/>
                <w:szCs w:val="30"/>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0"/>
              </w:rPr>
            </w:pPr>
            <w:r>
              <w:rPr>
                <w:rFonts w:hint="eastAsia" w:ascii="宋体" w:hAnsi="宋体" w:cs="宋体"/>
                <w:sz w:val="24"/>
                <w:szCs w:val="30"/>
              </w:rPr>
              <w:t>四川省国际经济贸易研究所</w:t>
            </w:r>
          </w:p>
        </w:tc>
      </w:tr>
      <w:tr>
        <w:tblPrEx>
          <w:tblCellMar>
            <w:top w:w="0" w:type="dxa"/>
            <w:left w:w="0" w:type="dxa"/>
            <w:bottom w:w="0" w:type="dxa"/>
            <w:right w:w="0" w:type="dxa"/>
          </w:tblCellMar>
        </w:tblPrEx>
        <w:trPr>
          <w:trHeight w:val="276" w:hRule="atLeast"/>
          <w:jc w:val="center"/>
        </w:trPr>
        <w:tc>
          <w:tcPr>
            <w:tcW w:w="53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0"/>
              </w:rPr>
            </w:pPr>
            <w:r>
              <w:rPr>
                <w:rFonts w:hint="eastAsia" w:ascii="宋体" w:hAnsi="宋体" w:cs="宋体"/>
                <w:kern w:val="0"/>
                <w:sz w:val="24"/>
                <w:szCs w:val="30"/>
              </w:rPr>
              <w:t>预算执行情况(万元)</w:t>
            </w:r>
          </w:p>
        </w:tc>
        <w:tc>
          <w:tcPr>
            <w:tcW w:w="225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0"/>
              </w:rPr>
            </w:pPr>
            <w:r>
              <w:rPr>
                <w:rFonts w:hint="eastAsia" w:ascii="宋体" w:hAnsi="宋体" w:cs="宋体"/>
                <w:kern w:val="0"/>
                <w:sz w:val="24"/>
                <w:szCs w:val="30"/>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0"/>
              </w:rPr>
            </w:pPr>
            <w:r>
              <w:rPr>
                <w:rFonts w:hint="eastAsia" w:ascii="宋体" w:hAnsi="宋体" w:cs="宋体"/>
                <w:sz w:val="24"/>
                <w:szCs w:val="30"/>
              </w:rPr>
              <w:t>0.3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0"/>
              </w:rPr>
            </w:pPr>
            <w:r>
              <w:rPr>
                <w:rFonts w:hint="eastAsia" w:ascii="宋体" w:hAnsi="宋体" w:cs="宋体"/>
                <w:kern w:val="0"/>
                <w:sz w:val="24"/>
                <w:szCs w:val="30"/>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0"/>
              </w:rPr>
            </w:pPr>
            <w:r>
              <w:rPr>
                <w:rFonts w:hint="eastAsia" w:ascii="宋体" w:hAnsi="宋体" w:cs="宋体"/>
                <w:sz w:val="24"/>
                <w:szCs w:val="30"/>
              </w:rPr>
              <w:t>0</w:t>
            </w:r>
          </w:p>
        </w:tc>
      </w:tr>
      <w:tr>
        <w:tblPrEx>
          <w:tblCellMar>
            <w:top w:w="0" w:type="dxa"/>
            <w:left w:w="0" w:type="dxa"/>
            <w:bottom w:w="0" w:type="dxa"/>
            <w:right w:w="0" w:type="dxa"/>
          </w:tblCellMar>
        </w:tblPrEx>
        <w:trPr>
          <w:trHeight w:val="276" w:hRule="atLeast"/>
          <w:jc w:val="center"/>
        </w:trPr>
        <w:tc>
          <w:tcPr>
            <w:tcW w:w="5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szCs w:val="30"/>
              </w:rPr>
            </w:pPr>
          </w:p>
        </w:tc>
        <w:tc>
          <w:tcPr>
            <w:tcW w:w="225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0"/>
              </w:rPr>
            </w:pPr>
            <w:r>
              <w:rPr>
                <w:rFonts w:hint="eastAsia" w:ascii="宋体" w:hAnsi="宋体" w:cs="宋体"/>
                <w:kern w:val="0"/>
                <w:sz w:val="24"/>
                <w:szCs w:val="30"/>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0"/>
              </w:rPr>
            </w:pPr>
            <w:r>
              <w:rPr>
                <w:rFonts w:hint="eastAsia" w:ascii="宋体" w:hAnsi="宋体" w:cs="宋体"/>
                <w:sz w:val="24"/>
                <w:szCs w:val="30"/>
              </w:rPr>
              <w:t>0.3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0"/>
              </w:rPr>
            </w:pPr>
            <w:r>
              <w:rPr>
                <w:rFonts w:hint="eastAsia" w:ascii="宋体" w:hAnsi="宋体" w:cs="宋体"/>
                <w:kern w:val="0"/>
                <w:sz w:val="24"/>
                <w:szCs w:val="30"/>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0"/>
              </w:rPr>
            </w:pPr>
            <w:r>
              <w:rPr>
                <w:rFonts w:hint="eastAsia" w:ascii="宋体" w:hAnsi="宋体" w:cs="宋体"/>
                <w:sz w:val="24"/>
                <w:szCs w:val="30"/>
              </w:rPr>
              <w:t>0</w:t>
            </w:r>
          </w:p>
        </w:tc>
      </w:tr>
      <w:tr>
        <w:tblPrEx>
          <w:tblCellMar>
            <w:top w:w="0" w:type="dxa"/>
            <w:left w:w="0" w:type="dxa"/>
            <w:bottom w:w="0" w:type="dxa"/>
            <w:right w:w="0" w:type="dxa"/>
          </w:tblCellMar>
        </w:tblPrEx>
        <w:trPr>
          <w:trHeight w:val="1511" w:hRule="atLeast"/>
          <w:jc w:val="center"/>
        </w:trPr>
        <w:tc>
          <w:tcPr>
            <w:tcW w:w="5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szCs w:val="30"/>
              </w:rPr>
            </w:pPr>
          </w:p>
        </w:tc>
        <w:tc>
          <w:tcPr>
            <w:tcW w:w="225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0"/>
              </w:rPr>
            </w:pPr>
            <w:r>
              <w:rPr>
                <w:rFonts w:hint="eastAsia" w:ascii="宋体" w:hAnsi="宋体" w:cs="宋体"/>
                <w:kern w:val="0"/>
                <w:sz w:val="24"/>
                <w:szCs w:val="30"/>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0"/>
              </w:rPr>
            </w:pPr>
            <w:r>
              <w:rPr>
                <w:rFonts w:hint="eastAsia" w:ascii="宋体" w:hAnsi="宋体" w:cs="宋体"/>
                <w:sz w:val="24"/>
                <w:szCs w:val="30"/>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0"/>
              </w:rPr>
            </w:pPr>
            <w:r>
              <w:rPr>
                <w:rFonts w:hint="eastAsia" w:ascii="宋体" w:hAnsi="宋体" w:cs="宋体"/>
                <w:kern w:val="0"/>
                <w:sz w:val="24"/>
                <w:szCs w:val="30"/>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szCs w:val="30"/>
              </w:rPr>
            </w:pPr>
            <w:r>
              <w:rPr>
                <w:rFonts w:hint="eastAsia" w:ascii="宋体" w:hAnsi="宋体" w:cs="宋体"/>
                <w:sz w:val="24"/>
                <w:szCs w:val="30"/>
              </w:rPr>
              <w:t>0</w:t>
            </w:r>
          </w:p>
        </w:tc>
      </w:tr>
      <w:tr>
        <w:tblPrEx>
          <w:tblCellMar>
            <w:top w:w="0" w:type="dxa"/>
            <w:left w:w="0" w:type="dxa"/>
            <w:bottom w:w="0" w:type="dxa"/>
            <w:right w:w="0" w:type="dxa"/>
          </w:tblCellMar>
        </w:tblPrEx>
        <w:trPr>
          <w:trHeight w:val="276" w:hRule="atLeast"/>
          <w:jc w:val="center"/>
        </w:trPr>
        <w:tc>
          <w:tcPr>
            <w:tcW w:w="53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0"/>
              </w:rPr>
            </w:pPr>
            <w:r>
              <w:rPr>
                <w:rFonts w:hint="eastAsia" w:ascii="宋体" w:hAnsi="宋体" w:cs="宋体"/>
                <w:kern w:val="0"/>
                <w:sz w:val="24"/>
                <w:szCs w:val="30"/>
              </w:rPr>
              <w:t>年度目标完成情况</w:t>
            </w:r>
          </w:p>
        </w:tc>
        <w:tc>
          <w:tcPr>
            <w:tcW w:w="46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0"/>
              </w:rPr>
            </w:pPr>
            <w:r>
              <w:rPr>
                <w:rFonts w:hint="eastAsia" w:ascii="宋体" w:hAnsi="宋体" w:cs="宋体"/>
                <w:kern w:val="0"/>
                <w:sz w:val="24"/>
                <w:szCs w:val="30"/>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0"/>
              </w:rPr>
            </w:pPr>
            <w:r>
              <w:rPr>
                <w:rFonts w:hint="eastAsia" w:ascii="宋体" w:hAnsi="宋体" w:cs="宋体"/>
                <w:kern w:val="0"/>
                <w:sz w:val="24"/>
                <w:szCs w:val="30"/>
              </w:rPr>
              <w:t>实际完成目标</w:t>
            </w:r>
          </w:p>
        </w:tc>
      </w:tr>
      <w:tr>
        <w:tblPrEx>
          <w:tblCellMar>
            <w:top w:w="0" w:type="dxa"/>
            <w:left w:w="0" w:type="dxa"/>
            <w:bottom w:w="0" w:type="dxa"/>
            <w:right w:w="0" w:type="dxa"/>
          </w:tblCellMar>
        </w:tblPrEx>
        <w:trPr>
          <w:trHeight w:val="1159" w:hRule="atLeast"/>
          <w:jc w:val="center"/>
        </w:trPr>
        <w:tc>
          <w:tcPr>
            <w:tcW w:w="5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szCs w:val="30"/>
              </w:rPr>
            </w:pPr>
          </w:p>
        </w:tc>
        <w:tc>
          <w:tcPr>
            <w:tcW w:w="46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0"/>
              </w:rPr>
            </w:pPr>
            <w:r>
              <w:rPr>
                <w:rFonts w:hint="eastAsia" w:ascii="宋体" w:hAnsi="宋体" w:cs="宋体"/>
                <w:sz w:val="24"/>
                <w:szCs w:val="30"/>
              </w:rPr>
              <w:t>完成2020年的公务接待活动</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0"/>
              </w:rPr>
            </w:pPr>
            <w:r>
              <w:rPr>
                <w:rFonts w:hint="eastAsia" w:ascii="宋体" w:hAnsi="宋体" w:cs="宋体"/>
                <w:sz w:val="24"/>
                <w:szCs w:val="30"/>
              </w:rPr>
              <w:t>2020年因疫情原因，无公务接待事项</w:t>
            </w:r>
          </w:p>
        </w:tc>
      </w:tr>
      <w:tr>
        <w:tblPrEx>
          <w:tblCellMar>
            <w:top w:w="0" w:type="dxa"/>
            <w:left w:w="0" w:type="dxa"/>
            <w:bottom w:w="0" w:type="dxa"/>
            <w:right w:w="0" w:type="dxa"/>
          </w:tblCellMar>
        </w:tblPrEx>
        <w:trPr>
          <w:trHeight w:val="1042" w:hRule="atLeast"/>
          <w:jc w:val="center"/>
        </w:trPr>
        <w:tc>
          <w:tcPr>
            <w:tcW w:w="53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0"/>
              </w:rPr>
            </w:pPr>
            <w:r>
              <w:rPr>
                <w:rFonts w:hint="eastAsia" w:ascii="宋体" w:hAnsi="宋体" w:cs="宋体"/>
                <w:sz w:val="24"/>
                <w:szCs w:val="30"/>
              </w:rPr>
              <w:t>绩效指标完成情况</w:t>
            </w:r>
          </w:p>
        </w:tc>
        <w:tc>
          <w:tcPr>
            <w:tcW w:w="12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0"/>
              </w:rPr>
            </w:pPr>
            <w:r>
              <w:rPr>
                <w:rFonts w:hint="eastAsia" w:ascii="宋体" w:hAnsi="宋体" w:cs="宋体"/>
                <w:kern w:val="0"/>
                <w:sz w:val="24"/>
                <w:szCs w:val="30"/>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0"/>
              </w:rPr>
            </w:pPr>
            <w:r>
              <w:rPr>
                <w:rFonts w:hint="eastAsia" w:ascii="宋体" w:hAnsi="宋体" w:cs="宋体"/>
                <w:kern w:val="0"/>
                <w:sz w:val="24"/>
                <w:szCs w:val="30"/>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0"/>
              </w:rPr>
            </w:pPr>
            <w:r>
              <w:rPr>
                <w:rFonts w:hint="eastAsia" w:ascii="宋体" w:hAnsi="宋体" w:cs="宋体"/>
                <w:kern w:val="0"/>
                <w:sz w:val="24"/>
                <w:szCs w:val="30"/>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0"/>
              </w:rPr>
            </w:pPr>
            <w:r>
              <w:rPr>
                <w:rFonts w:hint="eastAsia" w:ascii="宋体" w:hAnsi="宋体" w:cs="宋体"/>
                <w:kern w:val="0"/>
                <w:sz w:val="24"/>
                <w:szCs w:val="30"/>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0"/>
              </w:rPr>
            </w:pPr>
            <w:r>
              <w:rPr>
                <w:rFonts w:hint="eastAsia" w:ascii="宋体" w:hAnsi="宋体" w:cs="宋体"/>
                <w:kern w:val="0"/>
                <w:sz w:val="24"/>
                <w:szCs w:val="30"/>
              </w:rPr>
              <w:t>实际完成指标值(包含数字及文字描述)</w:t>
            </w:r>
          </w:p>
        </w:tc>
      </w:tr>
      <w:tr>
        <w:tblPrEx>
          <w:tblCellMar>
            <w:top w:w="0" w:type="dxa"/>
            <w:left w:w="0" w:type="dxa"/>
            <w:bottom w:w="0" w:type="dxa"/>
            <w:right w:w="0" w:type="dxa"/>
          </w:tblCellMar>
        </w:tblPrEx>
        <w:trPr>
          <w:trHeight w:val="953" w:hRule="atLeast"/>
          <w:jc w:val="center"/>
        </w:trPr>
        <w:tc>
          <w:tcPr>
            <w:tcW w:w="53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0"/>
              </w:rPr>
            </w:pPr>
          </w:p>
        </w:tc>
        <w:tc>
          <w:tcPr>
            <w:tcW w:w="12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0"/>
              </w:rPr>
            </w:pPr>
            <w:r>
              <w:rPr>
                <w:rFonts w:hint="eastAsia" w:ascii="宋体" w:hAnsi="宋体" w:cs="宋体"/>
                <w:kern w:val="0"/>
                <w:sz w:val="24"/>
                <w:szCs w:val="30"/>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0"/>
              </w:rPr>
            </w:pPr>
            <w:r>
              <w:rPr>
                <w:rFonts w:hint="eastAsia" w:ascii="宋体" w:hAnsi="宋体" w:cs="宋体"/>
                <w:sz w:val="24"/>
                <w:szCs w:val="30"/>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0"/>
              </w:rPr>
            </w:pPr>
            <w:r>
              <w:rPr>
                <w:rFonts w:hint="eastAsia" w:ascii="宋体" w:hAnsi="宋体" w:cs="宋体"/>
                <w:sz w:val="24"/>
                <w:szCs w:val="30"/>
              </w:rPr>
              <w:t>开展公务接待次数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0"/>
              </w:rPr>
            </w:pPr>
            <w:r>
              <w:rPr>
                <w:rFonts w:hint="eastAsia" w:ascii="宋体" w:hAnsi="宋体" w:cs="宋体"/>
                <w:sz w:val="24"/>
                <w:szCs w:val="30"/>
              </w:rPr>
              <w:t>≧1（开展1次以上公务接待）</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0"/>
              </w:rPr>
            </w:pPr>
            <w:r>
              <w:rPr>
                <w:rFonts w:hint="eastAsia" w:ascii="宋体" w:hAnsi="宋体" w:cs="宋体"/>
                <w:sz w:val="24"/>
                <w:szCs w:val="30"/>
              </w:rPr>
              <w:t>0（未开展该项活动）</w:t>
            </w:r>
          </w:p>
        </w:tc>
      </w:tr>
    </w:tbl>
    <w:p>
      <w:pPr>
        <w:rPr>
          <w:rFonts w:asciiTheme="minorEastAsia" w:hAnsiTheme="minorEastAsia" w:eastAsiaTheme="minorEastAsia"/>
          <w:sz w:val="32"/>
          <w:szCs w:val="32"/>
        </w:rPr>
      </w:pPr>
    </w:p>
    <w:p>
      <w:pPr>
        <w:pStyle w:val="2"/>
        <w:spacing w:before="93"/>
        <w:rPr>
          <w:rFonts w:asciiTheme="minorEastAsia" w:hAnsiTheme="minorEastAsia" w:eastAsiaTheme="minorEastAsia"/>
          <w:sz w:val="32"/>
          <w:szCs w:val="32"/>
        </w:rPr>
      </w:pPr>
    </w:p>
    <w:p>
      <w:pPr>
        <w:pStyle w:val="2"/>
        <w:spacing w:before="93"/>
        <w:rPr>
          <w:rFonts w:asciiTheme="minorEastAsia" w:hAnsiTheme="minorEastAsia" w:eastAsiaTheme="minorEastAsia"/>
          <w:sz w:val="32"/>
          <w:szCs w:val="32"/>
        </w:rPr>
      </w:pPr>
    </w:p>
    <w:p>
      <w:pPr>
        <w:pStyle w:val="2"/>
        <w:spacing w:before="93"/>
        <w:rPr>
          <w:rFonts w:asciiTheme="minorEastAsia" w:hAnsiTheme="minorEastAsia" w:eastAsiaTheme="minorEastAsia"/>
          <w:sz w:val="32"/>
          <w:szCs w:val="32"/>
        </w:rPr>
      </w:pPr>
    </w:p>
    <w:p>
      <w:pPr>
        <w:pStyle w:val="2"/>
        <w:spacing w:before="93"/>
        <w:rPr>
          <w:rFonts w:asciiTheme="minorEastAsia" w:hAnsiTheme="minorEastAsia" w:eastAsiaTheme="minorEastAsia"/>
          <w:sz w:val="32"/>
          <w:szCs w:val="32"/>
        </w:rPr>
      </w:pPr>
    </w:p>
    <w:p>
      <w:pPr>
        <w:pStyle w:val="2"/>
        <w:spacing w:before="93"/>
        <w:rPr>
          <w:rFonts w:asciiTheme="minorEastAsia" w:hAnsiTheme="minorEastAsia" w:eastAsiaTheme="minorEastAsia"/>
          <w:sz w:val="32"/>
          <w:szCs w:val="32"/>
        </w:rPr>
      </w:pPr>
    </w:p>
    <w:p>
      <w:pPr>
        <w:pStyle w:val="2"/>
        <w:spacing w:before="93"/>
        <w:rPr>
          <w:rFonts w:asciiTheme="minorEastAsia" w:hAnsiTheme="minorEastAsia" w:eastAsiaTheme="minorEastAsia"/>
          <w:sz w:val="32"/>
          <w:szCs w:val="32"/>
        </w:rPr>
      </w:pPr>
    </w:p>
    <w:p>
      <w:pPr>
        <w:pStyle w:val="2"/>
        <w:spacing w:before="93"/>
        <w:rPr>
          <w:rFonts w:asciiTheme="minorEastAsia" w:hAnsiTheme="minorEastAsia" w:eastAsiaTheme="minorEastAsia"/>
          <w:sz w:val="32"/>
          <w:szCs w:val="32"/>
        </w:rPr>
      </w:pP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630"/>
        <w:gridCol w:w="112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eastAsia="宋体" w:cs="宋体"/>
                <w:b/>
                <w:bCs/>
                <w:kern w:val="0"/>
                <w:sz w:val="36"/>
                <w:szCs w:val="36"/>
                <w:lang w:eastAsia="zh-CN"/>
              </w:rPr>
            </w:pPr>
            <w:r>
              <w:rPr>
                <w:rFonts w:hint="eastAsia" w:ascii="宋体" w:hAnsi="宋体" w:cs="宋体"/>
                <w:b/>
                <w:bCs/>
                <w:kern w:val="0"/>
                <w:sz w:val="36"/>
                <w:szCs w:val="36"/>
              </w:rPr>
              <w:t>项目绩效目标完成情况表</w:t>
            </w:r>
          </w:p>
          <w:p>
            <w:pPr>
              <w:widowControl/>
              <w:jc w:val="center"/>
              <w:textAlignment w:val="center"/>
              <w:rPr>
                <w:rFonts w:ascii="宋体" w:hAnsi="宋体" w:cs="宋体"/>
                <w:b/>
                <w:bCs/>
                <w:kern w:val="0"/>
                <w:sz w:val="36"/>
                <w:szCs w:val="36"/>
              </w:rPr>
            </w:pPr>
            <w:r>
              <w:rPr>
                <w:rFonts w:hint="eastAsia" w:ascii="宋体" w:hAnsi="宋体" w:cs="宋体"/>
                <w:bCs/>
                <w:kern w:val="0"/>
                <w:sz w:val="36"/>
                <w:szCs w:val="36"/>
              </w:rPr>
              <w:t>(2020年度)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sz w:val="24"/>
                <w:szCs w:val="32"/>
              </w:rPr>
              <w:t>其他交通费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sz w:val="24"/>
                <w:szCs w:val="32"/>
              </w:rPr>
              <w:t>四川省国际经济贸易研究所</w:t>
            </w:r>
          </w:p>
        </w:tc>
      </w:tr>
      <w:tr>
        <w:tblPrEx>
          <w:tblCellMar>
            <w:top w:w="0" w:type="dxa"/>
            <w:left w:w="0" w:type="dxa"/>
            <w:bottom w:w="0" w:type="dxa"/>
            <w:right w:w="0" w:type="dxa"/>
          </w:tblCellMar>
        </w:tblPrEx>
        <w:trPr>
          <w:trHeight w:val="276"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预算执行情况(万元)</w:t>
            </w:r>
          </w:p>
        </w:tc>
        <w:tc>
          <w:tcPr>
            <w:tcW w:w="215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sz w:val="24"/>
                <w:szCs w:val="32"/>
              </w:rPr>
              <w:t>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sz w:val="24"/>
                <w:szCs w:val="32"/>
              </w:rPr>
              <w:t>3.71</w:t>
            </w:r>
          </w:p>
        </w:tc>
      </w:tr>
      <w:tr>
        <w:tblPrEx>
          <w:tblCellMar>
            <w:top w:w="0" w:type="dxa"/>
            <w:left w:w="0" w:type="dxa"/>
            <w:bottom w:w="0" w:type="dxa"/>
            <w:right w:w="0" w:type="dxa"/>
          </w:tblCellMar>
        </w:tblPrEx>
        <w:trPr>
          <w:trHeight w:val="276"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szCs w:val="32"/>
              </w:rPr>
            </w:pPr>
          </w:p>
        </w:tc>
        <w:tc>
          <w:tcPr>
            <w:tcW w:w="215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sz w:val="24"/>
                <w:szCs w:val="32"/>
              </w:rPr>
              <w:t>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sz w:val="24"/>
                <w:szCs w:val="32"/>
              </w:rPr>
              <w:t>3.71</w:t>
            </w:r>
          </w:p>
        </w:tc>
      </w:tr>
      <w:tr>
        <w:tblPrEx>
          <w:tblCellMar>
            <w:top w:w="0" w:type="dxa"/>
            <w:left w:w="0" w:type="dxa"/>
            <w:bottom w:w="0" w:type="dxa"/>
            <w:right w:w="0" w:type="dxa"/>
          </w:tblCellMar>
        </w:tblPrEx>
        <w:trPr>
          <w:trHeight w:val="1511"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szCs w:val="32"/>
              </w:rPr>
            </w:pPr>
          </w:p>
        </w:tc>
        <w:tc>
          <w:tcPr>
            <w:tcW w:w="215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sz w:val="24"/>
                <w:szCs w:val="32"/>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szCs w:val="32"/>
              </w:rPr>
            </w:pPr>
            <w:r>
              <w:rPr>
                <w:rFonts w:hint="eastAsia" w:ascii="宋体" w:hAnsi="宋体" w:cs="宋体"/>
                <w:sz w:val="24"/>
                <w:szCs w:val="32"/>
              </w:rPr>
              <w:t>0</w:t>
            </w:r>
          </w:p>
        </w:tc>
      </w:tr>
      <w:tr>
        <w:tblPrEx>
          <w:tblCellMar>
            <w:top w:w="0" w:type="dxa"/>
            <w:left w:w="0" w:type="dxa"/>
            <w:bottom w:w="0" w:type="dxa"/>
            <w:right w:w="0" w:type="dxa"/>
          </w:tblCellMar>
        </w:tblPrEx>
        <w:trPr>
          <w:trHeight w:val="276"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年度目标完成情况</w:t>
            </w:r>
          </w:p>
        </w:tc>
        <w:tc>
          <w:tcPr>
            <w:tcW w:w="4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实际完成目标</w:t>
            </w:r>
          </w:p>
        </w:tc>
      </w:tr>
      <w:tr>
        <w:tblPrEx>
          <w:tblCellMar>
            <w:top w:w="0" w:type="dxa"/>
            <w:left w:w="0" w:type="dxa"/>
            <w:bottom w:w="0" w:type="dxa"/>
            <w:right w:w="0" w:type="dxa"/>
          </w:tblCellMar>
        </w:tblPrEx>
        <w:trPr>
          <w:trHeight w:val="1159"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szCs w:val="32"/>
              </w:rPr>
            </w:pPr>
          </w:p>
        </w:tc>
        <w:tc>
          <w:tcPr>
            <w:tcW w:w="4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szCs w:val="32"/>
              </w:rPr>
            </w:pPr>
            <w:r>
              <w:rPr>
                <w:rFonts w:hint="eastAsia" w:ascii="宋体" w:hAnsi="宋体" w:cs="宋体"/>
                <w:sz w:val="24"/>
                <w:szCs w:val="32"/>
              </w:rPr>
              <w:t>支付因2020年调研等办公活动发生的交通费用</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sz w:val="24"/>
                <w:szCs w:val="32"/>
              </w:rPr>
              <w:t>支付了2020年调研工作发生的交通费用</w:t>
            </w:r>
          </w:p>
        </w:tc>
      </w:tr>
      <w:tr>
        <w:tblPrEx>
          <w:tblCellMar>
            <w:top w:w="0" w:type="dxa"/>
            <w:left w:w="0" w:type="dxa"/>
            <w:bottom w:w="0" w:type="dxa"/>
            <w:right w:w="0" w:type="dxa"/>
          </w:tblCellMar>
        </w:tblPrEx>
        <w:trPr>
          <w:trHeight w:val="1042" w:hRule="atLeast"/>
          <w:jc w:val="center"/>
        </w:trPr>
        <w:tc>
          <w:tcPr>
            <w:tcW w:w="63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sz w:val="24"/>
                <w:szCs w:val="32"/>
              </w:rPr>
              <w:t>绩效指标完成情况</w:t>
            </w:r>
          </w:p>
        </w:tc>
        <w:tc>
          <w:tcPr>
            <w:tcW w:w="1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实际完成指标值(包含数字及文字描述)</w:t>
            </w:r>
          </w:p>
        </w:tc>
      </w:tr>
      <w:tr>
        <w:tblPrEx>
          <w:tblCellMar>
            <w:top w:w="0" w:type="dxa"/>
            <w:left w:w="0" w:type="dxa"/>
            <w:bottom w:w="0" w:type="dxa"/>
            <w:right w:w="0" w:type="dxa"/>
          </w:tblCellMar>
        </w:tblPrEx>
        <w:trPr>
          <w:trHeight w:val="953" w:hRule="atLeast"/>
          <w:jc w:val="center"/>
        </w:trPr>
        <w:tc>
          <w:tcPr>
            <w:tcW w:w="63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p>
        </w:tc>
        <w:tc>
          <w:tcPr>
            <w:tcW w:w="1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sz w:val="24"/>
                <w:szCs w:val="32"/>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sz w:val="24"/>
                <w:szCs w:val="32"/>
              </w:rPr>
              <w:t>每人每月发生交通费的数额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sz w:val="24"/>
                <w:szCs w:val="32"/>
              </w:rPr>
              <w:t>≦600元（每人每月发生不超过600元公务出行费用）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sz w:val="24"/>
                <w:szCs w:val="32"/>
              </w:rPr>
              <w:t>292.82元（平均每人每月发生292.82元公务出行费用）</w:t>
            </w:r>
          </w:p>
        </w:tc>
      </w:tr>
    </w:tbl>
    <w:p>
      <w:pPr>
        <w:pStyle w:val="2"/>
        <w:spacing w:before="93"/>
        <w:rPr>
          <w:rFonts w:asciiTheme="minorEastAsia" w:hAnsiTheme="minorEastAsia" w:eastAsiaTheme="minorEastAsia"/>
          <w:sz w:val="32"/>
          <w:szCs w:val="32"/>
        </w:rPr>
      </w:pPr>
    </w:p>
    <w:p>
      <w:pPr>
        <w:pStyle w:val="2"/>
        <w:spacing w:before="93"/>
        <w:rPr>
          <w:rFonts w:asciiTheme="minorEastAsia" w:hAnsiTheme="minorEastAsia" w:eastAsiaTheme="minorEastAsia"/>
          <w:sz w:val="32"/>
          <w:szCs w:val="32"/>
        </w:rPr>
      </w:pPr>
    </w:p>
    <w:p>
      <w:pPr>
        <w:pStyle w:val="2"/>
        <w:spacing w:before="93"/>
        <w:rPr>
          <w:rFonts w:asciiTheme="minorEastAsia" w:hAnsiTheme="minorEastAsia" w:eastAsiaTheme="minorEastAsia"/>
          <w:sz w:val="32"/>
          <w:szCs w:val="32"/>
        </w:rPr>
      </w:pPr>
    </w:p>
    <w:p>
      <w:pPr>
        <w:pStyle w:val="2"/>
        <w:spacing w:before="93"/>
        <w:rPr>
          <w:rFonts w:asciiTheme="minorEastAsia" w:hAnsiTheme="minorEastAsia" w:eastAsiaTheme="minorEastAsia"/>
          <w:sz w:val="32"/>
          <w:szCs w:val="32"/>
        </w:rPr>
      </w:pPr>
    </w:p>
    <w:p>
      <w:pPr>
        <w:pStyle w:val="2"/>
        <w:spacing w:before="93"/>
        <w:rPr>
          <w:rFonts w:asciiTheme="minorEastAsia" w:hAnsiTheme="minorEastAsia" w:eastAsiaTheme="minorEastAsia"/>
          <w:sz w:val="32"/>
          <w:szCs w:val="32"/>
        </w:rPr>
      </w:pPr>
    </w:p>
    <w:p>
      <w:pPr>
        <w:pStyle w:val="2"/>
        <w:spacing w:before="93"/>
        <w:rPr>
          <w:rFonts w:asciiTheme="minorEastAsia" w:hAnsiTheme="minorEastAsia" w:eastAsiaTheme="minorEastAsia"/>
          <w:sz w:val="32"/>
          <w:szCs w:val="32"/>
        </w:rPr>
      </w:pPr>
    </w:p>
    <w:p>
      <w:pPr>
        <w:pStyle w:val="2"/>
        <w:spacing w:before="93"/>
        <w:rPr>
          <w:rFonts w:asciiTheme="minorEastAsia" w:hAnsiTheme="minorEastAsia" w:eastAsiaTheme="minorEastAsia"/>
          <w:sz w:val="32"/>
          <w:szCs w:val="32"/>
        </w:rPr>
      </w:pP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630"/>
        <w:gridCol w:w="112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eastAsia="宋体" w:cs="宋体"/>
                <w:b/>
                <w:bCs/>
                <w:kern w:val="0"/>
                <w:sz w:val="36"/>
                <w:szCs w:val="36"/>
                <w:lang w:eastAsia="zh-CN"/>
              </w:rPr>
            </w:pPr>
            <w:r>
              <w:rPr>
                <w:rFonts w:hint="eastAsia" w:ascii="宋体" w:hAnsi="宋体" w:cs="宋体"/>
                <w:b/>
                <w:bCs/>
                <w:kern w:val="0"/>
                <w:sz w:val="36"/>
                <w:szCs w:val="36"/>
              </w:rPr>
              <w:t>项目绩效目标完成情况表</w:t>
            </w:r>
          </w:p>
          <w:p>
            <w:pPr>
              <w:widowControl/>
              <w:jc w:val="center"/>
              <w:textAlignment w:val="center"/>
              <w:rPr>
                <w:rFonts w:ascii="宋体" w:hAnsi="宋体" w:cs="宋体"/>
                <w:sz w:val="36"/>
                <w:szCs w:val="36"/>
              </w:rPr>
            </w:pPr>
            <w:r>
              <w:rPr>
                <w:rFonts w:hint="eastAsia" w:ascii="宋体" w:hAnsi="宋体" w:cs="宋体"/>
                <w:kern w:val="0"/>
                <w:sz w:val="36"/>
                <w:szCs w:val="36"/>
              </w:rPr>
              <w:t>(2020年度)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sz w:val="24"/>
                <w:szCs w:val="32"/>
              </w:rPr>
              <w:t>租赁费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sz w:val="24"/>
                <w:szCs w:val="32"/>
              </w:rPr>
              <w:t>四川省国际经济贸易研究所</w:t>
            </w:r>
          </w:p>
        </w:tc>
      </w:tr>
      <w:tr>
        <w:tblPrEx>
          <w:tblCellMar>
            <w:top w:w="0" w:type="dxa"/>
            <w:left w:w="0" w:type="dxa"/>
            <w:bottom w:w="0" w:type="dxa"/>
            <w:right w:w="0" w:type="dxa"/>
          </w:tblCellMar>
        </w:tblPrEx>
        <w:trPr>
          <w:trHeight w:val="276"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预算执行情况(万元)</w:t>
            </w:r>
          </w:p>
        </w:tc>
        <w:tc>
          <w:tcPr>
            <w:tcW w:w="215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sz w:val="24"/>
                <w:szCs w:val="32"/>
              </w:rPr>
              <w:t>13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sz w:val="24"/>
                <w:szCs w:val="32"/>
              </w:rPr>
              <w:t>12.08</w:t>
            </w:r>
          </w:p>
        </w:tc>
      </w:tr>
      <w:tr>
        <w:tblPrEx>
          <w:tblCellMar>
            <w:top w:w="0" w:type="dxa"/>
            <w:left w:w="0" w:type="dxa"/>
            <w:bottom w:w="0" w:type="dxa"/>
            <w:right w:w="0" w:type="dxa"/>
          </w:tblCellMar>
        </w:tblPrEx>
        <w:trPr>
          <w:trHeight w:val="276"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szCs w:val="32"/>
              </w:rPr>
            </w:pPr>
          </w:p>
        </w:tc>
        <w:tc>
          <w:tcPr>
            <w:tcW w:w="215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sz w:val="24"/>
                <w:szCs w:val="32"/>
              </w:rPr>
              <w:t>13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sz w:val="24"/>
                <w:szCs w:val="32"/>
              </w:rPr>
              <w:t>12.08</w:t>
            </w:r>
          </w:p>
        </w:tc>
      </w:tr>
      <w:tr>
        <w:tblPrEx>
          <w:tblCellMar>
            <w:top w:w="0" w:type="dxa"/>
            <w:left w:w="0" w:type="dxa"/>
            <w:bottom w:w="0" w:type="dxa"/>
            <w:right w:w="0" w:type="dxa"/>
          </w:tblCellMar>
        </w:tblPrEx>
        <w:trPr>
          <w:trHeight w:val="1511"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szCs w:val="32"/>
              </w:rPr>
            </w:pPr>
          </w:p>
        </w:tc>
        <w:tc>
          <w:tcPr>
            <w:tcW w:w="215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sz w:val="24"/>
                <w:szCs w:val="32"/>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szCs w:val="32"/>
              </w:rPr>
            </w:pPr>
            <w:r>
              <w:rPr>
                <w:rFonts w:hint="eastAsia" w:ascii="宋体" w:hAnsi="宋体" w:cs="宋体"/>
                <w:sz w:val="24"/>
                <w:szCs w:val="32"/>
              </w:rPr>
              <w:t>0</w:t>
            </w:r>
          </w:p>
        </w:tc>
      </w:tr>
      <w:tr>
        <w:tblPrEx>
          <w:tblCellMar>
            <w:top w:w="0" w:type="dxa"/>
            <w:left w:w="0" w:type="dxa"/>
            <w:bottom w:w="0" w:type="dxa"/>
            <w:right w:w="0" w:type="dxa"/>
          </w:tblCellMar>
        </w:tblPrEx>
        <w:trPr>
          <w:trHeight w:val="276"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年度目标完成情况</w:t>
            </w:r>
          </w:p>
        </w:tc>
        <w:tc>
          <w:tcPr>
            <w:tcW w:w="4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实际完成目标</w:t>
            </w:r>
          </w:p>
        </w:tc>
      </w:tr>
      <w:tr>
        <w:tblPrEx>
          <w:tblCellMar>
            <w:top w:w="0" w:type="dxa"/>
            <w:left w:w="0" w:type="dxa"/>
            <w:bottom w:w="0" w:type="dxa"/>
            <w:right w:w="0" w:type="dxa"/>
          </w:tblCellMar>
        </w:tblPrEx>
        <w:trPr>
          <w:trHeight w:val="1159"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szCs w:val="32"/>
              </w:rPr>
            </w:pPr>
          </w:p>
        </w:tc>
        <w:tc>
          <w:tcPr>
            <w:tcW w:w="4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szCs w:val="32"/>
              </w:rPr>
            </w:pPr>
            <w:r>
              <w:rPr>
                <w:rFonts w:hint="eastAsia" w:ascii="宋体" w:hAnsi="宋体" w:cs="宋体"/>
                <w:sz w:val="24"/>
                <w:szCs w:val="32"/>
              </w:rPr>
              <w:t>支付2020年办公用房租赁费</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sz w:val="24"/>
                <w:szCs w:val="32"/>
              </w:rPr>
              <w:t>支付了2020年办公用房租赁费</w:t>
            </w:r>
          </w:p>
        </w:tc>
      </w:tr>
      <w:tr>
        <w:tblPrEx>
          <w:tblCellMar>
            <w:top w:w="0" w:type="dxa"/>
            <w:left w:w="0" w:type="dxa"/>
            <w:bottom w:w="0" w:type="dxa"/>
            <w:right w:w="0" w:type="dxa"/>
          </w:tblCellMar>
        </w:tblPrEx>
        <w:trPr>
          <w:trHeight w:val="1042" w:hRule="atLeast"/>
          <w:jc w:val="center"/>
        </w:trPr>
        <w:tc>
          <w:tcPr>
            <w:tcW w:w="63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sz w:val="24"/>
                <w:szCs w:val="32"/>
              </w:rPr>
              <w:t>绩效指标完成情况</w:t>
            </w:r>
          </w:p>
        </w:tc>
        <w:tc>
          <w:tcPr>
            <w:tcW w:w="1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实际完成指标值(包含数字及文字描述)</w:t>
            </w:r>
          </w:p>
        </w:tc>
      </w:tr>
      <w:tr>
        <w:tblPrEx>
          <w:tblCellMar>
            <w:top w:w="0" w:type="dxa"/>
            <w:left w:w="0" w:type="dxa"/>
            <w:bottom w:w="0" w:type="dxa"/>
            <w:right w:w="0" w:type="dxa"/>
          </w:tblCellMar>
        </w:tblPrEx>
        <w:trPr>
          <w:trHeight w:val="953" w:hRule="atLeast"/>
          <w:jc w:val="center"/>
        </w:trPr>
        <w:tc>
          <w:tcPr>
            <w:tcW w:w="63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p>
        </w:tc>
        <w:tc>
          <w:tcPr>
            <w:tcW w:w="1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sz w:val="24"/>
                <w:szCs w:val="32"/>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sz w:val="24"/>
                <w:szCs w:val="32"/>
              </w:rPr>
              <w:t>租赁费的支付时效</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szCs w:val="32"/>
              </w:rPr>
            </w:pPr>
            <w:r>
              <w:rPr>
                <w:rFonts w:hint="eastAsia" w:ascii="宋体" w:hAnsi="宋体" w:cs="宋体"/>
                <w:sz w:val="24"/>
                <w:szCs w:val="32"/>
              </w:rPr>
              <w:t>≦30天（收到相关支付请求时，30天内支付，保障办公后勤服务）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szCs w:val="32"/>
              </w:rPr>
            </w:pPr>
            <w:r>
              <w:rPr>
                <w:rFonts w:hint="eastAsia" w:ascii="宋体" w:hAnsi="宋体" w:cs="宋体"/>
                <w:sz w:val="24"/>
                <w:szCs w:val="32"/>
              </w:rPr>
              <w:t>7（收到支付请求后7天完成支付）</w:t>
            </w:r>
          </w:p>
        </w:tc>
      </w:tr>
    </w:tbl>
    <w:p>
      <w:pPr>
        <w:pStyle w:val="2"/>
        <w:spacing w:before="93"/>
        <w:rPr>
          <w:rFonts w:ascii="宋体" w:hAnsi="宋体" w:eastAsia="宋体"/>
          <w:sz w:val="32"/>
          <w:szCs w:val="32"/>
        </w:rPr>
      </w:pPr>
    </w:p>
    <w:p>
      <w:pPr>
        <w:pStyle w:val="2"/>
        <w:spacing w:before="93"/>
        <w:rPr>
          <w:rFonts w:asciiTheme="minorEastAsia" w:hAnsiTheme="minorEastAsia" w:eastAsiaTheme="minorEastAsia"/>
          <w:sz w:val="32"/>
          <w:szCs w:val="32"/>
        </w:rPr>
      </w:pPr>
    </w:p>
    <w:p>
      <w:pPr>
        <w:pStyle w:val="2"/>
        <w:spacing w:before="93"/>
        <w:rPr>
          <w:rFonts w:asciiTheme="minorEastAsia" w:hAnsiTheme="minorEastAsia" w:eastAsiaTheme="minorEastAsia"/>
          <w:sz w:val="32"/>
          <w:szCs w:val="32"/>
        </w:rPr>
      </w:pPr>
    </w:p>
    <w:p>
      <w:pPr>
        <w:pStyle w:val="2"/>
        <w:spacing w:before="93"/>
        <w:rPr>
          <w:rFonts w:asciiTheme="minorEastAsia" w:hAnsiTheme="minorEastAsia" w:eastAsiaTheme="minorEastAsia"/>
          <w:sz w:val="32"/>
          <w:szCs w:val="32"/>
        </w:rPr>
      </w:pPr>
    </w:p>
    <w:p>
      <w:pPr>
        <w:pStyle w:val="2"/>
        <w:spacing w:before="93"/>
        <w:rPr>
          <w:rFonts w:asciiTheme="minorEastAsia" w:hAnsiTheme="minorEastAsia" w:eastAsiaTheme="minorEastAsia"/>
          <w:sz w:val="32"/>
          <w:szCs w:val="32"/>
        </w:rPr>
      </w:pPr>
    </w:p>
    <w:p>
      <w:pPr>
        <w:pStyle w:val="2"/>
        <w:spacing w:before="93"/>
        <w:rPr>
          <w:rFonts w:asciiTheme="minorEastAsia" w:hAnsiTheme="minorEastAsia" w:eastAsiaTheme="minorEastAsia"/>
          <w:sz w:val="32"/>
          <w:szCs w:val="32"/>
        </w:rPr>
      </w:pPr>
    </w:p>
    <w:p>
      <w:pPr>
        <w:pStyle w:val="2"/>
        <w:spacing w:before="93"/>
        <w:rPr>
          <w:rFonts w:asciiTheme="minorEastAsia" w:hAnsiTheme="minorEastAsia" w:eastAsiaTheme="minorEastAsia"/>
          <w:sz w:val="32"/>
          <w:szCs w:val="32"/>
        </w:rPr>
      </w:pP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630"/>
        <w:gridCol w:w="112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eastAsia="宋体" w:cs="宋体"/>
                <w:b/>
                <w:bCs/>
                <w:kern w:val="0"/>
                <w:sz w:val="36"/>
                <w:szCs w:val="36"/>
                <w:lang w:eastAsia="zh-CN"/>
              </w:rPr>
            </w:pPr>
            <w:r>
              <w:rPr>
                <w:rFonts w:hint="eastAsia" w:ascii="宋体" w:hAnsi="宋体" w:cs="宋体"/>
                <w:b/>
                <w:bCs/>
                <w:kern w:val="0"/>
                <w:sz w:val="36"/>
                <w:szCs w:val="36"/>
              </w:rPr>
              <w:t>项目绩效目标完成情况表</w:t>
            </w:r>
          </w:p>
          <w:p>
            <w:pPr>
              <w:widowControl/>
              <w:jc w:val="center"/>
              <w:textAlignment w:val="center"/>
              <w:rPr>
                <w:rFonts w:cs="宋体" w:asciiTheme="minorEastAsia" w:hAnsiTheme="minorEastAsia" w:eastAsiaTheme="minorEastAsia"/>
                <w:sz w:val="24"/>
                <w:szCs w:val="32"/>
              </w:rPr>
            </w:pPr>
            <w:r>
              <w:rPr>
                <w:rFonts w:hint="eastAsia" w:ascii="宋体" w:hAnsi="宋体" w:cs="宋体"/>
                <w:kern w:val="0"/>
                <w:sz w:val="36"/>
                <w:szCs w:val="36"/>
              </w:rPr>
              <w:t>(2020年度)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sz w:val="24"/>
                <w:szCs w:val="32"/>
              </w:rPr>
              <w:t>业务经费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sz w:val="24"/>
                <w:szCs w:val="32"/>
              </w:rPr>
              <w:t>四川省国际经济贸易研究所</w:t>
            </w:r>
          </w:p>
        </w:tc>
      </w:tr>
      <w:tr>
        <w:tblPrEx>
          <w:tblCellMar>
            <w:top w:w="0" w:type="dxa"/>
            <w:left w:w="0" w:type="dxa"/>
            <w:bottom w:w="0" w:type="dxa"/>
            <w:right w:w="0" w:type="dxa"/>
          </w:tblCellMar>
        </w:tblPrEx>
        <w:trPr>
          <w:trHeight w:val="276"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预算执行情况(万元)</w:t>
            </w:r>
          </w:p>
        </w:tc>
        <w:tc>
          <w:tcPr>
            <w:tcW w:w="215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sz w:val="24"/>
                <w:szCs w:val="32"/>
              </w:rPr>
              <w:t>10.53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sz w:val="24"/>
                <w:szCs w:val="32"/>
              </w:rPr>
              <w:t>10.46</w:t>
            </w:r>
          </w:p>
        </w:tc>
      </w:tr>
      <w:tr>
        <w:tblPrEx>
          <w:tblCellMar>
            <w:top w:w="0" w:type="dxa"/>
            <w:left w:w="0" w:type="dxa"/>
            <w:bottom w:w="0" w:type="dxa"/>
            <w:right w:w="0" w:type="dxa"/>
          </w:tblCellMar>
        </w:tblPrEx>
        <w:trPr>
          <w:trHeight w:val="276"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szCs w:val="32"/>
              </w:rPr>
            </w:pPr>
          </w:p>
        </w:tc>
        <w:tc>
          <w:tcPr>
            <w:tcW w:w="215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sz w:val="24"/>
                <w:szCs w:val="32"/>
              </w:rPr>
              <w:t>10.53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sz w:val="24"/>
                <w:szCs w:val="32"/>
              </w:rPr>
              <w:t>10.46</w:t>
            </w:r>
          </w:p>
        </w:tc>
      </w:tr>
      <w:tr>
        <w:tblPrEx>
          <w:tblCellMar>
            <w:top w:w="0" w:type="dxa"/>
            <w:left w:w="0" w:type="dxa"/>
            <w:bottom w:w="0" w:type="dxa"/>
            <w:right w:w="0" w:type="dxa"/>
          </w:tblCellMar>
        </w:tblPrEx>
        <w:trPr>
          <w:trHeight w:val="1511"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szCs w:val="32"/>
              </w:rPr>
            </w:pPr>
          </w:p>
        </w:tc>
        <w:tc>
          <w:tcPr>
            <w:tcW w:w="215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sz w:val="24"/>
                <w:szCs w:val="32"/>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szCs w:val="32"/>
              </w:rPr>
            </w:pPr>
            <w:r>
              <w:rPr>
                <w:rFonts w:hint="eastAsia" w:ascii="宋体" w:hAnsi="宋体" w:cs="宋体"/>
                <w:sz w:val="24"/>
                <w:szCs w:val="32"/>
              </w:rPr>
              <w:t>0</w:t>
            </w:r>
          </w:p>
        </w:tc>
      </w:tr>
      <w:tr>
        <w:tblPrEx>
          <w:tblCellMar>
            <w:top w:w="0" w:type="dxa"/>
            <w:left w:w="0" w:type="dxa"/>
            <w:bottom w:w="0" w:type="dxa"/>
            <w:right w:w="0" w:type="dxa"/>
          </w:tblCellMar>
        </w:tblPrEx>
        <w:trPr>
          <w:trHeight w:val="276"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年度目标完成情况</w:t>
            </w:r>
          </w:p>
        </w:tc>
        <w:tc>
          <w:tcPr>
            <w:tcW w:w="4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实际完成目标</w:t>
            </w:r>
          </w:p>
        </w:tc>
      </w:tr>
      <w:tr>
        <w:tblPrEx>
          <w:tblCellMar>
            <w:top w:w="0" w:type="dxa"/>
            <w:left w:w="0" w:type="dxa"/>
            <w:bottom w:w="0" w:type="dxa"/>
            <w:right w:w="0" w:type="dxa"/>
          </w:tblCellMar>
        </w:tblPrEx>
        <w:trPr>
          <w:trHeight w:val="1159"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szCs w:val="32"/>
              </w:rPr>
            </w:pPr>
          </w:p>
        </w:tc>
        <w:tc>
          <w:tcPr>
            <w:tcW w:w="4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szCs w:val="32"/>
              </w:rPr>
            </w:pPr>
            <w:r>
              <w:rPr>
                <w:rFonts w:hint="eastAsia" w:ascii="宋体" w:hAnsi="宋体" w:cs="宋体"/>
                <w:sz w:val="24"/>
                <w:szCs w:val="32"/>
              </w:rPr>
              <w:t>支付2020年调研课题等相关费用</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sz w:val="24"/>
                <w:szCs w:val="32"/>
              </w:rPr>
              <w:t>支付了2020年调研活动的相关费用，如印制《商务调研手册》</w:t>
            </w:r>
          </w:p>
        </w:tc>
      </w:tr>
      <w:tr>
        <w:tblPrEx>
          <w:tblCellMar>
            <w:top w:w="0" w:type="dxa"/>
            <w:left w:w="0" w:type="dxa"/>
            <w:bottom w:w="0" w:type="dxa"/>
            <w:right w:w="0" w:type="dxa"/>
          </w:tblCellMar>
        </w:tblPrEx>
        <w:trPr>
          <w:trHeight w:val="1042" w:hRule="atLeast"/>
          <w:jc w:val="center"/>
        </w:trPr>
        <w:tc>
          <w:tcPr>
            <w:tcW w:w="63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sz w:val="24"/>
                <w:szCs w:val="32"/>
              </w:rPr>
              <w:t>绩效指标完成情况</w:t>
            </w:r>
          </w:p>
        </w:tc>
        <w:tc>
          <w:tcPr>
            <w:tcW w:w="1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实际完成指标值(包含数字及文字描述)</w:t>
            </w:r>
          </w:p>
        </w:tc>
      </w:tr>
      <w:tr>
        <w:tblPrEx>
          <w:tblCellMar>
            <w:top w:w="0" w:type="dxa"/>
            <w:left w:w="0" w:type="dxa"/>
            <w:bottom w:w="0" w:type="dxa"/>
            <w:right w:w="0" w:type="dxa"/>
          </w:tblCellMar>
        </w:tblPrEx>
        <w:trPr>
          <w:trHeight w:val="953" w:hRule="atLeast"/>
          <w:jc w:val="center"/>
        </w:trPr>
        <w:tc>
          <w:tcPr>
            <w:tcW w:w="63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p>
        </w:tc>
        <w:tc>
          <w:tcPr>
            <w:tcW w:w="1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sz w:val="24"/>
                <w:szCs w:val="32"/>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sz w:val="24"/>
                <w:szCs w:val="32"/>
              </w:rPr>
              <w:t>完成课题的数量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szCs w:val="32"/>
              </w:rPr>
            </w:pPr>
            <w:r>
              <w:rPr>
                <w:rFonts w:hint="eastAsia" w:ascii="宋体" w:hAnsi="宋体" w:cs="宋体"/>
                <w:sz w:val="24"/>
                <w:szCs w:val="32"/>
              </w:rPr>
              <w:t>≧18篇（完成课题数量）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szCs w:val="32"/>
              </w:rPr>
            </w:pPr>
            <w:r>
              <w:rPr>
                <w:rFonts w:hint="eastAsia" w:ascii="宋体" w:hAnsi="宋体" w:cs="宋体"/>
                <w:sz w:val="24"/>
                <w:szCs w:val="32"/>
              </w:rPr>
              <w:t>21（2020年共完成21项课题）</w:t>
            </w:r>
          </w:p>
        </w:tc>
      </w:tr>
    </w:tbl>
    <w:p>
      <w:pPr>
        <w:pStyle w:val="2"/>
        <w:spacing w:before="93"/>
        <w:rPr>
          <w:rFonts w:asciiTheme="minorEastAsia" w:hAnsiTheme="minorEastAsia" w:eastAsiaTheme="minorEastAsia"/>
          <w:sz w:val="32"/>
          <w:szCs w:val="32"/>
        </w:rPr>
      </w:pPr>
    </w:p>
    <w:p>
      <w:pPr>
        <w:pStyle w:val="2"/>
        <w:spacing w:before="93"/>
        <w:rPr>
          <w:rFonts w:asciiTheme="minorEastAsia" w:hAnsiTheme="minorEastAsia" w:eastAsiaTheme="minorEastAsia"/>
          <w:sz w:val="32"/>
          <w:szCs w:val="32"/>
        </w:rPr>
      </w:pPr>
    </w:p>
    <w:p>
      <w:pPr>
        <w:pStyle w:val="2"/>
        <w:spacing w:before="93"/>
        <w:rPr>
          <w:rFonts w:asciiTheme="minorEastAsia" w:hAnsiTheme="minorEastAsia" w:eastAsiaTheme="minorEastAsia"/>
          <w:sz w:val="32"/>
          <w:szCs w:val="32"/>
        </w:rPr>
      </w:pPr>
    </w:p>
    <w:p>
      <w:pPr>
        <w:pStyle w:val="2"/>
        <w:spacing w:before="93"/>
        <w:rPr>
          <w:rFonts w:asciiTheme="minorEastAsia" w:hAnsiTheme="minorEastAsia" w:eastAsiaTheme="minorEastAsia"/>
          <w:sz w:val="32"/>
          <w:szCs w:val="32"/>
        </w:rPr>
      </w:pPr>
    </w:p>
    <w:p>
      <w:pPr>
        <w:pStyle w:val="2"/>
        <w:spacing w:before="93"/>
        <w:rPr>
          <w:rFonts w:asciiTheme="minorEastAsia" w:hAnsiTheme="minorEastAsia" w:eastAsiaTheme="minorEastAsia"/>
          <w:sz w:val="32"/>
          <w:szCs w:val="32"/>
        </w:rPr>
      </w:pPr>
    </w:p>
    <w:p>
      <w:pPr>
        <w:pStyle w:val="2"/>
        <w:spacing w:before="93"/>
        <w:rPr>
          <w:rFonts w:asciiTheme="minorEastAsia" w:hAnsiTheme="minorEastAsia" w:eastAsiaTheme="minorEastAsia"/>
          <w:sz w:val="32"/>
          <w:szCs w:val="32"/>
        </w:rPr>
      </w:pPr>
    </w:p>
    <w:p>
      <w:pPr>
        <w:pStyle w:val="2"/>
        <w:spacing w:before="93"/>
        <w:rPr>
          <w:rFonts w:asciiTheme="minorEastAsia" w:hAnsiTheme="minorEastAsia" w:eastAsiaTheme="minorEastAsia"/>
          <w:sz w:val="32"/>
          <w:szCs w:val="32"/>
        </w:rPr>
      </w:pP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630"/>
        <w:gridCol w:w="112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eastAsia="宋体" w:cs="宋体"/>
                <w:b/>
                <w:bCs/>
                <w:kern w:val="0"/>
                <w:sz w:val="36"/>
                <w:szCs w:val="36"/>
                <w:lang w:eastAsia="zh-CN"/>
              </w:rPr>
            </w:pPr>
            <w:r>
              <w:rPr>
                <w:rFonts w:hint="eastAsia" w:ascii="宋体" w:hAnsi="宋体" w:cs="宋体"/>
                <w:b/>
                <w:bCs/>
                <w:kern w:val="0"/>
                <w:sz w:val="36"/>
                <w:szCs w:val="36"/>
              </w:rPr>
              <w:t>项目绩效目标完成情况表</w:t>
            </w:r>
          </w:p>
          <w:p>
            <w:pPr>
              <w:widowControl/>
              <w:jc w:val="center"/>
              <w:textAlignment w:val="center"/>
              <w:rPr>
                <w:rFonts w:cs="宋体" w:asciiTheme="minorEastAsia" w:hAnsiTheme="minorEastAsia" w:eastAsiaTheme="minorEastAsia"/>
                <w:sz w:val="24"/>
                <w:szCs w:val="32"/>
              </w:rPr>
            </w:pPr>
            <w:r>
              <w:rPr>
                <w:rFonts w:hint="eastAsia" w:ascii="宋体" w:hAnsi="宋体" w:cs="宋体"/>
                <w:kern w:val="0"/>
                <w:sz w:val="36"/>
                <w:szCs w:val="36"/>
              </w:rPr>
              <w:t>(2020年度)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sz w:val="24"/>
                <w:szCs w:val="32"/>
              </w:rPr>
              <w:t>物管费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sz w:val="24"/>
                <w:szCs w:val="32"/>
              </w:rPr>
              <w:t>四川省国际经济贸易研究所</w:t>
            </w:r>
          </w:p>
        </w:tc>
      </w:tr>
      <w:tr>
        <w:tblPrEx>
          <w:tblCellMar>
            <w:top w:w="0" w:type="dxa"/>
            <w:left w:w="0" w:type="dxa"/>
            <w:bottom w:w="0" w:type="dxa"/>
            <w:right w:w="0" w:type="dxa"/>
          </w:tblCellMar>
        </w:tblPrEx>
        <w:trPr>
          <w:trHeight w:val="276"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预算执行情况(万元)</w:t>
            </w:r>
          </w:p>
        </w:tc>
        <w:tc>
          <w:tcPr>
            <w:tcW w:w="215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sz w:val="24"/>
                <w:szCs w:val="32"/>
              </w:rPr>
              <w:t>10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sz w:val="24"/>
                <w:szCs w:val="32"/>
              </w:rPr>
              <w:t>5.81</w:t>
            </w:r>
          </w:p>
        </w:tc>
      </w:tr>
      <w:tr>
        <w:tblPrEx>
          <w:tblCellMar>
            <w:top w:w="0" w:type="dxa"/>
            <w:left w:w="0" w:type="dxa"/>
            <w:bottom w:w="0" w:type="dxa"/>
            <w:right w:w="0" w:type="dxa"/>
          </w:tblCellMar>
        </w:tblPrEx>
        <w:trPr>
          <w:trHeight w:val="276"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szCs w:val="32"/>
              </w:rPr>
            </w:pPr>
          </w:p>
        </w:tc>
        <w:tc>
          <w:tcPr>
            <w:tcW w:w="215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sz w:val="24"/>
                <w:szCs w:val="32"/>
              </w:rPr>
              <w:t>10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sz w:val="24"/>
                <w:szCs w:val="32"/>
              </w:rPr>
              <w:t>5.81</w:t>
            </w:r>
          </w:p>
        </w:tc>
      </w:tr>
      <w:tr>
        <w:tblPrEx>
          <w:tblCellMar>
            <w:top w:w="0" w:type="dxa"/>
            <w:left w:w="0" w:type="dxa"/>
            <w:bottom w:w="0" w:type="dxa"/>
            <w:right w:w="0" w:type="dxa"/>
          </w:tblCellMar>
        </w:tblPrEx>
        <w:trPr>
          <w:trHeight w:val="1511"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szCs w:val="32"/>
              </w:rPr>
            </w:pPr>
          </w:p>
        </w:tc>
        <w:tc>
          <w:tcPr>
            <w:tcW w:w="215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sz w:val="24"/>
                <w:szCs w:val="32"/>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szCs w:val="32"/>
              </w:rPr>
            </w:pPr>
            <w:r>
              <w:rPr>
                <w:rFonts w:hint="eastAsia" w:ascii="宋体" w:hAnsi="宋体" w:cs="宋体"/>
                <w:sz w:val="24"/>
                <w:szCs w:val="32"/>
              </w:rPr>
              <w:t>0</w:t>
            </w:r>
          </w:p>
        </w:tc>
      </w:tr>
      <w:tr>
        <w:tblPrEx>
          <w:tblCellMar>
            <w:top w:w="0" w:type="dxa"/>
            <w:left w:w="0" w:type="dxa"/>
            <w:bottom w:w="0" w:type="dxa"/>
            <w:right w:w="0" w:type="dxa"/>
          </w:tblCellMar>
        </w:tblPrEx>
        <w:trPr>
          <w:trHeight w:val="276"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年度目标完成情况</w:t>
            </w:r>
          </w:p>
        </w:tc>
        <w:tc>
          <w:tcPr>
            <w:tcW w:w="4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实际完成目标</w:t>
            </w:r>
          </w:p>
        </w:tc>
      </w:tr>
      <w:tr>
        <w:tblPrEx>
          <w:tblCellMar>
            <w:top w:w="0" w:type="dxa"/>
            <w:left w:w="0" w:type="dxa"/>
            <w:bottom w:w="0" w:type="dxa"/>
            <w:right w:w="0" w:type="dxa"/>
          </w:tblCellMar>
        </w:tblPrEx>
        <w:trPr>
          <w:trHeight w:val="1159"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szCs w:val="32"/>
              </w:rPr>
            </w:pPr>
          </w:p>
        </w:tc>
        <w:tc>
          <w:tcPr>
            <w:tcW w:w="4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szCs w:val="32"/>
              </w:rPr>
            </w:pPr>
            <w:r>
              <w:rPr>
                <w:rFonts w:hint="eastAsia" w:ascii="宋体" w:hAnsi="宋体" w:cs="宋体"/>
                <w:sz w:val="24"/>
                <w:szCs w:val="32"/>
              </w:rPr>
              <w:t>支付2020年物管费</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sz w:val="24"/>
                <w:szCs w:val="32"/>
              </w:rPr>
              <w:t>支付了2020年物管费</w:t>
            </w:r>
          </w:p>
        </w:tc>
      </w:tr>
      <w:tr>
        <w:tblPrEx>
          <w:tblCellMar>
            <w:top w:w="0" w:type="dxa"/>
            <w:left w:w="0" w:type="dxa"/>
            <w:bottom w:w="0" w:type="dxa"/>
            <w:right w:w="0" w:type="dxa"/>
          </w:tblCellMar>
        </w:tblPrEx>
        <w:trPr>
          <w:trHeight w:val="1042" w:hRule="atLeast"/>
          <w:jc w:val="center"/>
        </w:trPr>
        <w:tc>
          <w:tcPr>
            <w:tcW w:w="63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sz w:val="24"/>
                <w:szCs w:val="32"/>
              </w:rPr>
              <w:t>绩效指标完成情况</w:t>
            </w:r>
          </w:p>
        </w:tc>
        <w:tc>
          <w:tcPr>
            <w:tcW w:w="1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实际完成指标值(包含数字及文字描述)</w:t>
            </w:r>
          </w:p>
        </w:tc>
      </w:tr>
      <w:tr>
        <w:tblPrEx>
          <w:tblCellMar>
            <w:top w:w="0" w:type="dxa"/>
            <w:left w:w="0" w:type="dxa"/>
            <w:bottom w:w="0" w:type="dxa"/>
            <w:right w:w="0" w:type="dxa"/>
          </w:tblCellMar>
        </w:tblPrEx>
        <w:trPr>
          <w:trHeight w:val="953" w:hRule="atLeast"/>
          <w:jc w:val="center"/>
        </w:trPr>
        <w:tc>
          <w:tcPr>
            <w:tcW w:w="63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p>
        </w:tc>
        <w:tc>
          <w:tcPr>
            <w:tcW w:w="1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kern w:val="0"/>
                <w:sz w:val="24"/>
                <w:szCs w:val="32"/>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sz w:val="24"/>
                <w:szCs w:val="32"/>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szCs w:val="32"/>
              </w:rPr>
            </w:pPr>
            <w:r>
              <w:rPr>
                <w:rFonts w:hint="eastAsia" w:ascii="宋体" w:hAnsi="宋体" w:cs="宋体"/>
                <w:sz w:val="24"/>
                <w:szCs w:val="32"/>
              </w:rPr>
              <w:t>物管费的支付时效</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szCs w:val="32"/>
              </w:rPr>
            </w:pPr>
            <w:r>
              <w:rPr>
                <w:rFonts w:hint="eastAsia" w:ascii="宋体" w:hAnsi="宋体" w:cs="宋体"/>
                <w:sz w:val="24"/>
                <w:szCs w:val="32"/>
              </w:rPr>
              <w:t>≦30天（收到相关支付请求时，30天内支付，保障办公后勤服务）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24"/>
                <w:szCs w:val="32"/>
              </w:rPr>
            </w:pPr>
            <w:r>
              <w:rPr>
                <w:rFonts w:hint="eastAsia" w:ascii="宋体" w:hAnsi="宋体" w:cs="宋体"/>
                <w:sz w:val="24"/>
                <w:szCs w:val="32"/>
              </w:rPr>
              <w:t>7（收到支付请求后7天完成支付）</w:t>
            </w:r>
          </w:p>
        </w:tc>
      </w:tr>
    </w:tbl>
    <w:p>
      <w:pPr>
        <w:spacing w:line="600" w:lineRule="exact"/>
        <w:outlineLvl w:val="0"/>
        <w:rPr>
          <w:rFonts w:asciiTheme="minorEastAsia" w:hAnsiTheme="minorEastAsia" w:eastAsiaTheme="minorEastAsia"/>
          <w:bCs/>
          <w:kern w:val="44"/>
          <w:sz w:val="32"/>
          <w:szCs w:val="32"/>
        </w:rPr>
      </w:pPr>
      <w:bookmarkStart w:id="82" w:name="_Toc15396613"/>
      <w:bookmarkStart w:id="83" w:name="_Toc15377225"/>
    </w:p>
    <w:p>
      <w:pPr>
        <w:spacing w:line="600" w:lineRule="exact"/>
        <w:ind w:left="62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2.单位绩效评价结果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自行组织对公务接待费、其他交通费用、业务经费、租赁费、物业管理费项目开展了绩效评价，《2020年公务接待费项目支出绩效自评报告》、《2020年其他交通费用项目支出绩效自评报告》、《2020年业务经费项目支出绩效自评报告》、《2020年租赁费项目支出绩效自评报告》、《2020年物业管理费项目支出绩效自评报告》见附件（第四部分）。</w:t>
      </w:r>
    </w:p>
    <w:p>
      <w:pPr>
        <w:pStyle w:val="2"/>
        <w:spacing w:before="93"/>
      </w:pPr>
    </w:p>
    <w:p>
      <w:pPr>
        <w:pStyle w:val="3"/>
        <w:rPr>
          <w:rFonts w:hint="eastAsia"/>
        </w:rPr>
      </w:pPr>
      <w:bookmarkStart w:id="84" w:name="_Toc5658"/>
      <w:r>
        <w:rPr>
          <w:rFonts w:hint="eastAsia"/>
        </w:rPr>
        <w:t>第三部分 名词解释</w:t>
      </w:r>
      <w:bookmarkEnd w:id="82"/>
      <w:bookmarkEnd w:id="83"/>
      <w:bookmarkEnd w:id="84"/>
    </w:p>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1.财政拨款收入：指单位从同级财政部门取得的财政预算资金。</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2.事业收入：指事业单位开展专业业务活动及辅助活动取得的收入。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3.经营收入：指事业单位在专业业务活动及其辅助活动之外开展非独立核算经营活动取得的收入。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4.其他收入：指单位取得的除上述收入以外的各项收入。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5.使用非财政拨款结余：指事业单位使用以前年度积累的非财政拨款结余弥补当年收支差额的金额。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6.年初结转和结余：指以前年度尚未完成、结转到本年按有关规定继续使用的资金。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7.结余分配：指事业单位按照会计制度规定缴纳的所得税、提取的专用结余以及转入非财政拨款结余的金额等。</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8.年末结转和结余：指单位按有关规定结转到下年或以后年度继续使用的资金。</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9.科学技术（类）应用研究（款）机构运行（项）：指四川省国际经济贸易研究所的基本支出。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10.科学技术支出（类）应用研究（款）社会公益研究（项）：指四川省国际经济贸易研究所从事社会公益研究支出。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11.社会保障和就业支出（类）行政事业单位养老支出（款）机关事业单位基本养老保险缴费支出（项）：指单位实施养老保险制度由单位缴纳的基本养老保险费支出。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12.社会保障和就业支出（类）行政事业单位养老支出（款）机关事业单位职业年金缴费支出（项）：指单位实施养老保险制度由单位实际缴纳的职业年金支出。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13.社会保障和就业支出（类）其他社会保障和就业支出（款）其他社会保障和就业支出（项）：指单位其他社会保障和就业支出。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14.卫生健康支出（类）行政事业单位医疗（款）事业单位医疗（项）：指事业单位基本医疗保险缴费。</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15.住房保障支出（类）住房改革支出（款）住房公积金（项）：指单位按照人力资源和社会保障以及财政部门规定的基本工资和津贴补贴以及规定的比例为职工缴纳的住房公积金。</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16.住房保障支出（类）住房改革支出（款）购房补贴（项）：指单位按照房改政策规定向符合条件职工（含离退休人员）用于购买住房的补贴。</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17.基本支出：指为保障机构正常运转、完成日常工作任务而发生的人员支出和公用支出。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18.项目支出：指在基本支出之外为完成特定行政任务和事业发展目标所发生的支出。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19.经营支出：指事业单位在专业业务活动及其辅助活动之外开展非独立核算经营活动发生的支出。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
      </w:pPr>
      <w:bookmarkStart w:id="85" w:name="_Toc15377226"/>
      <w:r>
        <w:rPr>
          <w:rFonts w:asciiTheme="minorEastAsia" w:hAnsiTheme="minorEastAsia" w:eastAsiaTheme="minorEastAsia"/>
          <w:b/>
          <w:sz w:val="32"/>
          <w:szCs w:val="32"/>
        </w:rPr>
        <w:br w:type="page"/>
      </w:r>
      <w:bookmarkStart w:id="86" w:name="_Toc15396614"/>
      <w:bookmarkStart w:id="87" w:name="_Toc23409"/>
      <w:r>
        <w:rPr>
          <w:rFonts w:hint="eastAsia"/>
        </w:rPr>
        <w:t>第四部分 附件</w:t>
      </w:r>
      <w:bookmarkEnd w:id="86"/>
      <w:bookmarkEnd w:id="87"/>
    </w:p>
    <w:p>
      <w:pPr>
        <w:spacing w:line="600" w:lineRule="exact"/>
        <w:jc w:val="center"/>
        <w:rPr>
          <w:rFonts w:hint="eastAsia" w:ascii="方正小标宋简体" w:hAnsi="方正小标宋简体" w:eastAsia="方正小标宋简体" w:cs="方正小标宋简体"/>
          <w:kern w:val="0"/>
          <w:sz w:val="44"/>
          <w:szCs w:val="44"/>
          <w:lang w:val="zh-CN"/>
        </w:rPr>
      </w:pPr>
    </w:p>
    <w:p>
      <w:pPr>
        <w:spacing w:line="600" w:lineRule="exact"/>
        <w:jc w:val="center"/>
        <w:rPr>
          <w:rFonts w:hint="eastAsia" w:ascii="方正小标宋简体" w:hAnsi="方正小标宋简体" w:eastAsia="方正小标宋简体" w:cs="方正小标宋简体"/>
          <w:kern w:val="0"/>
          <w:sz w:val="44"/>
          <w:szCs w:val="44"/>
          <w:lang w:val="zh-CN"/>
        </w:rPr>
      </w:pPr>
      <w:r>
        <w:rPr>
          <w:rFonts w:hint="eastAsia" w:ascii="方正小标宋简体" w:hAnsi="方正小标宋简体" w:eastAsia="方正小标宋简体" w:cs="方正小标宋简体"/>
          <w:kern w:val="0"/>
          <w:sz w:val="44"/>
          <w:szCs w:val="44"/>
          <w:lang w:val="zh-CN"/>
        </w:rPr>
        <w:t>2020年四川省国际经济贸易研究所</w:t>
      </w:r>
    </w:p>
    <w:p>
      <w:pPr>
        <w:spacing w:line="600" w:lineRule="exact"/>
        <w:jc w:val="center"/>
        <w:rPr>
          <w:rFonts w:hint="eastAsia" w:ascii="方正小标宋简体" w:hAnsi="方正小标宋简体" w:eastAsia="方正小标宋简体" w:cs="方正小标宋简体"/>
          <w:kern w:val="0"/>
          <w:sz w:val="44"/>
          <w:szCs w:val="44"/>
          <w:lang w:val="zh-CN"/>
        </w:rPr>
      </w:pPr>
      <w:r>
        <w:rPr>
          <w:rFonts w:hint="eastAsia" w:ascii="方正小标宋简体" w:hAnsi="方正小标宋简体" w:eastAsia="方正小标宋简体" w:cs="方正小标宋简体"/>
          <w:kern w:val="0"/>
          <w:sz w:val="44"/>
          <w:szCs w:val="44"/>
          <w:lang w:val="zh-CN"/>
        </w:rPr>
        <w:t>公务接待费项目支出绩效自评报告</w:t>
      </w:r>
    </w:p>
    <w:p>
      <w:pPr>
        <w:spacing w:line="600" w:lineRule="exact"/>
        <w:jc w:val="center"/>
        <w:rPr>
          <w:rFonts w:hint="eastAsia" w:ascii="方正小标宋简体" w:hAnsi="方正小标宋简体" w:eastAsia="方正小标宋简体" w:cs="方正小标宋简体"/>
          <w:b/>
          <w:bCs/>
          <w:kern w:val="0"/>
          <w:lang w:val="zh-CN"/>
        </w:rPr>
      </w:pPr>
      <w:r>
        <w:rPr>
          <w:rFonts w:hint="eastAsia" w:ascii="方正小标宋简体" w:hAnsi="方正小标宋简体" w:eastAsia="方正小标宋简体" w:cs="方正小标宋简体"/>
          <w:kern w:val="0"/>
          <w:sz w:val="44"/>
          <w:szCs w:val="44"/>
          <w:lang w:val="zh-CN"/>
        </w:rPr>
        <w:t>（项目单位自评）</w:t>
      </w:r>
    </w:p>
    <w:p>
      <w:pPr>
        <w:spacing w:line="600" w:lineRule="exact"/>
        <w:ind w:left="660"/>
        <w:jc w:val="center"/>
        <w:outlineLvl w:val="0"/>
        <w:rPr>
          <w:rStyle w:val="24"/>
          <w:rFonts w:ascii="黑体" w:hAnsi="黑体"/>
        </w:rPr>
      </w:pPr>
    </w:p>
    <w:p>
      <w:pPr>
        <w:adjustRightInd w:val="0"/>
        <w:snapToGrid w:val="0"/>
        <w:spacing w:line="600" w:lineRule="exact"/>
        <w:ind w:firstLine="720"/>
        <w:rPr>
          <w:rFonts w:ascii="黑体" w:hAnsi="黑体" w:eastAsia="黑体"/>
          <w:sz w:val="32"/>
          <w:szCs w:val="32"/>
          <w:lang w:val="zh-CN"/>
        </w:rPr>
      </w:pPr>
      <w:r>
        <w:rPr>
          <w:rFonts w:hint="eastAsia" w:ascii="黑体" w:hAnsi="黑体" w:eastAsia="黑体"/>
          <w:sz w:val="32"/>
          <w:szCs w:val="32"/>
        </w:rPr>
        <w:t>一、</w:t>
      </w:r>
      <w:r>
        <w:rPr>
          <w:rFonts w:hint="eastAsia" w:ascii="黑体" w:hAnsi="黑体" w:eastAsia="黑体"/>
          <w:sz w:val="32"/>
          <w:szCs w:val="32"/>
          <w:lang w:val="zh-CN"/>
        </w:rPr>
        <w:t>项目概况</w:t>
      </w:r>
    </w:p>
    <w:p>
      <w:pPr>
        <w:adjustRightInd w:val="0"/>
        <w:snapToGrid w:val="0"/>
        <w:spacing w:line="600" w:lineRule="exact"/>
        <w:ind w:firstLine="720"/>
        <w:rPr>
          <w:rFonts w:asciiTheme="minorEastAsia" w:hAnsiTheme="minorEastAsia" w:eastAsiaTheme="minorEastAsia"/>
          <w:sz w:val="32"/>
          <w:szCs w:val="32"/>
          <w:lang w:val="zh-CN"/>
        </w:rPr>
      </w:pPr>
      <w:r>
        <w:rPr>
          <w:rFonts w:hint="eastAsia" w:ascii="楷体_GB2312" w:hAnsi="宋体" w:eastAsia="楷体_GB2312"/>
          <w:b/>
          <w:sz w:val="32"/>
          <w:szCs w:val="32"/>
          <w:lang w:val="zh-CN"/>
        </w:rPr>
        <w:t>（一）项目资金申报及批复情况。</w:t>
      </w:r>
      <w:r>
        <w:rPr>
          <w:rFonts w:hint="eastAsia" w:ascii="仿宋_GB2312" w:hAnsi="宋体" w:eastAsia="仿宋_GB2312"/>
          <w:sz w:val="32"/>
          <w:szCs w:val="32"/>
          <w:lang w:val="zh-CN"/>
        </w:rPr>
        <w:t>项目资金申报和批复数均为0.3万，无调整，符合资金管理办法等相关规定。</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r>
        <w:rPr>
          <w:rFonts w:hint="eastAsia" w:ascii="仿宋_GB2312" w:hAnsi="宋体" w:eastAsia="仿宋_GB2312"/>
          <w:sz w:val="32"/>
          <w:szCs w:val="32"/>
          <w:lang w:val="zh-CN"/>
        </w:rPr>
        <w:t xml:space="preserve">本年度计划组织与业务相关的公务接待活动1-2次，以促进业务交流，公务接待费控制在0.3万以内，项目实施进度按照实际需要安排。  </w:t>
      </w:r>
      <w:r>
        <w:rPr>
          <w:rFonts w:hint="eastAsia" w:asciiTheme="minorEastAsia" w:hAnsiTheme="minorEastAsia" w:eastAsiaTheme="minorEastAsia"/>
          <w:sz w:val="32"/>
          <w:szCs w:val="32"/>
          <w:lang w:val="zh-CN"/>
        </w:rPr>
        <w:t xml:space="preserve">  </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（三）项目资金申报相符性。</w:t>
      </w:r>
      <w:r>
        <w:rPr>
          <w:rFonts w:hint="eastAsia" w:ascii="仿宋_GB2312" w:hAnsi="宋体" w:eastAsia="仿宋_GB2312"/>
          <w:sz w:val="32"/>
          <w:szCs w:val="32"/>
          <w:lang w:val="zh-CN"/>
        </w:rPr>
        <w:t>项目申报内容与具体实施内容相符、申报目标合理可行。</w:t>
      </w:r>
    </w:p>
    <w:p>
      <w:pPr>
        <w:adjustRightInd w:val="0"/>
        <w:snapToGrid w:val="0"/>
        <w:spacing w:line="600" w:lineRule="exact"/>
        <w:ind w:firstLine="720"/>
        <w:rPr>
          <w:rFonts w:ascii="黑体" w:hAnsi="黑体" w:eastAsia="黑体"/>
          <w:sz w:val="32"/>
          <w:szCs w:val="32"/>
        </w:rPr>
      </w:pPr>
      <w:r>
        <w:rPr>
          <w:rFonts w:hint="eastAsia" w:ascii="黑体" w:hAnsi="黑体" w:eastAsia="黑体"/>
          <w:sz w:val="32"/>
          <w:szCs w:val="32"/>
        </w:rPr>
        <w:t>二、项目实施及管理情况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ab/>
      </w:r>
      <w:r>
        <w:rPr>
          <w:rFonts w:hint="eastAsia" w:ascii="楷体_GB2312" w:hAnsi="宋体" w:eastAsia="楷体_GB2312"/>
          <w:b/>
          <w:sz w:val="32"/>
          <w:szCs w:val="32"/>
          <w:lang w:val="zh-CN"/>
        </w:rPr>
        <w:t>（一）资金计划、到位及使用情况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1．资金计划及到位。该项目各类资金计划截止到评价时点均已到位，资金到位率100%，资金到位及时，满足资金计划的正常进行。</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2．资金使用。2020年度实际支出数为0万元，完成预算0%，主要原因是受疫情影响，未组织公务接待。</w:t>
      </w:r>
    </w:p>
    <w:p>
      <w:pPr>
        <w:adjustRightInd w:val="0"/>
        <w:snapToGrid w:val="0"/>
        <w:spacing w:line="600" w:lineRule="exact"/>
        <w:ind w:firstLine="720"/>
        <w:rPr>
          <w:rFonts w:asciiTheme="minorEastAsia" w:hAnsiTheme="minorEastAsia" w:eastAsiaTheme="minorEastAsia"/>
          <w:b/>
          <w:sz w:val="32"/>
          <w:szCs w:val="32"/>
          <w:lang w:val="zh-CN"/>
        </w:rPr>
      </w:pPr>
      <w:r>
        <w:rPr>
          <w:rFonts w:hint="eastAsia" w:ascii="楷体_GB2312" w:hAnsi="宋体" w:eastAsia="楷体_GB2312"/>
          <w:b/>
          <w:sz w:val="32"/>
          <w:szCs w:val="32"/>
          <w:lang w:val="zh-CN"/>
        </w:rPr>
        <w:t>（二）项目财务管理情况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单位针对项目资金建立了专门的财务管理制度，具备规范的财务部门和财务人员进行规范的会计核算和账务处理。按照项目资金管理办法的相关规定，该项目严格执行财务管理制度，财务处理及时，会计核算规范。</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（三）项目组织实施情况</w:t>
      </w:r>
    </w:p>
    <w:p>
      <w:pPr>
        <w:adjustRightInd w:val="0"/>
        <w:snapToGrid w:val="0"/>
        <w:spacing w:line="600" w:lineRule="exact"/>
        <w:ind w:firstLine="640" w:firstLineChars="200"/>
        <w:rPr>
          <w:rFonts w:asciiTheme="minorEastAsia" w:hAnsiTheme="minorEastAsia" w:eastAsiaTheme="minorEastAsia"/>
          <w:sz w:val="32"/>
          <w:szCs w:val="32"/>
          <w:lang w:val="zh-CN"/>
        </w:rPr>
      </w:pPr>
      <w:r>
        <w:rPr>
          <w:rFonts w:hint="eastAsia" w:ascii="仿宋_GB2312" w:hAnsi="宋体" w:eastAsia="仿宋_GB2312"/>
          <w:sz w:val="32"/>
          <w:szCs w:val="32"/>
          <w:lang w:val="zh-CN"/>
        </w:rPr>
        <w:t>项目组织管理主要由各业务组、财务室和单位负责人组成，项目实施由各业务组申请，财务室审核，单位负责人监督并把控。</w:t>
      </w:r>
    </w:p>
    <w:p>
      <w:pPr>
        <w:adjustRightInd w:val="0"/>
        <w:snapToGrid w:val="0"/>
        <w:spacing w:line="600" w:lineRule="exact"/>
        <w:ind w:firstLine="720"/>
        <w:rPr>
          <w:rFonts w:ascii="黑体" w:hAnsi="黑体" w:eastAsia="黑体"/>
          <w:sz w:val="32"/>
          <w:szCs w:val="32"/>
        </w:rPr>
      </w:pPr>
      <w:r>
        <w:rPr>
          <w:rFonts w:hint="eastAsia" w:ascii="黑体" w:hAnsi="黑体" w:eastAsia="黑体"/>
          <w:sz w:val="32"/>
          <w:szCs w:val="32"/>
        </w:rPr>
        <w:t>三、项目绩效情况</w:t>
      </w:r>
      <w:r>
        <w:rPr>
          <w:rFonts w:hint="eastAsia" w:ascii="黑体" w:hAnsi="黑体" w:eastAsia="黑体"/>
          <w:sz w:val="32"/>
          <w:szCs w:val="32"/>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因疫情原因，本年度未安排公务接待，未发生公务接待费，项目完成度为0%。</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从项目经济、社会、生态、可持续效益以及服务对象满意度等方面对项目效益进行全面分析评价。</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受疫情影响，本年未发生公务接待费，从经济上来讲节约了成本开支，从社会和可持续发展上来讲单位严格执行国家防疫政策，是以人为本的体现。</w:t>
      </w:r>
    </w:p>
    <w:p>
      <w:pPr>
        <w:adjustRightInd w:val="0"/>
        <w:snapToGrid w:val="0"/>
        <w:spacing w:line="600" w:lineRule="exact"/>
        <w:ind w:firstLine="720"/>
        <w:rPr>
          <w:rFonts w:ascii="黑体" w:hAnsi="黑体" w:eastAsia="黑体"/>
          <w:sz w:val="32"/>
          <w:szCs w:val="32"/>
        </w:rPr>
      </w:pPr>
      <w:r>
        <w:rPr>
          <w:rFonts w:hint="eastAsia" w:ascii="黑体" w:hAnsi="黑体" w:eastAsia="黑体"/>
          <w:sz w:val="32"/>
          <w:szCs w:val="32"/>
        </w:rPr>
        <w:t>四、问题及建议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（一）存在的问题。</w:t>
      </w:r>
      <w:r>
        <w:rPr>
          <w:rFonts w:hint="eastAsia" w:ascii="仿宋_GB2312" w:hAnsi="宋体" w:eastAsia="仿宋_GB2312"/>
          <w:sz w:val="32"/>
          <w:szCs w:val="32"/>
          <w:lang w:val="zh-CN"/>
        </w:rPr>
        <w:t>该项目本年度不存在问题。</w:t>
      </w:r>
    </w:p>
    <w:p>
      <w:pPr>
        <w:adjustRightInd w:val="0"/>
        <w:snapToGrid w:val="0"/>
        <w:spacing w:line="600" w:lineRule="exact"/>
        <w:ind w:firstLine="643" w:firstLineChars="200"/>
        <w:rPr>
          <w:rFonts w:ascii="仿宋_GB2312" w:hAnsi="宋体" w:eastAsia="仿宋_GB2312"/>
          <w:sz w:val="32"/>
          <w:szCs w:val="32"/>
          <w:lang w:val="zh-CN"/>
        </w:rPr>
      </w:pPr>
      <w:r>
        <w:rPr>
          <w:rFonts w:hint="eastAsia" w:ascii="楷体_GB2312" w:hAnsi="宋体" w:eastAsia="楷体_GB2312"/>
          <w:b/>
          <w:sz w:val="32"/>
          <w:szCs w:val="32"/>
          <w:lang w:val="zh-CN"/>
        </w:rPr>
        <w:t>（二）相关建议。</w:t>
      </w:r>
      <w:r>
        <w:rPr>
          <w:rFonts w:hint="eastAsia" w:ascii="仿宋_GB2312" w:hAnsi="宋体" w:eastAsia="仿宋_GB2312"/>
          <w:sz w:val="32"/>
          <w:szCs w:val="32"/>
          <w:lang w:val="zh-CN"/>
        </w:rPr>
        <w:t>在项目支出手续和流程方面应该加强把控，严格支出。</w:t>
      </w: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2020年四川省国际经济贸易研究所</w:t>
      </w: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其他交通费用项目支出绩效自评报告</w:t>
      </w: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（项目单位自评）</w:t>
      </w:r>
    </w:p>
    <w:p>
      <w:pPr>
        <w:spacing w:line="600" w:lineRule="exact"/>
        <w:ind w:firstLine="640"/>
        <w:jc w:val="center"/>
        <w:rPr>
          <w:rFonts w:asciiTheme="minorEastAsia" w:hAnsiTheme="minorEastAsia" w:eastAsiaTheme="minorEastAsia"/>
          <w:sz w:val="32"/>
          <w:szCs w:val="32"/>
          <w:lang w:val="zh-CN"/>
        </w:rPr>
      </w:pPr>
    </w:p>
    <w:p>
      <w:pPr>
        <w:adjustRightInd w:val="0"/>
        <w:snapToGrid w:val="0"/>
        <w:spacing w:line="600" w:lineRule="exact"/>
        <w:ind w:firstLine="720"/>
        <w:rPr>
          <w:rFonts w:ascii="黑体" w:hAnsi="黑体" w:eastAsia="黑体"/>
          <w:sz w:val="32"/>
          <w:szCs w:val="32"/>
        </w:rPr>
      </w:pPr>
      <w:r>
        <w:rPr>
          <w:rFonts w:hint="eastAsia" w:ascii="黑体" w:hAnsi="黑体" w:eastAsia="黑体"/>
          <w:sz w:val="32"/>
          <w:szCs w:val="32"/>
        </w:rPr>
        <w:t>一、项目概况</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（一）项目资金申报及批复情况。</w:t>
      </w:r>
      <w:r>
        <w:rPr>
          <w:rFonts w:hint="eastAsia" w:ascii="仿宋_GB2312" w:hAnsi="宋体" w:eastAsia="仿宋_GB2312"/>
          <w:sz w:val="32"/>
          <w:szCs w:val="32"/>
          <w:lang w:val="zh-CN"/>
        </w:rPr>
        <w:t>项目资金申报和批复数均为4万，无调整，符合资金管理办法等相关规定。</w:t>
      </w:r>
    </w:p>
    <w:p>
      <w:pPr>
        <w:adjustRightInd w:val="0"/>
        <w:snapToGrid w:val="0"/>
        <w:spacing w:line="600" w:lineRule="exact"/>
        <w:ind w:firstLine="720"/>
        <w:rPr>
          <w:rFonts w:asciiTheme="minorEastAsia" w:hAnsiTheme="minorEastAsia" w:eastAsiaTheme="minorEastAsia"/>
          <w:sz w:val="32"/>
          <w:szCs w:val="32"/>
          <w:lang w:val="zh-CN"/>
        </w:rPr>
      </w:pPr>
      <w:r>
        <w:rPr>
          <w:rFonts w:hint="eastAsia" w:ascii="楷体_GB2312" w:hAnsi="宋体" w:eastAsia="楷体_GB2312"/>
          <w:b/>
          <w:sz w:val="32"/>
          <w:szCs w:val="32"/>
          <w:lang w:val="zh-CN"/>
        </w:rPr>
        <w:t>（二）项目绩效目标。</w:t>
      </w:r>
      <w:r>
        <w:rPr>
          <w:rFonts w:hint="eastAsia" w:ascii="仿宋_GB2312" w:hAnsi="宋体" w:eastAsia="仿宋_GB2312"/>
          <w:sz w:val="32"/>
          <w:szCs w:val="32"/>
          <w:lang w:val="zh-CN"/>
        </w:rPr>
        <w:t>该项目计划实现的具体绩效目标为满足单位调研工作的短途交通出行需要，费用数额控制在4万以内，项目实施进度按照每月均摊累计进行。</w:t>
      </w:r>
      <w:r>
        <w:rPr>
          <w:rFonts w:hint="eastAsia" w:asciiTheme="minorEastAsia" w:hAnsiTheme="minorEastAsia" w:eastAsiaTheme="minorEastAsia"/>
          <w:sz w:val="32"/>
          <w:szCs w:val="32"/>
          <w:lang w:val="zh-CN"/>
        </w:rPr>
        <w:t xml:space="preserve">    </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（三）项目资金申报相符性。</w:t>
      </w:r>
      <w:r>
        <w:rPr>
          <w:rFonts w:hint="eastAsia" w:ascii="仿宋_GB2312" w:hAnsi="宋体" w:eastAsia="仿宋_GB2312"/>
          <w:sz w:val="32"/>
          <w:szCs w:val="32"/>
          <w:lang w:val="zh-CN"/>
        </w:rPr>
        <w:t>项目申报内容与具体实施内容相符、申报目标合理可行。</w:t>
      </w:r>
    </w:p>
    <w:p>
      <w:pPr>
        <w:adjustRightInd w:val="0"/>
        <w:snapToGrid w:val="0"/>
        <w:spacing w:line="600" w:lineRule="exact"/>
        <w:ind w:firstLine="720"/>
        <w:rPr>
          <w:rFonts w:ascii="黑体" w:hAnsi="黑体" w:eastAsia="黑体"/>
          <w:sz w:val="32"/>
          <w:szCs w:val="32"/>
        </w:rPr>
      </w:pPr>
      <w:r>
        <w:rPr>
          <w:rFonts w:hint="eastAsia" w:ascii="黑体" w:hAnsi="黑体" w:eastAsia="黑体"/>
          <w:sz w:val="32"/>
          <w:szCs w:val="32"/>
        </w:rPr>
        <w:t>二、项目实施及管理情况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ab/>
      </w:r>
      <w:r>
        <w:rPr>
          <w:rFonts w:hint="eastAsia" w:ascii="楷体_GB2312" w:hAnsi="宋体" w:eastAsia="楷体_GB2312"/>
          <w:b/>
          <w:sz w:val="32"/>
          <w:szCs w:val="32"/>
          <w:lang w:val="zh-CN"/>
        </w:rPr>
        <w:t>（一）资金计划、到位及使用情况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1．资金计划及到位。该项目各类资金计划截止到评价时点均已到位，资金到位率100%，资金到位及时，满足资金计划的正常进行。</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2．资金使用。本年实际支出数额为3.71万元，完成预算92.75%，与预算数基本持平，支付依据合法合规。</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单位针对项目资金建立了专门的财务管理制度，具备规范的财务部门和财务人员进行规范的会计核算和账务处理。按照项目资金管理办法的相关规定，该项目严格执行财务管理制度，财务处理及时，会计核算规范。</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（三）项目组织实施情况</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项目组织管理主要由各业务组、财务室和单位负责人组成，项目实施由各业务组申请，财务室审核，单位负责人监督并把控。</w:t>
      </w: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lang w:val="zh-CN"/>
        </w:rPr>
        <w:t>三、项目绩效情况</w:t>
      </w:r>
      <w:r>
        <w:rPr>
          <w:rFonts w:hint="eastAsia" w:ascii="黑体" w:hAnsi="宋体" w:eastAsia="黑体"/>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本年度该项目支出与预算基本持平，执行良好，严格控制不必要的支出，严格按照预算规划执行，实现了成本的有效控制。</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本年度该项目执行良好，对单位的调研工作提供了支持，提高了单位工作效率。</w:t>
      </w: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lang w:val="zh-CN"/>
        </w:rPr>
        <w:t>四、问题及建议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（一）存在的问题。</w:t>
      </w:r>
      <w:r>
        <w:rPr>
          <w:rFonts w:hint="eastAsia" w:ascii="仿宋_GB2312" w:hAnsi="宋体" w:eastAsia="仿宋_GB2312"/>
          <w:sz w:val="32"/>
          <w:szCs w:val="32"/>
          <w:lang w:val="zh-CN"/>
        </w:rPr>
        <w:t>在交通费用的报销过程中存在票据不合规的情况。</w:t>
      </w:r>
    </w:p>
    <w:p>
      <w:pPr>
        <w:adjustRightInd w:val="0"/>
        <w:snapToGrid w:val="0"/>
        <w:spacing w:line="600" w:lineRule="exact"/>
        <w:ind w:firstLine="643" w:firstLineChars="200"/>
        <w:rPr>
          <w:rFonts w:ascii="仿宋_GB2312" w:hAnsi="宋体" w:eastAsia="仿宋_GB2312"/>
          <w:sz w:val="32"/>
          <w:szCs w:val="32"/>
          <w:lang w:val="zh-CN"/>
        </w:rPr>
      </w:pPr>
      <w:r>
        <w:rPr>
          <w:rFonts w:hint="eastAsia" w:ascii="楷体_GB2312" w:hAnsi="宋体" w:eastAsia="楷体_GB2312"/>
          <w:b/>
          <w:sz w:val="32"/>
          <w:szCs w:val="32"/>
          <w:lang w:val="zh-CN"/>
        </w:rPr>
        <w:t>（二）相关建议。</w:t>
      </w:r>
      <w:r>
        <w:rPr>
          <w:rFonts w:hint="eastAsia" w:ascii="仿宋_GB2312" w:hAnsi="宋体" w:eastAsia="仿宋_GB2312"/>
          <w:sz w:val="32"/>
          <w:szCs w:val="32"/>
          <w:lang w:val="zh-CN"/>
        </w:rPr>
        <w:t>加强对单位人员交通费报销流程及手续的培训。</w:t>
      </w: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2020年四川省国际经济贸易研究所</w:t>
      </w: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业务经费项目支出绩效自评报告</w:t>
      </w: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（项目单位自评）</w:t>
      </w:r>
    </w:p>
    <w:p>
      <w:pPr>
        <w:spacing w:line="600" w:lineRule="exact"/>
        <w:ind w:firstLine="640"/>
        <w:jc w:val="center"/>
        <w:rPr>
          <w:rFonts w:asciiTheme="minorEastAsia" w:hAnsiTheme="minorEastAsia" w:eastAsiaTheme="minorEastAsia"/>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lang w:val="zh-CN"/>
        </w:rPr>
        <w:t>一、项目概况</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（一）项目资金申报及批复情况。</w:t>
      </w:r>
      <w:r>
        <w:rPr>
          <w:rFonts w:hint="eastAsia" w:ascii="仿宋_GB2312" w:hAnsi="宋体" w:eastAsia="仿宋_GB2312"/>
          <w:sz w:val="32"/>
          <w:szCs w:val="32"/>
          <w:lang w:val="zh-CN"/>
        </w:rPr>
        <w:t>项目资金申报和批复数均为10.53万，无调整，符合资金管理办法等相关规定。</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r>
        <w:rPr>
          <w:rFonts w:hint="eastAsia" w:ascii="仿宋_GB2312" w:hAnsi="宋体" w:eastAsia="仿宋_GB2312"/>
          <w:sz w:val="32"/>
          <w:szCs w:val="32"/>
          <w:lang w:val="zh-CN"/>
        </w:rPr>
        <w:t xml:space="preserve">本年度计划实现的具体绩效目标为满足单位业务工作的各项零星开支，数额控制在10.53万以内，实施进度按照业务需求安排。 </w:t>
      </w:r>
      <w:r>
        <w:rPr>
          <w:rFonts w:hint="eastAsia" w:asciiTheme="minorEastAsia" w:hAnsiTheme="minorEastAsia" w:eastAsiaTheme="minorEastAsia"/>
          <w:sz w:val="32"/>
          <w:szCs w:val="32"/>
          <w:lang w:val="zh-CN"/>
        </w:rPr>
        <w:t xml:space="preserve">   </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（三）项目资金申报相符性。</w:t>
      </w:r>
      <w:r>
        <w:rPr>
          <w:rFonts w:hint="eastAsia" w:ascii="仿宋_GB2312" w:hAnsi="宋体" w:eastAsia="仿宋_GB2312"/>
          <w:sz w:val="32"/>
          <w:szCs w:val="32"/>
          <w:lang w:val="zh-CN"/>
        </w:rPr>
        <w:t>项目申报内容与具体实施内容相符、申报目标合理可行。</w:t>
      </w: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lang w:val="zh-CN"/>
        </w:rPr>
        <w:t>二、项目实施及管理情况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ab/>
      </w:r>
      <w:r>
        <w:rPr>
          <w:rFonts w:hint="eastAsia" w:ascii="楷体_GB2312" w:hAnsi="宋体" w:eastAsia="楷体_GB2312"/>
          <w:b/>
          <w:sz w:val="32"/>
          <w:szCs w:val="32"/>
          <w:lang w:val="zh-CN"/>
        </w:rPr>
        <w:t>（一）资金计划、到位及使用情况</w:t>
      </w:r>
    </w:p>
    <w:p>
      <w:pPr>
        <w:adjustRightInd w:val="0"/>
        <w:snapToGrid w:val="0"/>
        <w:spacing w:line="600" w:lineRule="exact"/>
        <w:ind w:firstLine="720"/>
        <w:rPr>
          <w:rFonts w:ascii="仿宋_GB2312" w:hAnsi="宋体" w:eastAsia="仿宋_GB2312"/>
          <w:sz w:val="32"/>
          <w:szCs w:val="32"/>
          <w:lang w:val="zh-CN"/>
        </w:rPr>
      </w:pPr>
      <w:r>
        <w:rPr>
          <w:rFonts w:hint="eastAsia" w:asciiTheme="minorEastAsia" w:hAnsiTheme="minorEastAsia" w:eastAsiaTheme="minorEastAsia"/>
          <w:sz w:val="32"/>
          <w:szCs w:val="32"/>
          <w:lang w:val="zh-CN"/>
        </w:rPr>
        <w:t>1．</w:t>
      </w:r>
      <w:r>
        <w:rPr>
          <w:rFonts w:hint="eastAsia" w:ascii="仿宋_GB2312" w:hAnsi="宋体" w:eastAsia="仿宋_GB2312"/>
          <w:sz w:val="32"/>
          <w:szCs w:val="32"/>
          <w:lang w:val="zh-CN"/>
        </w:rPr>
        <w:t>资金计划及到位。该项目各类资金计划截止到评价时点均已到位，资金到位率100%，资金到位及时，满足资金计划的正常进行。</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2．资金使用。本年度实际支出数额为10.46万元，完成预算99.34%，与预算数基本持平，支付依据合法合规。</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单位针对项目资金建立了专门的财务管理制度，具备规范的财务部门和财务人员进行规范的会计核算和账务处理。按照项目资金管理办法的相关规定，该项目严格执行财务管理制度，财务处理及时，会计核算规范</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（三）项目组织实施情况</w:t>
      </w:r>
    </w:p>
    <w:p>
      <w:pPr>
        <w:adjustRightInd w:val="0"/>
        <w:snapToGrid w:val="0"/>
        <w:spacing w:line="600" w:lineRule="exact"/>
        <w:ind w:firstLine="640" w:firstLineChars="200"/>
        <w:rPr>
          <w:rFonts w:asciiTheme="minorEastAsia" w:hAnsiTheme="minorEastAsia" w:eastAsiaTheme="minorEastAsia"/>
          <w:sz w:val="32"/>
          <w:szCs w:val="32"/>
          <w:lang w:val="zh-CN"/>
        </w:rPr>
      </w:pPr>
      <w:r>
        <w:rPr>
          <w:rFonts w:hint="eastAsia" w:ascii="仿宋_GB2312" w:hAnsi="宋体" w:eastAsia="仿宋_GB2312"/>
          <w:sz w:val="32"/>
          <w:szCs w:val="32"/>
          <w:lang w:val="zh-CN"/>
        </w:rPr>
        <w:t>项目组织管理主要由各业务组、财务室和单位负责人组成，项目实施由各业务组申请，财务室审核，单位负责人监督并把控。</w:t>
      </w: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lang w:val="zh-CN"/>
        </w:rPr>
        <w:t>三、项目绩效情况</w:t>
      </w:r>
      <w:r>
        <w:rPr>
          <w:rFonts w:hint="eastAsia" w:ascii="黑体" w:hAnsi="宋体" w:eastAsia="黑体"/>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pStyle w:val="2"/>
        <w:spacing w:before="93"/>
        <w:rPr>
          <w:rFonts w:hAnsi="宋体"/>
          <w:kern w:val="2"/>
          <w:sz w:val="32"/>
          <w:szCs w:val="32"/>
          <w:lang w:val="zh-CN"/>
        </w:rPr>
      </w:pPr>
      <w:r>
        <w:rPr>
          <w:rFonts w:hint="eastAsia" w:hAnsi="宋体"/>
          <w:kern w:val="2"/>
          <w:sz w:val="32"/>
          <w:szCs w:val="32"/>
          <w:lang w:val="zh-CN"/>
        </w:rPr>
        <w:t xml:space="preserve">    本年度该项目支出与预算基本持平，执行良好，严格控制不必要的支出，严格按照预算规划执行，实现了成本的有效控制。</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pStyle w:val="2"/>
        <w:spacing w:before="93"/>
        <w:ind w:firstLine="640" w:firstLineChars="200"/>
        <w:rPr>
          <w:rFonts w:hAnsi="宋体"/>
          <w:kern w:val="2"/>
          <w:sz w:val="32"/>
          <w:szCs w:val="32"/>
          <w:lang w:val="zh-CN"/>
        </w:rPr>
      </w:pPr>
      <w:r>
        <w:rPr>
          <w:rFonts w:hint="eastAsia" w:hAnsi="宋体"/>
          <w:kern w:val="2"/>
          <w:sz w:val="32"/>
          <w:szCs w:val="32"/>
          <w:lang w:val="zh-CN"/>
        </w:rPr>
        <w:t>通过该项目实施，提高了单位调研工作成效。是单位核心业务的体现，为整个商务系统的研究工作提供了支持和服务。</w:t>
      </w: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lang w:val="zh-CN"/>
        </w:rPr>
        <w:t>四、问题及建议</w:t>
      </w:r>
    </w:p>
    <w:p>
      <w:pPr>
        <w:pStyle w:val="2"/>
        <w:spacing w:before="93"/>
        <w:ind w:firstLine="643" w:firstLineChars="200"/>
        <w:rPr>
          <w:rFonts w:hAnsi="宋体"/>
          <w:kern w:val="2"/>
          <w:sz w:val="32"/>
          <w:szCs w:val="32"/>
          <w:lang w:val="zh-CN"/>
        </w:rPr>
      </w:pPr>
      <w:r>
        <w:rPr>
          <w:rFonts w:hint="eastAsia" w:ascii="楷体_GB2312" w:hAnsi="宋体" w:eastAsia="楷体_GB2312"/>
          <w:b/>
          <w:sz w:val="32"/>
          <w:szCs w:val="32"/>
          <w:lang w:val="zh-CN"/>
        </w:rPr>
        <w:t>（一）存在的问题。</w:t>
      </w:r>
      <w:r>
        <w:rPr>
          <w:rFonts w:hint="eastAsia" w:hAnsi="宋体"/>
          <w:kern w:val="2"/>
          <w:sz w:val="32"/>
          <w:szCs w:val="32"/>
          <w:lang w:val="zh-CN"/>
        </w:rPr>
        <w:t>业务经费的各项开支没有归集到具体的科目进行核算，不利于日后核查。</w:t>
      </w:r>
    </w:p>
    <w:p>
      <w:pPr>
        <w:adjustRightInd w:val="0"/>
        <w:snapToGrid w:val="0"/>
        <w:spacing w:line="600" w:lineRule="exact"/>
        <w:ind w:firstLine="643" w:firstLineChars="200"/>
        <w:rPr>
          <w:rFonts w:ascii="仿宋_GB2312" w:hAnsi="宋体" w:eastAsia="仿宋_GB2312"/>
          <w:sz w:val="32"/>
          <w:szCs w:val="32"/>
          <w:lang w:val="zh-CN"/>
        </w:rPr>
      </w:pPr>
      <w:r>
        <w:rPr>
          <w:rFonts w:hint="eastAsia" w:ascii="楷体_GB2312" w:hAnsi="宋体" w:eastAsia="楷体_GB2312"/>
          <w:b/>
          <w:kern w:val="0"/>
          <w:sz w:val="32"/>
          <w:szCs w:val="32"/>
          <w:lang w:val="zh-CN"/>
        </w:rPr>
        <w:t>（二）相关建议。</w:t>
      </w:r>
      <w:r>
        <w:rPr>
          <w:rFonts w:hint="eastAsia" w:ascii="仿宋_GB2312" w:hAnsi="宋体" w:eastAsia="仿宋_GB2312"/>
          <w:sz w:val="32"/>
          <w:szCs w:val="32"/>
          <w:lang w:val="zh-CN"/>
        </w:rPr>
        <w:t>将业务经费的各项开支归集到具体的科目，以便日后核查。</w:t>
      </w:r>
    </w:p>
    <w:p>
      <w:pPr>
        <w:spacing w:line="600" w:lineRule="exact"/>
        <w:jc w:val="center"/>
        <w:rPr>
          <w:rFonts w:asciiTheme="minorEastAsia" w:hAnsiTheme="minorEastAsia" w:eastAsiaTheme="minorEastAsia"/>
          <w:kern w:val="0"/>
          <w:sz w:val="32"/>
          <w:szCs w:val="32"/>
          <w:lang w:val="zh-CN"/>
        </w:rPr>
      </w:pPr>
    </w:p>
    <w:p>
      <w:pPr>
        <w:spacing w:line="600" w:lineRule="exact"/>
        <w:jc w:val="center"/>
        <w:rPr>
          <w:rFonts w:asciiTheme="minorEastAsia" w:hAnsiTheme="minorEastAsia" w:eastAsiaTheme="minorEastAsia"/>
          <w:kern w:val="0"/>
          <w:sz w:val="32"/>
          <w:szCs w:val="32"/>
          <w:lang w:val="zh-CN"/>
        </w:rPr>
      </w:pPr>
    </w:p>
    <w:p>
      <w:pPr>
        <w:pStyle w:val="2"/>
        <w:spacing w:before="93"/>
        <w:rPr>
          <w:lang w:val="zh-CN"/>
        </w:rPr>
      </w:pP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2020年四川省国际经济贸易研究所</w:t>
      </w: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租赁费项目支出绩效自评报告</w:t>
      </w: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（项目单位自评）</w:t>
      </w:r>
    </w:p>
    <w:p>
      <w:pPr>
        <w:spacing w:line="600" w:lineRule="exact"/>
        <w:ind w:firstLine="640"/>
        <w:jc w:val="center"/>
        <w:rPr>
          <w:rFonts w:asciiTheme="minorEastAsia" w:hAnsiTheme="minorEastAsia" w:eastAsiaTheme="minorEastAsia"/>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lang w:val="zh-CN"/>
        </w:rPr>
        <w:t>一、项目概况</w:t>
      </w:r>
    </w:p>
    <w:p>
      <w:pPr>
        <w:adjustRightInd w:val="0"/>
        <w:snapToGrid w:val="0"/>
        <w:spacing w:line="600" w:lineRule="exact"/>
        <w:ind w:firstLine="643" w:firstLineChars="200"/>
        <w:rPr>
          <w:rFonts w:ascii="仿宋_GB2312" w:hAnsi="宋体" w:eastAsia="仿宋_GB2312"/>
          <w:sz w:val="32"/>
          <w:szCs w:val="32"/>
          <w:lang w:val="zh-CN"/>
        </w:rPr>
      </w:pPr>
      <w:r>
        <w:rPr>
          <w:rFonts w:hint="eastAsia" w:ascii="楷体_GB2312" w:hAnsi="宋体" w:eastAsia="楷体_GB2312"/>
          <w:b/>
          <w:sz w:val="32"/>
          <w:szCs w:val="32"/>
          <w:lang w:val="zh-CN"/>
        </w:rPr>
        <w:t>（一）项目资金申报及批复情况。</w:t>
      </w:r>
      <w:r>
        <w:rPr>
          <w:rFonts w:hint="eastAsia" w:ascii="仿宋_GB2312" w:hAnsi="宋体" w:eastAsia="仿宋_GB2312"/>
          <w:sz w:val="32"/>
          <w:szCs w:val="32"/>
          <w:lang w:val="zh-CN"/>
        </w:rPr>
        <w:t>项目资金申报和批复数均为13万，无调整，符合资金管理办法等相关规定。</w:t>
      </w:r>
    </w:p>
    <w:p>
      <w:pPr>
        <w:adjustRightInd w:val="0"/>
        <w:snapToGrid w:val="0"/>
        <w:spacing w:line="600" w:lineRule="exact"/>
        <w:ind w:firstLine="643" w:firstLineChars="20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r>
        <w:rPr>
          <w:rFonts w:hint="eastAsia" w:ascii="仿宋_GB2312" w:hAnsi="宋体" w:eastAsia="仿宋_GB2312"/>
          <w:sz w:val="32"/>
          <w:szCs w:val="32"/>
          <w:lang w:val="zh-CN"/>
        </w:rPr>
        <w:t xml:space="preserve">该项目计划用于单位租赁光大金融中心作为办公楼的费用，数额控制在13万以内，实施进度按照租赁合同规定安排。 </w:t>
      </w:r>
      <w:r>
        <w:rPr>
          <w:rFonts w:hint="eastAsia" w:asciiTheme="minorEastAsia" w:hAnsiTheme="minorEastAsia" w:eastAsiaTheme="minorEastAsia"/>
          <w:sz w:val="32"/>
          <w:szCs w:val="32"/>
          <w:lang w:val="zh-CN"/>
        </w:rPr>
        <w:t xml:space="preserve">   </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（三）项目资金申报相符性。</w:t>
      </w:r>
      <w:r>
        <w:rPr>
          <w:rFonts w:hint="eastAsia" w:ascii="仿宋_GB2312" w:hAnsi="宋体" w:eastAsia="仿宋_GB2312"/>
          <w:sz w:val="32"/>
          <w:szCs w:val="32"/>
          <w:lang w:val="zh-CN"/>
        </w:rPr>
        <w:t>项目申报内容与具体实施内容相符、申报目标合理可行。</w:t>
      </w: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lang w:val="zh-CN"/>
        </w:rPr>
        <w:t>二、项目实施及管理情况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ab/>
      </w:r>
      <w:r>
        <w:rPr>
          <w:rFonts w:hint="eastAsia" w:ascii="楷体_GB2312" w:hAnsi="宋体" w:eastAsia="楷体_GB2312"/>
          <w:b/>
          <w:sz w:val="32"/>
          <w:szCs w:val="32"/>
          <w:lang w:val="zh-CN"/>
        </w:rPr>
        <w:t>（一）资金计划、到位及使用情况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1．资金计划及到位。该项目各类资金计划截止到评价时点均已到位，资金到位率100%，资金到位及时，满足资金计划的正常进行。</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2．资金使用。该项目实际支出数为12.08万元，完成预算98.69%，与预算数基本持平，支付依据合法合规。</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单位针对项目资金建立了专门的财务管理制度，具备规范的财务部门和财务人员进行规范的会计核算和账务处理。按照项目资金管理办法的相关规定，该项目严格执行财务管理制度，财务处理及时，会计核算规范。</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（三）项目组织实施情况</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项目组织管理主要由办公室、财务室和单位负责人组成，项目实施由办公室根据合同规定申请，财务室审核，单位负责人监督并把控。</w:t>
      </w: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lang w:val="zh-CN"/>
        </w:rPr>
        <w:t>三、项目绩效情况</w:t>
      </w:r>
      <w:r>
        <w:rPr>
          <w:rFonts w:hint="eastAsia" w:ascii="黑体" w:hAnsi="宋体" w:eastAsia="黑体"/>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本年度该项目支出与预算基本持平，执行良好，严格控制不必要的支出，严格按照预算规划执行，实现了成本的有效控制。</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640" w:firstLineChars="200"/>
        <w:rPr>
          <w:rFonts w:asciiTheme="minorEastAsia" w:hAnsiTheme="minorEastAsia" w:eastAsiaTheme="minorEastAsia"/>
          <w:sz w:val="32"/>
          <w:szCs w:val="32"/>
          <w:lang w:val="zh-CN"/>
        </w:rPr>
      </w:pPr>
      <w:r>
        <w:rPr>
          <w:rFonts w:hint="eastAsia" w:ascii="仿宋_GB2312" w:hAnsi="宋体" w:eastAsia="仿宋_GB2312"/>
          <w:sz w:val="32"/>
          <w:szCs w:val="32"/>
          <w:lang w:val="zh-CN"/>
        </w:rPr>
        <w:t>该项目为单位的工作和业务提供了后勤保障，本着不铺张浪费和不大兴修建的目的，以租赁的形式进行替代。</w:t>
      </w: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lang w:val="zh-CN"/>
        </w:rPr>
        <w:t>四、问题及建议</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（一）存在的问题</w:t>
      </w:r>
      <w:r>
        <w:rPr>
          <w:rFonts w:hint="eastAsia" w:ascii="仿宋_GB2312" w:hAnsi="宋体" w:eastAsia="仿宋_GB2312"/>
          <w:sz w:val="32"/>
          <w:szCs w:val="32"/>
          <w:lang w:val="zh-CN"/>
        </w:rPr>
        <w:t>。该合同业务标的过高，加重了单位的成本开支。</w:t>
      </w:r>
    </w:p>
    <w:p>
      <w:pPr>
        <w:adjustRightInd w:val="0"/>
        <w:snapToGrid w:val="0"/>
        <w:spacing w:line="600" w:lineRule="exact"/>
        <w:ind w:firstLine="643" w:firstLineChars="200"/>
        <w:rPr>
          <w:rFonts w:ascii="仿宋_GB2312" w:hAnsi="宋体" w:eastAsia="仿宋_GB2312"/>
          <w:sz w:val="32"/>
          <w:szCs w:val="32"/>
          <w:lang w:val="zh-CN"/>
        </w:rPr>
      </w:pPr>
      <w:r>
        <w:rPr>
          <w:rFonts w:hint="eastAsia" w:ascii="楷体_GB2312" w:hAnsi="宋体" w:eastAsia="楷体_GB2312"/>
          <w:b/>
          <w:sz w:val="32"/>
          <w:szCs w:val="32"/>
          <w:lang w:val="zh-CN"/>
        </w:rPr>
        <w:t>（二）相关建议</w:t>
      </w:r>
      <w:r>
        <w:rPr>
          <w:rFonts w:hint="eastAsia" w:asciiTheme="minorEastAsia" w:hAnsiTheme="minorEastAsia" w:eastAsiaTheme="minorEastAsia"/>
          <w:b/>
          <w:sz w:val="32"/>
          <w:szCs w:val="32"/>
          <w:lang w:val="zh-CN"/>
        </w:rPr>
        <w:t>。</w:t>
      </w:r>
      <w:r>
        <w:rPr>
          <w:rFonts w:hint="eastAsia" w:ascii="仿宋_GB2312" w:hAnsi="宋体" w:eastAsia="仿宋_GB2312"/>
          <w:sz w:val="32"/>
          <w:szCs w:val="32"/>
          <w:lang w:val="zh-CN"/>
        </w:rPr>
        <w:t>积极联系其他出租方，尽可能降低租赁费支出。</w:t>
      </w:r>
    </w:p>
    <w:p>
      <w:pPr>
        <w:pStyle w:val="2"/>
        <w:spacing w:before="93"/>
        <w:rPr>
          <w:lang w:val="zh-CN"/>
        </w:rPr>
      </w:pPr>
    </w:p>
    <w:p>
      <w:pPr>
        <w:pStyle w:val="2"/>
        <w:spacing w:before="93"/>
        <w:rPr>
          <w:lang w:val="zh-CN"/>
        </w:rPr>
      </w:pPr>
    </w:p>
    <w:p>
      <w:pPr>
        <w:pStyle w:val="2"/>
        <w:spacing w:before="93"/>
        <w:rPr>
          <w:lang w:val="zh-CN"/>
        </w:rPr>
      </w:pPr>
    </w:p>
    <w:p>
      <w:pPr>
        <w:pStyle w:val="2"/>
        <w:spacing w:before="93"/>
      </w:pP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2020年四川省国际经济贸易研究所</w:t>
      </w: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物业管理费项目支出绩效自评报告</w:t>
      </w: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（项目单位自评）</w:t>
      </w:r>
    </w:p>
    <w:p>
      <w:pPr>
        <w:spacing w:line="600" w:lineRule="exact"/>
        <w:ind w:firstLine="640"/>
        <w:jc w:val="center"/>
        <w:rPr>
          <w:rFonts w:asciiTheme="minorEastAsia" w:hAnsiTheme="minorEastAsia" w:eastAsiaTheme="minorEastAsia"/>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lang w:val="zh-CN"/>
        </w:rPr>
        <w:t>一、项目概况</w:t>
      </w:r>
    </w:p>
    <w:p>
      <w:pPr>
        <w:adjustRightInd w:val="0"/>
        <w:snapToGrid w:val="0"/>
        <w:spacing w:line="600" w:lineRule="exact"/>
        <w:ind w:firstLine="643" w:firstLineChars="200"/>
        <w:rPr>
          <w:rFonts w:ascii="仿宋_GB2312" w:hAnsi="宋体" w:eastAsia="仿宋_GB2312"/>
          <w:sz w:val="32"/>
          <w:szCs w:val="32"/>
          <w:lang w:val="zh-CN"/>
        </w:rPr>
      </w:pPr>
      <w:r>
        <w:rPr>
          <w:rFonts w:hint="eastAsia" w:ascii="楷体_GB2312" w:hAnsi="宋体" w:eastAsia="楷体_GB2312"/>
          <w:b/>
          <w:sz w:val="32"/>
          <w:szCs w:val="32"/>
          <w:lang w:val="zh-CN"/>
        </w:rPr>
        <w:t>（一）项目资金申报及批复情况。</w:t>
      </w:r>
      <w:r>
        <w:rPr>
          <w:rFonts w:hint="eastAsia" w:ascii="仿宋_GB2312" w:hAnsi="宋体" w:eastAsia="仿宋_GB2312"/>
          <w:sz w:val="32"/>
          <w:szCs w:val="32"/>
          <w:lang w:val="zh-CN"/>
        </w:rPr>
        <w:t>项目资金申报和批复数均为10万，无调整，符合资金管理办法等相关规定。</w:t>
      </w:r>
    </w:p>
    <w:p>
      <w:pPr>
        <w:adjustRightInd w:val="0"/>
        <w:snapToGrid w:val="0"/>
        <w:spacing w:line="600" w:lineRule="exact"/>
        <w:ind w:firstLine="643" w:firstLineChars="20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r>
        <w:rPr>
          <w:rFonts w:hint="eastAsia" w:ascii="仿宋_GB2312" w:hAnsi="宋体" w:eastAsia="仿宋_GB2312"/>
          <w:sz w:val="32"/>
          <w:szCs w:val="32"/>
          <w:lang w:val="zh-CN"/>
        </w:rPr>
        <w:t>该项目支出控制在10万以内，实施进度按照每月均摊累计进行。</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（三）项目资金申报相符性。</w:t>
      </w:r>
      <w:r>
        <w:rPr>
          <w:rFonts w:hint="eastAsia" w:ascii="仿宋_GB2312" w:hAnsi="宋体" w:eastAsia="仿宋_GB2312"/>
          <w:sz w:val="32"/>
          <w:szCs w:val="32"/>
          <w:lang w:val="zh-CN"/>
        </w:rPr>
        <w:t>项目申报内容与具体实施内容相符、申报目标合理可行。</w:t>
      </w: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lang w:val="zh-CN"/>
        </w:rPr>
        <w:t>二、项目实施及管理情况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ab/>
      </w:r>
      <w:r>
        <w:rPr>
          <w:rFonts w:hint="eastAsia" w:ascii="楷体_GB2312" w:hAnsi="宋体" w:eastAsia="楷体_GB2312"/>
          <w:b/>
          <w:sz w:val="32"/>
          <w:szCs w:val="32"/>
          <w:lang w:val="zh-CN"/>
        </w:rPr>
        <w:t>（一）资金计划、到位及使用情况</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1．资金计划及到位。该项目各类资金计划截止到评价时点均已到位，资金到位率100%，资金到位及时，满足资金计划的正常进行。</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2．资金使用。本年度实际支出数为5.81万元，完成预算58.1%，支出数小于预算数的主要原因是本年年中办公地址搬迁，原办公地址的物管费暂停支付。支付依据合法合规。</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（二）项目财务管理情况</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单位针对项目资金建立了专门的财务管理制度，具备规范的财务部门和财务人员进行规范的会计核算和账务处理。按照项目资金管理办法的相关规定，该项目严格执行财务管理制度，财务处理及时，会计核算规范。</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（三）项目组织实施情况</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项目组织管理主要由办公室、财务室和单位负责人组成，项目实施由办公室申请，财务室审核，单位负责人监督并把控。</w:t>
      </w: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lang w:val="zh-CN"/>
        </w:rPr>
        <w:t>三、项目绩效情况</w:t>
      </w:r>
      <w:r>
        <w:rPr>
          <w:rFonts w:hint="eastAsia" w:ascii="黑体" w:hAnsi="宋体" w:eastAsia="黑体"/>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本年度该项目支出由于办公地址搬迁，原办公地址的物管费暂停支付，影响该项目的完成进度，仅完成了预算的58.1%。</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640" w:firstLineChars="200"/>
        <w:rPr>
          <w:rFonts w:asciiTheme="minorEastAsia" w:hAnsiTheme="minorEastAsia" w:eastAsiaTheme="minorEastAsia"/>
          <w:sz w:val="32"/>
          <w:szCs w:val="32"/>
          <w:lang w:val="zh-CN"/>
        </w:rPr>
      </w:pPr>
      <w:r>
        <w:rPr>
          <w:rFonts w:hint="eastAsia" w:ascii="仿宋_GB2312" w:hAnsi="宋体" w:eastAsia="仿宋_GB2312"/>
          <w:sz w:val="32"/>
          <w:szCs w:val="32"/>
          <w:lang w:val="zh-CN"/>
        </w:rPr>
        <w:t>本年度该项目为单位工作提供后勤保障，优化了办公环境。</w:t>
      </w: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lang w:val="zh-CN"/>
        </w:rPr>
        <w:t>四、问题及建议</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（一）存在的问题。</w:t>
      </w:r>
      <w:r>
        <w:rPr>
          <w:rFonts w:hint="eastAsia" w:ascii="仿宋_GB2312" w:hAnsi="宋体" w:eastAsia="仿宋_GB2312"/>
          <w:sz w:val="32"/>
          <w:szCs w:val="32"/>
          <w:lang w:val="zh-CN"/>
        </w:rPr>
        <w:t>因办公地址搬迁，原办公地址的物管费暂定支付，造成本项目的执行进度缓慢。</w:t>
      </w:r>
    </w:p>
    <w:p>
      <w:pPr>
        <w:adjustRightInd w:val="0"/>
        <w:snapToGrid w:val="0"/>
        <w:spacing w:line="600" w:lineRule="exact"/>
        <w:ind w:firstLine="643" w:firstLineChars="200"/>
        <w:rPr>
          <w:rFonts w:ascii="仿宋_GB2312" w:hAnsi="宋体" w:eastAsia="仿宋_GB2312"/>
          <w:sz w:val="32"/>
          <w:szCs w:val="32"/>
          <w:lang w:val="zh-CN"/>
        </w:rPr>
      </w:pPr>
      <w:r>
        <w:rPr>
          <w:rFonts w:hint="eastAsia" w:ascii="楷体_GB2312" w:hAnsi="宋体" w:eastAsia="楷体_GB2312"/>
          <w:b/>
          <w:sz w:val="32"/>
          <w:szCs w:val="32"/>
          <w:lang w:val="zh-CN"/>
        </w:rPr>
        <w:t>（二）相关建议。</w:t>
      </w:r>
      <w:r>
        <w:rPr>
          <w:rFonts w:hint="eastAsia" w:ascii="仿宋_GB2312" w:hAnsi="宋体" w:eastAsia="仿宋_GB2312"/>
          <w:sz w:val="32"/>
          <w:szCs w:val="32"/>
          <w:lang w:val="zh-CN"/>
        </w:rPr>
        <w:t>以新办公地址的实际物管费为基础来编制来年的预算。</w:t>
      </w:r>
    </w:p>
    <w:p>
      <w:pPr>
        <w:pStyle w:val="2"/>
        <w:spacing w:before="93"/>
        <w:rPr>
          <w:rFonts w:asciiTheme="minorEastAsia" w:hAnsiTheme="minorEastAsia" w:eastAsiaTheme="minorEastAsia"/>
          <w:sz w:val="32"/>
          <w:szCs w:val="32"/>
          <w:lang w:val="zh-CN"/>
        </w:rPr>
      </w:pPr>
    </w:p>
    <w:bookmarkEnd w:id="85"/>
    <w:p>
      <w:pPr>
        <w:spacing w:line="600" w:lineRule="exact"/>
        <w:outlineLvl w:val="0"/>
        <w:rPr>
          <w:rFonts w:hint="eastAsia" w:ascii="仿宋" w:hAnsi="仿宋" w:eastAsia="仿宋"/>
          <w:color w:val="000000"/>
        </w:rPr>
      </w:pPr>
      <w:bookmarkStart w:id="88" w:name="_Toc15396619"/>
    </w:p>
    <w:p>
      <w:pPr>
        <w:pStyle w:val="2"/>
        <w:spacing w:before="93"/>
      </w:pPr>
    </w:p>
    <w:bookmarkEnd w:id="88"/>
    <w:p>
      <w:pPr>
        <w:rPr>
          <w:rFonts w:ascii="仿宋" w:hAnsi="仿宋" w:eastAsia="仿宋"/>
          <w:sz w:val="32"/>
          <w:szCs w:val="32"/>
        </w:rPr>
      </w:pPr>
    </w:p>
    <w:p>
      <w:pPr>
        <w:spacing w:line="600" w:lineRule="exact"/>
        <w:jc w:val="center"/>
        <w:outlineLvl w:val="0"/>
        <w:rPr>
          <w:rStyle w:val="24"/>
          <w:rFonts w:ascii="黑体" w:hAnsi="黑体"/>
        </w:rPr>
      </w:pPr>
      <w:bookmarkStart w:id="89" w:name="_Toc15396618"/>
      <w:bookmarkStart w:id="90" w:name="_Toc17722"/>
      <w:r>
        <w:rPr>
          <w:rFonts w:hint="eastAsia" w:ascii="黑体" w:hAnsi="黑体" w:eastAsia="黑体"/>
          <w:color w:val="000000"/>
          <w:sz w:val="44"/>
          <w:szCs w:val="44"/>
        </w:rPr>
        <w:t>第</w:t>
      </w:r>
      <w:r>
        <w:rPr>
          <w:rStyle w:val="24"/>
          <w:rFonts w:hint="eastAsia" w:ascii="黑体" w:hAnsi="黑体"/>
        </w:rPr>
        <w:t>五部分 附表</w:t>
      </w:r>
      <w:bookmarkEnd w:id="89"/>
      <w:bookmarkEnd w:id="90"/>
    </w:p>
    <w:p>
      <w:pPr>
        <w:pStyle w:val="4"/>
        <w:spacing w:line="415" w:lineRule="auto"/>
        <w:ind w:firstLine="0" w:firstLineChars="0"/>
        <w:jc w:val="both"/>
        <w:rPr>
          <w:rFonts w:hint="eastAsia" w:ascii="黑体" w:hAnsi="黑体" w:eastAsia="黑体" w:cs="黑体"/>
          <w:bCs w:val="0"/>
          <w:kern w:val="2"/>
          <w:sz w:val="32"/>
          <w:szCs w:val="32"/>
          <w:lang w:val="zh-CN" w:eastAsia="zh-CN" w:bidi="ar-SA"/>
        </w:rPr>
      </w:pPr>
      <w:bookmarkStart w:id="91" w:name="_Toc32161"/>
      <w:r>
        <w:rPr>
          <w:rFonts w:hint="eastAsia" w:ascii="黑体" w:hAnsi="黑体" w:eastAsia="黑体" w:cs="黑体"/>
          <w:bCs w:val="0"/>
          <w:kern w:val="2"/>
          <w:sz w:val="32"/>
          <w:szCs w:val="32"/>
          <w:lang w:val="zh-CN" w:eastAsia="zh-CN" w:bidi="ar-SA"/>
        </w:rPr>
        <w:t>一、收入支出决算总表</w:t>
      </w:r>
      <w:bookmarkEnd w:id="91"/>
      <w:r>
        <w:rPr>
          <w:rFonts w:hint="eastAsia" w:ascii="黑体" w:hAnsi="黑体" w:eastAsia="黑体" w:cs="黑体"/>
          <w:bCs w:val="0"/>
          <w:kern w:val="2"/>
          <w:sz w:val="32"/>
          <w:szCs w:val="32"/>
          <w:lang w:val="zh-CN" w:eastAsia="zh-CN" w:bidi="ar-SA"/>
        </w:rPr>
        <w:tab/>
      </w:r>
    </w:p>
    <w:p>
      <w:pPr>
        <w:pStyle w:val="4"/>
        <w:spacing w:line="415" w:lineRule="auto"/>
        <w:ind w:firstLine="0" w:firstLineChars="0"/>
        <w:jc w:val="both"/>
        <w:rPr>
          <w:rFonts w:hint="eastAsia" w:ascii="黑体" w:hAnsi="黑体" w:eastAsia="黑体" w:cs="黑体"/>
          <w:bCs w:val="0"/>
          <w:kern w:val="2"/>
          <w:sz w:val="32"/>
          <w:szCs w:val="32"/>
          <w:lang w:val="zh-CN" w:eastAsia="zh-CN" w:bidi="ar-SA"/>
        </w:rPr>
      </w:pPr>
      <w:bookmarkStart w:id="92" w:name="_Toc15396620"/>
      <w:bookmarkStart w:id="93" w:name="_Toc18837"/>
      <w:r>
        <w:rPr>
          <w:rFonts w:hint="eastAsia" w:ascii="黑体" w:hAnsi="黑体" w:eastAsia="黑体" w:cs="黑体"/>
          <w:bCs w:val="0"/>
          <w:kern w:val="2"/>
          <w:sz w:val="32"/>
          <w:szCs w:val="32"/>
          <w:lang w:val="zh-CN" w:eastAsia="zh-CN" w:bidi="ar-SA"/>
        </w:rPr>
        <w:t>二、收入决算表</w:t>
      </w:r>
      <w:bookmarkEnd w:id="92"/>
      <w:bookmarkEnd w:id="93"/>
    </w:p>
    <w:p>
      <w:pPr>
        <w:pStyle w:val="4"/>
        <w:spacing w:line="415" w:lineRule="auto"/>
        <w:ind w:firstLine="0" w:firstLineChars="0"/>
        <w:jc w:val="both"/>
        <w:rPr>
          <w:rFonts w:hint="eastAsia" w:ascii="黑体" w:hAnsi="黑体" w:eastAsia="黑体" w:cs="黑体"/>
          <w:bCs w:val="0"/>
          <w:kern w:val="2"/>
          <w:sz w:val="32"/>
          <w:szCs w:val="32"/>
          <w:lang w:val="zh-CN" w:eastAsia="zh-CN" w:bidi="ar-SA"/>
        </w:rPr>
      </w:pPr>
      <w:bookmarkStart w:id="94" w:name="_Toc17138"/>
      <w:r>
        <w:rPr>
          <w:rFonts w:hint="eastAsia" w:ascii="黑体" w:hAnsi="黑体" w:eastAsia="黑体" w:cs="黑体"/>
          <w:bCs w:val="0"/>
          <w:kern w:val="2"/>
          <w:sz w:val="32"/>
          <w:szCs w:val="32"/>
          <w:lang w:val="zh-CN" w:eastAsia="zh-CN" w:bidi="ar-SA"/>
        </w:rPr>
        <w:t>三、支出决算表</w:t>
      </w:r>
      <w:bookmarkEnd w:id="94"/>
    </w:p>
    <w:p>
      <w:pPr>
        <w:pStyle w:val="4"/>
        <w:spacing w:line="415" w:lineRule="auto"/>
        <w:ind w:firstLine="0" w:firstLineChars="0"/>
        <w:jc w:val="both"/>
        <w:rPr>
          <w:rFonts w:hint="eastAsia" w:ascii="黑体" w:hAnsi="黑体" w:eastAsia="黑体" w:cs="黑体"/>
          <w:bCs w:val="0"/>
          <w:kern w:val="2"/>
          <w:sz w:val="32"/>
          <w:szCs w:val="32"/>
          <w:lang w:val="zh-CN" w:eastAsia="zh-CN" w:bidi="ar-SA"/>
        </w:rPr>
      </w:pPr>
      <w:bookmarkStart w:id="95" w:name="_Toc18717"/>
      <w:r>
        <w:rPr>
          <w:rFonts w:hint="eastAsia" w:ascii="黑体" w:hAnsi="黑体" w:eastAsia="黑体" w:cs="黑体"/>
          <w:bCs w:val="0"/>
          <w:kern w:val="2"/>
          <w:sz w:val="32"/>
          <w:szCs w:val="32"/>
          <w:lang w:val="zh-CN" w:eastAsia="zh-CN" w:bidi="ar-SA"/>
        </w:rPr>
        <w:t>四、财政拨款收入支出决算总表</w:t>
      </w:r>
      <w:bookmarkEnd w:id="95"/>
    </w:p>
    <w:p>
      <w:pPr>
        <w:pStyle w:val="4"/>
        <w:spacing w:line="415" w:lineRule="auto"/>
        <w:ind w:firstLine="0" w:firstLineChars="0"/>
        <w:jc w:val="both"/>
        <w:rPr>
          <w:rFonts w:hint="eastAsia" w:ascii="黑体" w:hAnsi="黑体" w:eastAsia="黑体" w:cs="黑体"/>
          <w:bCs w:val="0"/>
          <w:kern w:val="2"/>
          <w:sz w:val="32"/>
          <w:szCs w:val="32"/>
          <w:lang w:val="zh-CN" w:eastAsia="zh-CN" w:bidi="ar-SA"/>
        </w:rPr>
      </w:pPr>
      <w:bookmarkStart w:id="96" w:name="_Toc516"/>
      <w:r>
        <w:rPr>
          <w:rFonts w:hint="eastAsia" w:ascii="黑体" w:hAnsi="黑体" w:eastAsia="黑体" w:cs="黑体"/>
          <w:bCs w:val="0"/>
          <w:kern w:val="2"/>
          <w:sz w:val="32"/>
          <w:szCs w:val="32"/>
          <w:lang w:val="zh-CN" w:eastAsia="zh-CN" w:bidi="ar-SA"/>
        </w:rPr>
        <w:t>五、财政拨款支出决算明细表</w:t>
      </w:r>
      <w:bookmarkEnd w:id="96"/>
    </w:p>
    <w:p>
      <w:pPr>
        <w:pStyle w:val="4"/>
        <w:spacing w:line="415" w:lineRule="auto"/>
        <w:ind w:firstLine="0" w:firstLineChars="0"/>
        <w:jc w:val="both"/>
        <w:rPr>
          <w:rFonts w:hint="eastAsia" w:ascii="黑体" w:hAnsi="黑体" w:eastAsia="黑体" w:cs="黑体"/>
          <w:bCs w:val="0"/>
          <w:kern w:val="2"/>
          <w:sz w:val="32"/>
          <w:szCs w:val="32"/>
          <w:lang w:val="zh-CN" w:eastAsia="zh-CN" w:bidi="ar-SA"/>
        </w:rPr>
      </w:pPr>
      <w:bookmarkStart w:id="97" w:name="_Toc20106"/>
      <w:r>
        <w:rPr>
          <w:rFonts w:hint="eastAsia" w:ascii="黑体" w:hAnsi="黑体" w:eastAsia="黑体" w:cs="黑体"/>
          <w:bCs w:val="0"/>
          <w:kern w:val="2"/>
          <w:sz w:val="32"/>
          <w:szCs w:val="32"/>
          <w:lang w:val="zh-CN" w:eastAsia="zh-CN" w:bidi="ar-SA"/>
        </w:rPr>
        <w:t>六、一般公共预算财政拨款支出决算表</w:t>
      </w:r>
      <w:bookmarkEnd w:id="97"/>
    </w:p>
    <w:p>
      <w:pPr>
        <w:pStyle w:val="4"/>
        <w:spacing w:line="415" w:lineRule="auto"/>
        <w:ind w:firstLine="0" w:firstLineChars="0"/>
        <w:jc w:val="both"/>
        <w:rPr>
          <w:rFonts w:hint="eastAsia" w:ascii="黑体" w:hAnsi="黑体" w:eastAsia="黑体" w:cs="黑体"/>
          <w:bCs w:val="0"/>
          <w:kern w:val="2"/>
          <w:sz w:val="32"/>
          <w:szCs w:val="32"/>
          <w:lang w:val="zh-CN" w:eastAsia="zh-CN" w:bidi="ar-SA"/>
        </w:rPr>
      </w:pPr>
      <w:bookmarkStart w:id="98" w:name="_Toc14075"/>
      <w:r>
        <w:rPr>
          <w:rFonts w:hint="eastAsia" w:ascii="黑体" w:hAnsi="黑体" w:eastAsia="黑体" w:cs="黑体"/>
          <w:bCs w:val="0"/>
          <w:kern w:val="2"/>
          <w:sz w:val="32"/>
          <w:szCs w:val="32"/>
          <w:lang w:val="zh-CN" w:eastAsia="zh-CN" w:bidi="ar-SA"/>
        </w:rPr>
        <w:t>七、一般公共预算财政拨款支出决算明细表</w:t>
      </w:r>
      <w:bookmarkEnd w:id="98"/>
    </w:p>
    <w:p>
      <w:pPr>
        <w:pStyle w:val="4"/>
        <w:spacing w:line="415" w:lineRule="auto"/>
        <w:ind w:firstLine="0" w:firstLineChars="0"/>
        <w:jc w:val="both"/>
        <w:rPr>
          <w:rFonts w:hint="eastAsia" w:ascii="黑体" w:hAnsi="黑体" w:eastAsia="黑体" w:cs="黑体"/>
          <w:bCs w:val="0"/>
          <w:kern w:val="2"/>
          <w:sz w:val="32"/>
          <w:szCs w:val="32"/>
          <w:lang w:val="zh-CN" w:eastAsia="zh-CN" w:bidi="ar-SA"/>
        </w:rPr>
      </w:pPr>
      <w:bookmarkStart w:id="99" w:name="_Toc14474"/>
      <w:r>
        <w:rPr>
          <w:rFonts w:hint="eastAsia" w:ascii="黑体" w:hAnsi="黑体" w:eastAsia="黑体" w:cs="黑体"/>
          <w:bCs w:val="0"/>
          <w:kern w:val="2"/>
          <w:sz w:val="32"/>
          <w:szCs w:val="32"/>
          <w:lang w:val="zh-CN" w:eastAsia="zh-CN" w:bidi="ar-SA"/>
        </w:rPr>
        <w:t>八、一般公共预算财政拨款基本支出决算表</w:t>
      </w:r>
      <w:bookmarkEnd w:id="99"/>
    </w:p>
    <w:p>
      <w:pPr>
        <w:pStyle w:val="4"/>
        <w:spacing w:line="415" w:lineRule="auto"/>
        <w:ind w:firstLine="0" w:firstLineChars="0"/>
        <w:jc w:val="both"/>
        <w:rPr>
          <w:rFonts w:hint="eastAsia" w:ascii="黑体" w:hAnsi="黑体" w:eastAsia="黑体" w:cs="黑体"/>
          <w:bCs w:val="0"/>
          <w:kern w:val="2"/>
          <w:sz w:val="32"/>
          <w:szCs w:val="32"/>
          <w:lang w:val="zh-CN" w:eastAsia="zh-CN" w:bidi="ar-SA"/>
        </w:rPr>
      </w:pPr>
      <w:bookmarkStart w:id="100" w:name="_Toc21607"/>
      <w:r>
        <w:rPr>
          <w:rFonts w:hint="eastAsia" w:ascii="黑体" w:hAnsi="黑体" w:eastAsia="黑体" w:cs="黑体"/>
          <w:bCs w:val="0"/>
          <w:kern w:val="2"/>
          <w:sz w:val="32"/>
          <w:szCs w:val="32"/>
          <w:lang w:val="zh-CN" w:eastAsia="zh-CN" w:bidi="ar-SA"/>
        </w:rPr>
        <w:t>九、一般公共预算财政拨款项目支出决算表</w:t>
      </w:r>
      <w:bookmarkEnd w:id="100"/>
    </w:p>
    <w:p>
      <w:pPr>
        <w:pStyle w:val="4"/>
        <w:spacing w:line="415" w:lineRule="auto"/>
        <w:ind w:firstLine="0" w:firstLineChars="0"/>
        <w:jc w:val="both"/>
        <w:rPr>
          <w:rFonts w:hint="eastAsia" w:ascii="黑体" w:hAnsi="黑体" w:eastAsia="黑体" w:cs="黑体"/>
          <w:bCs w:val="0"/>
          <w:kern w:val="2"/>
          <w:sz w:val="32"/>
          <w:szCs w:val="32"/>
          <w:lang w:val="zh-CN" w:eastAsia="zh-CN" w:bidi="ar-SA"/>
        </w:rPr>
      </w:pPr>
      <w:bookmarkStart w:id="101" w:name="_Toc27559"/>
      <w:r>
        <w:rPr>
          <w:rFonts w:hint="eastAsia" w:ascii="黑体" w:hAnsi="黑体" w:eastAsia="黑体" w:cs="黑体"/>
          <w:bCs w:val="0"/>
          <w:kern w:val="2"/>
          <w:sz w:val="32"/>
          <w:szCs w:val="32"/>
          <w:lang w:val="zh-CN" w:eastAsia="zh-CN" w:bidi="ar-SA"/>
        </w:rPr>
        <w:t>十、一般公共预算财政拨款“三公”经费支出决算表</w:t>
      </w:r>
      <w:bookmarkEnd w:id="101"/>
    </w:p>
    <w:p>
      <w:pPr>
        <w:pStyle w:val="4"/>
        <w:spacing w:line="415" w:lineRule="auto"/>
        <w:ind w:firstLine="0" w:firstLineChars="0"/>
        <w:jc w:val="both"/>
        <w:rPr>
          <w:rFonts w:hint="eastAsia" w:ascii="黑体" w:hAnsi="黑体" w:eastAsia="黑体" w:cs="黑体"/>
          <w:bCs w:val="0"/>
          <w:kern w:val="2"/>
          <w:sz w:val="32"/>
          <w:szCs w:val="32"/>
          <w:lang w:val="zh-CN" w:eastAsia="zh-CN" w:bidi="ar-SA"/>
        </w:rPr>
      </w:pPr>
      <w:bookmarkStart w:id="102" w:name="_Toc16403"/>
      <w:r>
        <w:rPr>
          <w:rFonts w:hint="eastAsia" w:ascii="黑体" w:hAnsi="黑体" w:eastAsia="黑体" w:cs="黑体"/>
          <w:bCs w:val="0"/>
          <w:kern w:val="2"/>
          <w:sz w:val="32"/>
          <w:szCs w:val="32"/>
          <w:lang w:val="zh-CN" w:eastAsia="zh-CN" w:bidi="ar-SA"/>
        </w:rPr>
        <w:t>十一、政府性基金预算财政拨款收入支出决算表</w:t>
      </w:r>
      <w:bookmarkEnd w:id="102"/>
    </w:p>
    <w:p>
      <w:pPr>
        <w:pStyle w:val="4"/>
        <w:spacing w:line="415" w:lineRule="auto"/>
        <w:ind w:firstLine="0" w:firstLineChars="0"/>
        <w:jc w:val="both"/>
        <w:rPr>
          <w:rFonts w:hint="eastAsia" w:ascii="黑体" w:hAnsi="黑体" w:eastAsia="黑体" w:cs="黑体"/>
          <w:bCs w:val="0"/>
          <w:kern w:val="2"/>
          <w:sz w:val="32"/>
          <w:szCs w:val="32"/>
          <w:lang w:val="zh-CN" w:eastAsia="zh-CN" w:bidi="ar-SA"/>
        </w:rPr>
      </w:pPr>
      <w:bookmarkStart w:id="103" w:name="_Toc9277"/>
      <w:r>
        <w:rPr>
          <w:rFonts w:hint="eastAsia" w:ascii="黑体" w:hAnsi="黑体" w:eastAsia="黑体" w:cs="黑体"/>
          <w:bCs w:val="0"/>
          <w:kern w:val="2"/>
          <w:sz w:val="32"/>
          <w:szCs w:val="32"/>
          <w:lang w:val="zh-CN" w:eastAsia="zh-CN" w:bidi="ar-SA"/>
        </w:rPr>
        <w:t>十二、政府性基金预算财政拨款“三公”经费支出决算表</w:t>
      </w:r>
      <w:bookmarkEnd w:id="103"/>
    </w:p>
    <w:p>
      <w:pPr>
        <w:pStyle w:val="4"/>
        <w:spacing w:line="415" w:lineRule="auto"/>
        <w:ind w:firstLine="0" w:firstLineChars="0"/>
        <w:jc w:val="both"/>
        <w:rPr>
          <w:rFonts w:hint="eastAsia" w:ascii="黑体" w:hAnsi="黑体" w:eastAsia="黑体" w:cs="黑体"/>
          <w:bCs w:val="0"/>
          <w:kern w:val="2"/>
          <w:sz w:val="32"/>
          <w:szCs w:val="32"/>
          <w:lang w:val="zh-CN" w:eastAsia="zh-CN" w:bidi="ar-SA"/>
        </w:rPr>
      </w:pPr>
      <w:bookmarkStart w:id="104" w:name="_Toc931"/>
      <w:r>
        <w:rPr>
          <w:rFonts w:hint="eastAsia" w:ascii="黑体" w:hAnsi="黑体" w:eastAsia="黑体" w:cs="黑体"/>
          <w:bCs w:val="0"/>
          <w:kern w:val="2"/>
          <w:sz w:val="32"/>
          <w:szCs w:val="32"/>
          <w:lang w:val="zh-CN" w:eastAsia="zh-CN" w:bidi="ar-SA"/>
        </w:rPr>
        <w:t>十三、国有资本经营预算财政拨款收入支出决算表</w:t>
      </w:r>
      <w:bookmarkEnd w:id="104"/>
    </w:p>
    <w:p>
      <w:pPr>
        <w:spacing w:line="415" w:lineRule="auto"/>
        <w:outlineLvl w:val="1"/>
        <w:rPr>
          <w:rFonts w:hint="eastAsia" w:ascii="黑体" w:hAnsi="黑体" w:eastAsia="黑体" w:cs="黑体"/>
          <w:bCs w:val="0"/>
          <w:kern w:val="2"/>
          <w:sz w:val="32"/>
          <w:szCs w:val="32"/>
          <w:lang w:val="zh-CN" w:eastAsia="zh-CN" w:bidi="ar-SA"/>
        </w:rPr>
      </w:pPr>
      <w:bookmarkStart w:id="105" w:name="_Toc28976"/>
      <w:r>
        <w:rPr>
          <w:rFonts w:hint="eastAsia" w:ascii="黑体" w:hAnsi="黑体" w:eastAsia="黑体" w:cs="黑体"/>
          <w:bCs w:val="0"/>
          <w:kern w:val="2"/>
          <w:sz w:val="32"/>
          <w:szCs w:val="32"/>
          <w:lang w:val="zh-CN" w:eastAsia="zh-CN" w:bidi="ar-SA"/>
        </w:rPr>
        <w:t>十四、国有资本经营预算财政拨款支出决算表</w:t>
      </w:r>
      <w:bookmarkEnd w:id="105"/>
    </w:p>
    <w:sectPr>
      <w:footerReference r:id="rId7" w:type="first"/>
      <w:footerReference r:id="rId6" w:type="default"/>
      <w:type w:val="continuous"/>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7507761-9A95-4817-8D20-FE071760D53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D6692222-6351-4350-A646-36094396794C}"/>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511D42E7-AF69-4B2F-9159-9C784519F5F5}"/>
  </w:font>
  <w:font w:name="仿宋">
    <w:panose1 w:val="02010609060101010101"/>
    <w:charset w:val="86"/>
    <w:family w:val="auto"/>
    <w:pitch w:val="default"/>
    <w:sig w:usb0="800002BF" w:usb1="38CF7CFA" w:usb2="00000016" w:usb3="00000000" w:csb0="00040001" w:csb1="00000000"/>
    <w:embedRegular r:id="rId4" w:fontKey="{64C0D247-AAD6-40AE-8BA7-4DEA2F7C8136}"/>
  </w:font>
  <w:font w:name="方正小标宋简体">
    <w:panose1 w:val="02000000000000000000"/>
    <w:charset w:val="86"/>
    <w:family w:val="script"/>
    <w:pitch w:val="default"/>
    <w:sig w:usb0="00000001" w:usb1="080E0000" w:usb2="00000000" w:usb3="00000000" w:csb0="00040000" w:csb1="00000000"/>
    <w:embedRegular r:id="rId5" w:fontKey="{35522A6A-C201-429C-8413-0D4EDAEF0218}"/>
  </w:font>
  <w:font w:name="楷体_GB2312">
    <w:panose1 w:val="02010609030101010101"/>
    <w:charset w:val="86"/>
    <w:family w:val="auto"/>
    <w:pitch w:val="default"/>
    <w:sig w:usb0="00000001" w:usb1="080E0000" w:usb2="00000000" w:usb3="00000000" w:csb0="00040000" w:csb1="00000000"/>
    <w:embedRegular r:id="rId6" w:fontKey="{C43ABCC3-3C10-4346-83DA-F492247B948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56568"/>
      <w:docPartObj>
        <w:docPartGallery w:val="autotext"/>
      </w:docPartObj>
    </w:sdtPr>
    <w:sdtContent>
      <w:p>
        <w:pPr>
          <w:pStyle w:val="8"/>
        </w:pPr>
      </w:p>
    </w:sdtContent>
  </w:sdt>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56570"/>
    </w:sdtPr>
    <w:sdtContent>
      <w:p>
        <w:pPr>
          <w:pStyle w:val="8"/>
          <w:jc w:val="center"/>
        </w:pPr>
        <w:r>
          <w:fldChar w:fldCharType="begin"/>
        </w:r>
        <w:r>
          <w:instrText xml:space="preserve">PAGE   \* MERGEFORMAT</w:instrText>
        </w:r>
        <w:r>
          <w:fldChar w:fldCharType="separate"/>
        </w:r>
        <w:r>
          <w:rPr>
            <w:lang w:val="zh-CN"/>
          </w:rPr>
          <w:t>35</w:t>
        </w:r>
        <w:r>
          <w:rPr>
            <w:lang w:val="zh-CN"/>
          </w:rPr>
          <w:fldChar w:fldCharType="end"/>
        </w:r>
      </w:p>
    </w:sdtContent>
  </w:sdt>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56569"/>
      <w:docPartObj>
        <w:docPartGallery w:val="autotext"/>
      </w:docPartObj>
    </w:sdtPr>
    <w:sdtContent>
      <w:p>
        <w:pPr>
          <w:pStyle w:val="8"/>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AwOWViM2EyMmVmNzYwZDNjNjNhMTBiOWNkZjMyODEifQ=="/>
  </w:docVars>
  <w:rsids>
    <w:rsidRoot w:val="00F1361C"/>
    <w:rsid w:val="000166FF"/>
    <w:rsid w:val="000222C6"/>
    <w:rsid w:val="0002549F"/>
    <w:rsid w:val="00025D84"/>
    <w:rsid w:val="00034660"/>
    <w:rsid w:val="000373FB"/>
    <w:rsid w:val="000468DB"/>
    <w:rsid w:val="0006487A"/>
    <w:rsid w:val="00065F8F"/>
    <w:rsid w:val="00070A43"/>
    <w:rsid w:val="000768F2"/>
    <w:rsid w:val="0009184B"/>
    <w:rsid w:val="00093A8C"/>
    <w:rsid w:val="00094236"/>
    <w:rsid w:val="0009593C"/>
    <w:rsid w:val="00096619"/>
    <w:rsid w:val="00097322"/>
    <w:rsid w:val="000A68BD"/>
    <w:rsid w:val="000A6A92"/>
    <w:rsid w:val="000B047F"/>
    <w:rsid w:val="000B5923"/>
    <w:rsid w:val="000B5A48"/>
    <w:rsid w:val="000B6FF3"/>
    <w:rsid w:val="000C3467"/>
    <w:rsid w:val="000C3CA6"/>
    <w:rsid w:val="000C5443"/>
    <w:rsid w:val="000D1267"/>
    <w:rsid w:val="000D1D50"/>
    <w:rsid w:val="000D5782"/>
    <w:rsid w:val="000E6613"/>
    <w:rsid w:val="000E7119"/>
    <w:rsid w:val="000F547D"/>
    <w:rsid w:val="000F7A77"/>
    <w:rsid w:val="00114E9B"/>
    <w:rsid w:val="00142216"/>
    <w:rsid w:val="00144D6A"/>
    <w:rsid w:val="0014729F"/>
    <w:rsid w:val="00157BAB"/>
    <w:rsid w:val="001654D1"/>
    <w:rsid w:val="00174518"/>
    <w:rsid w:val="0018106D"/>
    <w:rsid w:val="001877A7"/>
    <w:rsid w:val="00191536"/>
    <w:rsid w:val="0019379D"/>
    <w:rsid w:val="00196687"/>
    <w:rsid w:val="001C0962"/>
    <w:rsid w:val="001D7531"/>
    <w:rsid w:val="001E737D"/>
    <w:rsid w:val="001F0592"/>
    <w:rsid w:val="001F7506"/>
    <w:rsid w:val="002006CD"/>
    <w:rsid w:val="00202B36"/>
    <w:rsid w:val="00204B7A"/>
    <w:rsid w:val="00204CDE"/>
    <w:rsid w:val="0021101A"/>
    <w:rsid w:val="00220536"/>
    <w:rsid w:val="00235629"/>
    <w:rsid w:val="00244343"/>
    <w:rsid w:val="00260C38"/>
    <w:rsid w:val="002616C0"/>
    <w:rsid w:val="00264530"/>
    <w:rsid w:val="00265372"/>
    <w:rsid w:val="002662AA"/>
    <w:rsid w:val="00280496"/>
    <w:rsid w:val="00294DC9"/>
    <w:rsid w:val="00295495"/>
    <w:rsid w:val="002A31DE"/>
    <w:rsid w:val="002B2613"/>
    <w:rsid w:val="002C6FE4"/>
    <w:rsid w:val="002D6D05"/>
    <w:rsid w:val="002F1818"/>
    <w:rsid w:val="002F567B"/>
    <w:rsid w:val="00317C00"/>
    <w:rsid w:val="003216A9"/>
    <w:rsid w:val="00325A87"/>
    <w:rsid w:val="00335A74"/>
    <w:rsid w:val="00352A1D"/>
    <w:rsid w:val="0036561B"/>
    <w:rsid w:val="00366AAB"/>
    <w:rsid w:val="0037013F"/>
    <w:rsid w:val="00380C92"/>
    <w:rsid w:val="00387D97"/>
    <w:rsid w:val="00396A91"/>
    <w:rsid w:val="003A484F"/>
    <w:rsid w:val="003A4883"/>
    <w:rsid w:val="003B0BE0"/>
    <w:rsid w:val="003B0C1B"/>
    <w:rsid w:val="003B688C"/>
    <w:rsid w:val="003C0291"/>
    <w:rsid w:val="003C39AE"/>
    <w:rsid w:val="003C7B60"/>
    <w:rsid w:val="003D0C0F"/>
    <w:rsid w:val="003D1FB2"/>
    <w:rsid w:val="003D4343"/>
    <w:rsid w:val="003D66DA"/>
    <w:rsid w:val="003E1310"/>
    <w:rsid w:val="003E6F55"/>
    <w:rsid w:val="00406254"/>
    <w:rsid w:val="004223DE"/>
    <w:rsid w:val="00434489"/>
    <w:rsid w:val="00437085"/>
    <w:rsid w:val="00443880"/>
    <w:rsid w:val="004464F4"/>
    <w:rsid w:val="00471401"/>
    <w:rsid w:val="00473F31"/>
    <w:rsid w:val="0048263A"/>
    <w:rsid w:val="0048557B"/>
    <w:rsid w:val="00487E5D"/>
    <w:rsid w:val="004A259D"/>
    <w:rsid w:val="004A711F"/>
    <w:rsid w:val="004B199D"/>
    <w:rsid w:val="004B4019"/>
    <w:rsid w:val="004B4690"/>
    <w:rsid w:val="004E0A2D"/>
    <w:rsid w:val="004E206B"/>
    <w:rsid w:val="004E6DF7"/>
    <w:rsid w:val="004F0A61"/>
    <w:rsid w:val="004F0FBD"/>
    <w:rsid w:val="0050118D"/>
    <w:rsid w:val="00505A47"/>
    <w:rsid w:val="00512FDA"/>
    <w:rsid w:val="00520DA0"/>
    <w:rsid w:val="005664BB"/>
    <w:rsid w:val="00566FFA"/>
    <w:rsid w:val="0057481D"/>
    <w:rsid w:val="0058486E"/>
    <w:rsid w:val="00585B33"/>
    <w:rsid w:val="0059014D"/>
    <w:rsid w:val="005A0CC7"/>
    <w:rsid w:val="005B5C64"/>
    <w:rsid w:val="005C5337"/>
    <w:rsid w:val="005C6BD0"/>
    <w:rsid w:val="005D1C8B"/>
    <w:rsid w:val="005D468D"/>
    <w:rsid w:val="005D5CED"/>
    <w:rsid w:val="005E2518"/>
    <w:rsid w:val="005E6416"/>
    <w:rsid w:val="005F1A4C"/>
    <w:rsid w:val="005F69D1"/>
    <w:rsid w:val="005F7E85"/>
    <w:rsid w:val="00605688"/>
    <w:rsid w:val="006070AF"/>
    <w:rsid w:val="00607147"/>
    <w:rsid w:val="00607E6C"/>
    <w:rsid w:val="006101B1"/>
    <w:rsid w:val="00614E44"/>
    <w:rsid w:val="0062270A"/>
    <w:rsid w:val="00622830"/>
    <w:rsid w:val="00623DA0"/>
    <w:rsid w:val="00630299"/>
    <w:rsid w:val="00630AEF"/>
    <w:rsid w:val="006325F8"/>
    <w:rsid w:val="00633463"/>
    <w:rsid w:val="00634C9A"/>
    <w:rsid w:val="006406BC"/>
    <w:rsid w:val="006440E4"/>
    <w:rsid w:val="0066343B"/>
    <w:rsid w:val="00664777"/>
    <w:rsid w:val="006748A4"/>
    <w:rsid w:val="00677337"/>
    <w:rsid w:val="00681A31"/>
    <w:rsid w:val="00683E73"/>
    <w:rsid w:val="006A3141"/>
    <w:rsid w:val="006A5E34"/>
    <w:rsid w:val="006B2422"/>
    <w:rsid w:val="006B2B9A"/>
    <w:rsid w:val="006C1937"/>
    <w:rsid w:val="006F020C"/>
    <w:rsid w:val="006F5A8B"/>
    <w:rsid w:val="007127B7"/>
    <w:rsid w:val="0071798E"/>
    <w:rsid w:val="007416B6"/>
    <w:rsid w:val="007421A8"/>
    <w:rsid w:val="007435C9"/>
    <w:rsid w:val="00743EE5"/>
    <w:rsid w:val="00744169"/>
    <w:rsid w:val="00746F48"/>
    <w:rsid w:val="0075404D"/>
    <w:rsid w:val="0076182A"/>
    <w:rsid w:val="00767B7E"/>
    <w:rsid w:val="0077433C"/>
    <w:rsid w:val="007770C3"/>
    <w:rsid w:val="00784D24"/>
    <w:rsid w:val="00785FBA"/>
    <w:rsid w:val="00786E4A"/>
    <w:rsid w:val="007875EB"/>
    <w:rsid w:val="0079426B"/>
    <w:rsid w:val="007C387D"/>
    <w:rsid w:val="007C4FD6"/>
    <w:rsid w:val="007C5285"/>
    <w:rsid w:val="007C74E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0B4A"/>
    <w:rsid w:val="008423A5"/>
    <w:rsid w:val="0085041E"/>
    <w:rsid w:val="00850625"/>
    <w:rsid w:val="00853718"/>
    <w:rsid w:val="00855221"/>
    <w:rsid w:val="00860645"/>
    <w:rsid w:val="00871F71"/>
    <w:rsid w:val="00872FD8"/>
    <w:rsid w:val="0087680E"/>
    <w:rsid w:val="00885AF4"/>
    <w:rsid w:val="008939CD"/>
    <w:rsid w:val="008B768C"/>
    <w:rsid w:val="008C4DB1"/>
    <w:rsid w:val="008C4EAF"/>
    <w:rsid w:val="008C5176"/>
    <w:rsid w:val="008C7780"/>
    <w:rsid w:val="008C7FD0"/>
    <w:rsid w:val="008D5138"/>
    <w:rsid w:val="008E1DE7"/>
    <w:rsid w:val="008E707C"/>
    <w:rsid w:val="008F6E68"/>
    <w:rsid w:val="00900B08"/>
    <w:rsid w:val="00902155"/>
    <w:rsid w:val="00902FA3"/>
    <w:rsid w:val="00917A19"/>
    <w:rsid w:val="00923564"/>
    <w:rsid w:val="0092392E"/>
    <w:rsid w:val="009315F9"/>
    <w:rsid w:val="00933499"/>
    <w:rsid w:val="009335CD"/>
    <w:rsid w:val="00935C98"/>
    <w:rsid w:val="00936DE9"/>
    <w:rsid w:val="00946945"/>
    <w:rsid w:val="00951248"/>
    <w:rsid w:val="0095152F"/>
    <w:rsid w:val="00954C49"/>
    <w:rsid w:val="00955E37"/>
    <w:rsid w:val="0097099F"/>
    <w:rsid w:val="00971997"/>
    <w:rsid w:val="00971FFC"/>
    <w:rsid w:val="009743FD"/>
    <w:rsid w:val="0098660A"/>
    <w:rsid w:val="00990BEA"/>
    <w:rsid w:val="009931C3"/>
    <w:rsid w:val="009B2C43"/>
    <w:rsid w:val="009B4EAE"/>
    <w:rsid w:val="009B7573"/>
    <w:rsid w:val="009C22F4"/>
    <w:rsid w:val="009C2A4B"/>
    <w:rsid w:val="009C2E98"/>
    <w:rsid w:val="009D3447"/>
    <w:rsid w:val="009D4711"/>
    <w:rsid w:val="009D694D"/>
    <w:rsid w:val="009F1185"/>
    <w:rsid w:val="009F18CD"/>
    <w:rsid w:val="009F2A13"/>
    <w:rsid w:val="009F7527"/>
    <w:rsid w:val="00A04EB0"/>
    <w:rsid w:val="00A11CCF"/>
    <w:rsid w:val="00A13CC1"/>
    <w:rsid w:val="00A16847"/>
    <w:rsid w:val="00A1715F"/>
    <w:rsid w:val="00A237D8"/>
    <w:rsid w:val="00A268C4"/>
    <w:rsid w:val="00A307CD"/>
    <w:rsid w:val="00A331C8"/>
    <w:rsid w:val="00A40A00"/>
    <w:rsid w:val="00A4142F"/>
    <w:rsid w:val="00A422EB"/>
    <w:rsid w:val="00A45BB7"/>
    <w:rsid w:val="00A47CB9"/>
    <w:rsid w:val="00A56DF2"/>
    <w:rsid w:val="00A56E6E"/>
    <w:rsid w:val="00A67AB5"/>
    <w:rsid w:val="00A733B2"/>
    <w:rsid w:val="00A741C2"/>
    <w:rsid w:val="00A82858"/>
    <w:rsid w:val="00A87AE5"/>
    <w:rsid w:val="00A91760"/>
    <w:rsid w:val="00A93B00"/>
    <w:rsid w:val="00A93C21"/>
    <w:rsid w:val="00AB3757"/>
    <w:rsid w:val="00AB3BD4"/>
    <w:rsid w:val="00AB64C9"/>
    <w:rsid w:val="00AB73ED"/>
    <w:rsid w:val="00AC3C6A"/>
    <w:rsid w:val="00AD5620"/>
    <w:rsid w:val="00AD656B"/>
    <w:rsid w:val="00AD7C1B"/>
    <w:rsid w:val="00AE16BA"/>
    <w:rsid w:val="00AE1EBE"/>
    <w:rsid w:val="00AF1478"/>
    <w:rsid w:val="00B03C9D"/>
    <w:rsid w:val="00B060AE"/>
    <w:rsid w:val="00B10517"/>
    <w:rsid w:val="00B14806"/>
    <w:rsid w:val="00B14E76"/>
    <w:rsid w:val="00B161B8"/>
    <w:rsid w:val="00B2048C"/>
    <w:rsid w:val="00B2215C"/>
    <w:rsid w:val="00B310B9"/>
    <w:rsid w:val="00B35F3F"/>
    <w:rsid w:val="00B36CBB"/>
    <w:rsid w:val="00B425E0"/>
    <w:rsid w:val="00B440AA"/>
    <w:rsid w:val="00B44B70"/>
    <w:rsid w:val="00B53C56"/>
    <w:rsid w:val="00B57DAF"/>
    <w:rsid w:val="00B66F5C"/>
    <w:rsid w:val="00B77EA6"/>
    <w:rsid w:val="00B81598"/>
    <w:rsid w:val="00B841F1"/>
    <w:rsid w:val="00B944D6"/>
    <w:rsid w:val="00BB462F"/>
    <w:rsid w:val="00BB4DF0"/>
    <w:rsid w:val="00BC289F"/>
    <w:rsid w:val="00BC2D50"/>
    <w:rsid w:val="00BC5361"/>
    <w:rsid w:val="00BC5460"/>
    <w:rsid w:val="00BC6B50"/>
    <w:rsid w:val="00BD0E25"/>
    <w:rsid w:val="00BD4E0B"/>
    <w:rsid w:val="00BE1679"/>
    <w:rsid w:val="00BE6BCD"/>
    <w:rsid w:val="00BF0FDA"/>
    <w:rsid w:val="00BF5BD6"/>
    <w:rsid w:val="00C03E31"/>
    <w:rsid w:val="00C33E72"/>
    <w:rsid w:val="00C354B2"/>
    <w:rsid w:val="00C35554"/>
    <w:rsid w:val="00C42709"/>
    <w:rsid w:val="00C533CC"/>
    <w:rsid w:val="00C5751C"/>
    <w:rsid w:val="00C61BFC"/>
    <w:rsid w:val="00C62B85"/>
    <w:rsid w:val="00C65438"/>
    <w:rsid w:val="00C731FB"/>
    <w:rsid w:val="00C8071F"/>
    <w:rsid w:val="00C87FD8"/>
    <w:rsid w:val="00C91381"/>
    <w:rsid w:val="00C91CBB"/>
    <w:rsid w:val="00CB4E70"/>
    <w:rsid w:val="00CC09B6"/>
    <w:rsid w:val="00CC666F"/>
    <w:rsid w:val="00CD1E3F"/>
    <w:rsid w:val="00CE44F6"/>
    <w:rsid w:val="00CE49DA"/>
    <w:rsid w:val="00CE7B61"/>
    <w:rsid w:val="00CF191B"/>
    <w:rsid w:val="00D00095"/>
    <w:rsid w:val="00D01B56"/>
    <w:rsid w:val="00D0297D"/>
    <w:rsid w:val="00D114F0"/>
    <w:rsid w:val="00D1237A"/>
    <w:rsid w:val="00D20620"/>
    <w:rsid w:val="00D254F7"/>
    <w:rsid w:val="00D26091"/>
    <w:rsid w:val="00D2685C"/>
    <w:rsid w:val="00D312B9"/>
    <w:rsid w:val="00D34E7C"/>
    <w:rsid w:val="00D35489"/>
    <w:rsid w:val="00D36AFE"/>
    <w:rsid w:val="00D3712E"/>
    <w:rsid w:val="00D51276"/>
    <w:rsid w:val="00D7035F"/>
    <w:rsid w:val="00D92602"/>
    <w:rsid w:val="00D93B59"/>
    <w:rsid w:val="00DA634F"/>
    <w:rsid w:val="00DA65AC"/>
    <w:rsid w:val="00DA6FAD"/>
    <w:rsid w:val="00DB1913"/>
    <w:rsid w:val="00DC410D"/>
    <w:rsid w:val="00DC5A81"/>
    <w:rsid w:val="00DC68CA"/>
    <w:rsid w:val="00DC7CBA"/>
    <w:rsid w:val="00DD73B7"/>
    <w:rsid w:val="00DF28BC"/>
    <w:rsid w:val="00DF34B9"/>
    <w:rsid w:val="00E01053"/>
    <w:rsid w:val="00E0161F"/>
    <w:rsid w:val="00E01FD4"/>
    <w:rsid w:val="00E070F4"/>
    <w:rsid w:val="00E07ACF"/>
    <w:rsid w:val="00E331A1"/>
    <w:rsid w:val="00E33202"/>
    <w:rsid w:val="00E336A9"/>
    <w:rsid w:val="00E45E49"/>
    <w:rsid w:val="00E46EA1"/>
    <w:rsid w:val="00E472B1"/>
    <w:rsid w:val="00E50624"/>
    <w:rsid w:val="00E568DF"/>
    <w:rsid w:val="00E64269"/>
    <w:rsid w:val="00E82267"/>
    <w:rsid w:val="00E853CE"/>
    <w:rsid w:val="00E867B6"/>
    <w:rsid w:val="00E9462B"/>
    <w:rsid w:val="00E96D07"/>
    <w:rsid w:val="00EA010F"/>
    <w:rsid w:val="00EB065C"/>
    <w:rsid w:val="00EC6B83"/>
    <w:rsid w:val="00ED1B63"/>
    <w:rsid w:val="00ED3C1F"/>
    <w:rsid w:val="00ED4085"/>
    <w:rsid w:val="00ED420E"/>
    <w:rsid w:val="00ED6FBE"/>
    <w:rsid w:val="00EE2F57"/>
    <w:rsid w:val="00EF191F"/>
    <w:rsid w:val="00EF4C34"/>
    <w:rsid w:val="00EF77C6"/>
    <w:rsid w:val="00F05438"/>
    <w:rsid w:val="00F1361C"/>
    <w:rsid w:val="00F1555E"/>
    <w:rsid w:val="00F156F0"/>
    <w:rsid w:val="00F160C7"/>
    <w:rsid w:val="00F20C73"/>
    <w:rsid w:val="00F2408F"/>
    <w:rsid w:val="00F240E9"/>
    <w:rsid w:val="00F36D89"/>
    <w:rsid w:val="00F36D8F"/>
    <w:rsid w:val="00F417B1"/>
    <w:rsid w:val="00F45853"/>
    <w:rsid w:val="00F5472F"/>
    <w:rsid w:val="00F602DF"/>
    <w:rsid w:val="00F754A1"/>
    <w:rsid w:val="00F81FD9"/>
    <w:rsid w:val="00F841AA"/>
    <w:rsid w:val="00F84A94"/>
    <w:rsid w:val="00F87E96"/>
    <w:rsid w:val="00F9043F"/>
    <w:rsid w:val="00FA23E8"/>
    <w:rsid w:val="00FA28CE"/>
    <w:rsid w:val="00FB39AC"/>
    <w:rsid w:val="00FB4BC9"/>
    <w:rsid w:val="00FB50E2"/>
    <w:rsid w:val="00FC03C8"/>
    <w:rsid w:val="00FD3CC1"/>
    <w:rsid w:val="00FE3A2E"/>
    <w:rsid w:val="00FF1E02"/>
    <w:rsid w:val="00FF30B4"/>
    <w:rsid w:val="0A2032A3"/>
    <w:rsid w:val="10C055FF"/>
    <w:rsid w:val="118107EC"/>
    <w:rsid w:val="16BB723D"/>
    <w:rsid w:val="18015F3F"/>
    <w:rsid w:val="1BE8440E"/>
    <w:rsid w:val="1D155CEE"/>
    <w:rsid w:val="1D9E208B"/>
    <w:rsid w:val="20F57F95"/>
    <w:rsid w:val="240371BF"/>
    <w:rsid w:val="2527505B"/>
    <w:rsid w:val="29FD04D3"/>
    <w:rsid w:val="2ABE7A3E"/>
    <w:rsid w:val="319F7F4E"/>
    <w:rsid w:val="3B7791B9"/>
    <w:rsid w:val="3C0A7141"/>
    <w:rsid w:val="3C0C0783"/>
    <w:rsid w:val="496F39ED"/>
    <w:rsid w:val="4BE068DB"/>
    <w:rsid w:val="4BF6002B"/>
    <w:rsid w:val="4ECE2238"/>
    <w:rsid w:val="58A937AD"/>
    <w:rsid w:val="5AB03349"/>
    <w:rsid w:val="64CA39A1"/>
    <w:rsid w:val="6C4A05C8"/>
    <w:rsid w:val="6DFA4703"/>
    <w:rsid w:val="72734D90"/>
    <w:rsid w:val="77FC79DD"/>
    <w:rsid w:val="7F79E40D"/>
    <w:rsid w:val="DFDB5380"/>
    <w:rsid w:val="FD7E58E7"/>
    <w:rsid w:val="FE9E563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jc w:val="center"/>
      <w:outlineLvl w:val="0"/>
    </w:pPr>
    <w:rPr>
      <w:rFonts w:eastAsia="黑体"/>
      <w:bCs/>
      <w:kern w:val="44"/>
      <w:sz w:val="44"/>
      <w:szCs w:val="44"/>
    </w:rPr>
  </w:style>
  <w:style w:type="paragraph" w:styleId="4">
    <w:name w:val="heading 2"/>
    <w:basedOn w:val="1"/>
    <w:next w:val="1"/>
    <w:link w:val="25"/>
    <w:unhideWhenUsed/>
    <w:qFormat/>
    <w:uiPriority w:val="9"/>
    <w:pPr>
      <w:keepNext/>
      <w:keepLines/>
      <w:spacing w:before="260" w:after="260" w:line="720" w:lineRule="auto"/>
      <w:ind w:firstLine="200" w:firstLineChars="200"/>
      <w:jc w:val="left"/>
      <w:outlineLvl w:val="1"/>
    </w:pPr>
    <w:rPr>
      <w:rFonts w:eastAsia="黑体" w:asciiTheme="majorHAnsi" w:hAnsiTheme="majorHAnsi" w:cstheme="majorBidi"/>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eastAsia="黑体" w:cs="Times New Roman"/>
      <w:bCs/>
      <w:kern w:val="44"/>
      <w:sz w:val="44"/>
      <w:szCs w:val="44"/>
    </w:rPr>
  </w:style>
  <w:style w:type="character" w:customStyle="1" w:styleId="25">
    <w:name w:val="标题 2 Char"/>
    <w:basedOn w:val="13"/>
    <w:link w:val="4"/>
    <w:qFormat/>
    <w:uiPriority w:val="9"/>
    <w:rPr>
      <w:rFonts w:eastAsia="黑体" w:asciiTheme="majorHAnsi" w:hAnsiTheme="majorHAnsi" w:cstheme="majorBidi"/>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0">
    <w:name w:val="正文 New"/>
    <w:qFormat/>
    <w:uiPriority w:val="0"/>
    <w:pPr>
      <w:widowControl w:val="0"/>
      <w:jc w:val="both"/>
    </w:pPr>
    <w:rPr>
      <w:rFonts w:ascii="Cambria" w:hAnsi="Cambria" w:eastAsia="宋体" w:cs="黑体"/>
      <w:kern w:val="2"/>
      <w:sz w:val="24"/>
      <w:szCs w:val="24"/>
      <w:lang w:val="en-US" w:eastAsia="zh-CN" w:bidi="ar-SA"/>
    </w:rPr>
  </w:style>
  <w:style w:type="paragraph" w:customStyle="1" w:styleId="31">
    <w:name w:val="TOC Heading"/>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b/>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hart" Target="charts/chart7.xml"/><Relationship Id="rId14" Type="http://schemas.openxmlformats.org/officeDocument/2006/relationships/chart" Target="charts/chart6.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6.bin"/></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7.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2019年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收</c:v>
                </c:pt>
                <c:pt idx="1">
                  <c:v>支</c:v>
                </c:pt>
              </c:strCache>
            </c:strRef>
          </c:cat>
          <c:val>
            <c:numRef>
              <c:f>Sheet1!$B$2:$B$3</c:f>
              <c:numCache>
                <c:formatCode>General</c:formatCode>
                <c:ptCount val="2"/>
                <c:pt idx="0">
                  <c:v>196.87</c:v>
                </c:pt>
                <c:pt idx="1">
                  <c:v>196.87</c:v>
                </c:pt>
              </c:numCache>
            </c:numRef>
          </c:val>
        </c:ser>
        <c:ser>
          <c:idx val="1"/>
          <c:order val="1"/>
          <c:tx>
            <c:strRef>
              <c:f>Sheet1!$C$1</c:f>
              <c:strCache>
                <c:ptCount val="1"/>
                <c:pt idx="0">
                  <c:v>2020年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收</c:v>
                </c:pt>
                <c:pt idx="1">
                  <c:v>支</c:v>
                </c:pt>
              </c:strCache>
            </c:strRef>
          </c:cat>
          <c:val>
            <c:numRef>
              <c:f>Sheet1!$C$2:$C$3</c:f>
              <c:numCache>
                <c:formatCode>General</c:formatCode>
                <c:ptCount val="2"/>
                <c:pt idx="0">
                  <c:v>230.27</c:v>
                </c:pt>
                <c:pt idx="1">
                  <c:v>230.27</c:v>
                </c:pt>
              </c:numCache>
            </c:numRef>
          </c:val>
        </c:ser>
        <c:dLbls>
          <c:showLegendKey val="0"/>
          <c:showVal val="1"/>
          <c:showCatName val="0"/>
          <c:showSerName val="0"/>
          <c:showPercent val="0"/>
          <c:showBubbleSize val="0"/>
        </c:dLbls>
        <c:gapWidth val="150"/>
        <c:axId val="105125760"/>
        <c:axId val="105342080"/>
      </c:barChart>
      <c:catAx>
        <c:axId val="10512576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5342080"/>
        <c:crosses val="autoZero"/>
        <c:auto val="1"/>
        <c:lblAlgn val="ctr"/>
        <c:lblOffset val="100"/>
        <c:noMultiLvlLbl val="0"/>
      </c:catAx>
      <c:valAx>
        <c:axId val="105342080"/>
        <c:scaling>
          <c:orientation val="minMax"/>
          <c:max val="250"/>
          <c:min val="0"/>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5125760"/>
        <c:crosses val="autoZero"/>
        <c:crossBetween val="between"/>
        <c:majorUnit val="50"/>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收入</c:v>
                </c:pt>
              </c:strCache>
            </c:strRef>
          </c:tx>
          <c:explosion val="0"/>
          <c:dPt>
            <c:idx val="0"/>
            <c:bubble3D val="0"/>
          </c:dPt>
          <c:dPt>
            <c:idx val="1"/>
            <c:bubble3D val="0"/>
          </c:dPt>
          <c:dPt>
            <c:idx val="2"/>
            <c:bubble3D val="0"/>
          </c:dPt>
          <c:dPt>
            <c:idx val="3"/>
            <c:bubble3D val="0"/>
          </c:dPt>
          <c:dPt>
            <c:idx val="4"/>
            <c:bubble3D val="0"/>
          </c:dPt>
          <c:dPt>
            <c:idx val="5"/>
            <c:bubble3D val="0"/>
          </c:dPt>
          <c:dPt>
            <c:idx val="6"/>
            <c:bubble3D val="0"/>
          </c:dPt>
          <c:dLbls>
            <c:dLbl>
              <c:idx val="0"/>
              <c:layout/>
              <c:dLblPos val="bestFit"/>
              <c:showLegendKey val="0"/>
              <c:showVal val="1"/>
              <c:showCatName val="0"/>
              <c:showSerName val="0"/>
              <c:showPercent val="0"/>
              <c:showBubbleSize val="0"/>
              <c:extLst>
                <c:ext xmlns:c15="http://schemas.microsoft.com/office/drawing/2012/chart" uri="{CE6537A1-D6FC-4f65-9D91-7224C49458BB}"/>
              </c:extLst>
            </c:dLbl>
            <c:dLbl>
              <c:idx val="1"/>
              <c:delete val="1"/>
            </c:dLbl>
            <c:dLbl>
              <c:idx val="2"/>
              <c:delete val="1"/>
            </c:dLbl>
            <c:dLbl>
              <c:idx val="3"/>
              <c:delete val="1"/>
            </c:dLbl>
            <c:dLbl>
              <c:idx val="4"/>
              <c:delete val="1"/>
            </c:dLbl>
            <c:dLbl>
              <c:idx val="5"/>
              <c:delete val="1"/>
            </c:dLbl>
            <c:dLbl>
              <c:idx val="6"/>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Sheet1!$A$2:$A$8</c:f>
              <c:strCache>
                <c:ptCount val="7"/>
                <c:pt idx="0">
                  <c:v>一般公共预算财政拨款收入</c:v>
                </c:pt>
                <c:pt idx="1">
                  <c:v>政府性基金预算财政拨款收入</c:v>
                </c:pt>
                <c:pt idx="2">
                  <c:v>上级补助收入</c:v>
                </c:pt>
                <c:pt idx="3">
                  <c:v>事业收入</c:v>
                </c:pt>
                <c:pt idx="4">
                  <c:v>经营收入</c:v>
                </c:pt>
                <c:pt idx="5">
                  <c:v>附属单位上缴收入</c:v>
                </c:pt>
                <c:pt idx="6">
                  <c:v>其他收入</c:v>
                </c:pt>
              </c:strCache>
            </c:strRef>
          </c:cat>
          <c:val>
            <c:numRef>
              <c:f>Sheet1!$B$2:$B$8</c:f>
              <c:numCache>
                <c:formatCode>0%</c:formatCode>
                <c:ptCount val="7"/>
                <c:pt idx="0">
                  <c:v>1</c:v>
                </c:pt>
                <c:pt idx="1" c:formatCode="General">
                  <c:v>0</c:v>
                </c:pt>
                <c:pt idx="2" c:formatCode="General">
                  <c:v>0</c:v>
                </c:pt>
                <c:pt idx="3" c:formatCode="General">
                  <c:v>0</c:v>
                </c:pt>
                <c:pt idx="4" c:formatCode="General">
                  <c:v>0</c:v>
                </c:pt>
                <c:pt idx="5" c:formatCode="General">
                  <c:v>0</c:v>
                </c:pt>
                <c:pt idx="6" c:formatCode="General">
                  <c:v>0</c:v>
                </c:pt>
              </c:numCache>
            </c:numRef>
          </c:val>
        </c:ser>
        <c:dLbls>
          <c:showLegendKey val="0"/>
          <c:showVal val="0"/>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支出</c:v>
                </c:pt>
              </c:strCache>
            </c:strRef>
          </c:tx>
          <c:explosion val="0"/>
          <c:dPt>
            <c:idx val="0"/>
            <c:bubble3D val="0"/>
          </c:dPt>
          <c:dPt>
            <c:idx val="1"/>
            <c:bubble3D val="0"/>
          </c:dPt>
          <c:dPt>
            <c:idx val="2"/>
            <c:bubble3D val="0"/>
          </c:dPt>
          <c:dPt>
            <c:idx val="3"/>
            <c:bubble3D val="0"/>
          </c:dPt>
          <c:dPt>
            <c:idx val="4"/>
            <c:bubble3D val="0"/>
          </c:dPt>
          <c:dLbls>
            <c:dLbl>
              <c:idx val="0"/>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dLblPos val="bestFit"/>
              <c:showLegendKey val="0"/>
              <c:showVal val="1"/>
              <c:showCatName val="0"/>
              <c:showSerName val="0"/>
              <c:showPercent val="0"/>
              <c:showBubbleSize val="0"/>
              <c:extLst>
                <c:ext xmlns:c15="http://schemas.microsoft.com/office/drawing/2012/chart" uri="{CE6537A1-D6FC-4f65-9D91-7224C49458BB}"/>
              </c:extLst>
            </c:dLbl>
            <c:dLbl>
              <c:idx val="2"/>
              <c:delete val="1"/>
            </c:dLbl>
            <c:dLbl>
              <c:idx val="3"/>
              <c:delete val="1"/>
            </c:dLbl>
            <c:dLbl>
              <c:idx val="4"/>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0.00%</c:formatCode>
                <c:ptCount val="5"/>
                <c:pt idx="0">
                  <c:v>0.824600000000001</c:v>
                </c:pt>
                <c:pt idx="1">
                  <c:v>0.1754</c:v>
                </c:pt>
                <c:pt idx="2" c:formatCode="General">
                  <c:v>0</c:v>
                </c:pt>
                <c:pt idx="3" c:formatCode="General">
                  <c:v>0</c:v>
                </c:pt>
                <c:pt idx="4" c:formatCode="General">
                  <c:v>0</c:v>
                </c:pt>
              </c:numCache>
            </c:numRef>
          </c:val>
        </c:ser>
        <c:dLbls>
          <c:showLegendKey val="0"/>
          <c:showVal val="0"/>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2019年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收</c:v>
                </c:pt>
                <c:pt idx="1">
                  <c:v>支</c:v>
                </c:pt>
              </c:strCache>
            </c:strRef>
          </c:cat>
          <c:val>
            <c:numRef>
              <c:f>Sheet1!$B$2:$B$3</c:f>
              <c:numCache>
                <c:formatCode>General</c:formatCode>
                <c:ptCount val="2"/>
                <c:pt idx="0">
                  <c:v>196.87</c:v>
                </c:pt>
                <c:pt idx="1">
                  <c:v>196.87</c:v>
                </c:pt>
              </c:numCache>
            </c:numRef>
          </c:val>
        </c:ser>
        <c:ser>
          <c:idx val="1"/>
          <c:order val="1"/>
          <c:tx>
            <c:strRef>
              <c:f>Sheet1!$C$1</c:f>
              <c:strCache>
                <c:ptCount val="1"/>
                <c:pt idx="0">
                  <c:v>2020年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收</c:v>
                </c:pt>
                <c:pt idx="1">
                  <c:v>支</c:v>
                </c:pt>
              </c:strCache>
            </c:strRef>
          </c:cat>
          <c:val>
            <c:numRef>
              <c:f>Sheet1!$C$2:$C$3</c:f>
              <c:numCache>
                <c:formatCode>General</c:formatCode>
                <c:ptCount val="2"/>
                <c:pt idx="0">
                  <c:v>230.27</c:v>
                </c:pt>
                <c:pt idx="1">
                  <c:v>230.27</c:v>
                </c:pt>
              </c:numCache>
            </c:numRef>
          </c:val>
        </c:ser>
        <c:dLbls>
          <c:showLegendKey val="0"/>
          <c:showVal val="1"/>
          <c:showCatName val="0"/>
          <c:showSerName val="0"/>
          <c:showPercent val="0"/>
          <c:showBubbleSize val="0"/>
        </c:dLbls>
        <c:gapWidth val="150"/>
        <c:axId val="107024384"/>
        <c:axId val="107026304"/>
      </c:barChart>
      <c:catAx>
        <c:axId val="10702438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7026304"/>
        <c:crosses val="autoZero"/>
        <c:auto val="1"/>
        <c:lblAlgn val="ctr"/>
        <c:lblOffset val="100"/>
        <c:noMultiLvlLbl val="0"/>
      </c:catAx>
      <c:valAx>
        <c:axId val="107026304"/>
        <c:scaling>
          <c:orientation val="minMax"/>
          <c:max val="250"/>
          <c:min val="0"/>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7024384"/>
        <c:crosses val="autoZero"/>
        <c:crossBetween val="between"/>
        <c:majorUnit val="50"/>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支出额</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2019年</c:v>
                </c:pt>
                <c:pt idx="1">
                  <c:v>2020年</c:v>
                </c:pt>
              </c:strCache>
            </c:strRef>
          </c:cat>
          <c:val>
            <c:numRef>
              <c:f>Sheet1!$B$2:$B$3</c:f>
              <c:numCache>
                <c:formatCode>General</c:formatCode>
                <c:ptCount val="2"/>
                <c:pt idx="0">
                  <c:v>196.87</c:v>
                </c:pt>
                <c:pt idx="1">
                  <c:v>230.27</c:v>
                </c:pt>
              </c:numCache>
            </c:numRef>
          </c:val>
        </c:ser>
        <c:dLbls>
          <c:showLegendKey val="0"/>
          <c:showVal val="1"/>
          <c:showCatName val="0"/>
          <c:showSerName val="0"/>
          <c:showPercent val="0"/>
          <c:showBubbleSize val="0"/>
        </c:dLbls>
        <c:gapWidth val="150"/>
        <c:axId val="110619648"/>
        <c:axId val="110842624"/>
      </c:barChart>
      <c:catAx>
        <c:axId val="11061964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0842624"/>
        <c:crosses val="autoZero"/>
        <c:auto val="1"/>
        <c:lblAlgn val="ctr"/>
        <c:lblOffset val="100"/>
        <c:noMultiLvlLbl val="0"/>
      </c:catAx>
      <c:valAx>
        <c:axId val="110842624"/>
        <c:scaling>
          <c:orientation val="minMax"/>
          <c:max val="250"/>
          <c:min val="0"/>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0619648"/>
        <c:crosses val="autoZero"/>
        <c:crossBetween val="between"/>
        <c:majorUnit val="50"/>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支出结构</c:v>
                </c:pt>
              </c:strCache>
            </c:strRef>
          </c:tx>
          <c:explosion val="0"/>
          <c:dPt>
            <c:idx val="0"/>
            <c:bubble3D val="0"/>
          </c:dPt>
          <c:dPt>
            <c:idx val="1"/>
            <c:bubble3D val="0"/>
          </c:dPt>
          <c:dPt>
            <c:idx val="2"/>
            <c:bubble3D val="0"/>
          </c:dPt>
          <c:dPt>
            <c:idx val="3"/>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Sheet1!$A$2:$A$5</c:f>
              <c:strCache>
                <c:ptCount val="4"/>
                <c:pt idx="0">
                  <c:v>科学技术类支出</c:v>
                </c:pt>
                <c:pt idx="1">
                  <c:v>社会保障和就业类支出</c:v>
                </c:pt>
                <c:pt idx="2">
                  <c:v>卫生健康支出</c:v>
                </c:pt>
                <c:pt idx="3">
                  <c:v>住房保障支出</c:v>
                </c:pt>
              </c:strCache>
            </c:strRef>
          </c:cat>
          <c:val>
            <c:numRef>
              <c:f>Sheet1!$B$2:$B$5</c:f>
              <c:numCache>
                <c:formatCode>0.00%</c:formatCode>
                <c:ptCount val="4"/>
                <c:pt idx="0">
                  <c:v>0.756600000000001</c:v>
                </c:pt>
                <c:pt idx="1">
                  <c:v>0.1039</c:v>
                </c:pt>
                <c:pt idx="2">
                  <c:v>0.0682</c:v>
                </c:pt>
                <c:pt idx="3">
                  <c:v>0.0713</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支出结构</c:v>
                </c:pt>
              </c:strCache>
            </c:strRef>
          </c:tx>
          <c:explosion val="0"/>
          <c:dPt>
            <c:idx val="0"/>
            <c:bubble3D val="0"/>
          </c:dPt>
          <c:dPt>
            <c:idx val="1"/>
            <c:bubble3D val="0"/>
          </c:dPt>
          <c:dPt>
            <c:idx val="2"/>
            <c:bubble3D val="0"/>
          </c:dPt>
          <c:dLbls>
            <c:delete val="1"/>
          </c:dLbls>
          <c:cat>
            <c:strRef>
              <c:f>Sheet1!$A$2:$A$4</c:f>
              <c:strCache>
                <c:ptCount val="3"/>
                <c:pt idx="0">
                  <c:v>因公出国（境）费支出</c:v>
                </c:pt>
                <c:pt idx="1">
                  <c:v>公务用车购置及运行维护费支出</c:v>
                </c:pt>
                <c:pt idx="2">
                  <c:v>公务接待费支出</c:v>
                </c:pt>
              </c:strCache>
            </c:strRef>
          </c:cat>
          <c:val>
            <c:numRef>
              <c:f>Sheet1!$B$2:$B$4</c:f>
              <c:numCache>
                <c:formatCode>0%</c:formatCode>
                <c:ptCount val="3"/>
                <c:pt idx="0">
                  <c:v>0</c:v>
                </c:pt>
                <c:pt idx="1">
                  <c:v>0</c:v>
                </c:pt>
                <c:pt idx="2">
                  <c:v>0</c:v>
                </c:pt>
              </c:numCache>
            </c:numRef>
          </c:val>
        </c:ser>
        <c:dLbls>
          <c:showLegendKey val="0"/>
          <c:showVal val="0"/>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38</Pages>
  <Words>12348</Words>
  <Characters>13076</Characters>
  <Lines>110</Lines>
  <Paragraphs>31</Paragraphs>
  <TotalTime>9</TotalTime>
  <ScaleCrop>false</ScaleCrop>
  <LinksUpToDate>false</LinksUpToDate>
  <CharactersWithSpaces>19220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2020-08-06T01:49:00Z</dcterms:created>
  <dc:creator>曹颖</dc:creator>
  <cp:lastModifiedBy>mz</cp:lastModifiedBy>
  <cp:lastPrinted>2021-07-31T03:56:00Z</cp:lastPrinted>
  <dcterms:modified xsi:type="dcterms:W3CDTF">2022-11-11T05:37:48Z</dcterms:modified>
  <dc:title>四川省***</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B9C5CDB32D924F8EBFF7F622DC2A63CF</vt:lpwstr>
  </property>
</Properties>
</file>