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27502"/>
      <w:bookmarkStart w:id="3" w:name="_Toc15378441"/>
      <w:bookmarkStart w:id="4" w:name="_Toc15377193"/>
      <w:bookmarkStart w:id="5" w:name="_Toc15396475"/>
      <w:bookmarkStart w:id="6"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818"/>
      <w:bookmarkStart w:id="8" w:name="_Toc15377426"/>
      <w:bookmarkStart w:id="9" w:name="_Toc15396598"/>
      <w:bookmarkStart w:id="10" w:name="_Toc15378442"/>
      <w:bookmarkStart w:id="11" w:name="_Toc15377194"/>
      <w:bookmarkStart w:id="12" w:name="_Toc15306268"/>
      <w:bookmarkStart w:id="13" w:name="_Toc15396476"/>
      <w:r>
        <w:rPr>
          <w:rFonts w:hint="eastAsia" w:ascii="方正小标宋简体" w:hAnsi="方正小标宋简体" w:eastAsia="方正小标宋简体" w:cs="方正小标宋简体"/>
          <w:sz w:val="72"/>
          <w:szCs w:val="72"/>
        </w:rPr>
        <w:t>四川商务职业学院</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6302"/>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3"/>
      <w:bookmarkEnd w:id="14"/>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sectPr>
          <w:headerReference r:id="rId3" w:type="default"/>
          <w:footerReference r:id="rId4" w:type="default"/>
          <w:pgSz w:w="11906" w:h="16838"/>
          <w:pgMar w:top="1440" w:right="1800" w:bottom="1383" w:left="1800" w:header="851" w:footer="992" w:gutter="0"/>
          <w:pgNumType w:start="1"/>
          <w:cols w:space="425" w:num="1"/>
          <w:titlePg/>
          <w:docGrid w:type="lines" w:linePitch="312" w:charSpace="0"/>
        </w:sectPr>
      </w:pPr>
    </w:p>
    <w:p>
      <w:pPr>
        <w:pStyle w:val="2"/>
        <w:spacing w:before="93"/>
      </w:pPr>
    </w:p>
    <w:p>
      <w:pPr>
        <w:widowControl/>
        <w:jc w:val="center"/>
        <w:rPr>
          <w:rFonts w:ascii="黑体" w:hAnsi="黑体" w:eastAsia="黑体"/>
          <w:sz w:val="48"/>
          <w:szCs w:val="48"/>
        </w:rPr>
      </w:pPr>
    </w:p>
    <w:p>
      <w:pPr>
        <w:widowControl/>
        <w:jc w:val="center"/>
        <w:rPr>
          <w:rFonts w:ascii="黑体" w:hAnsi="黑体" w:eastAsia="黑体" w:cstheme="minorBidi"/>
          <w:sz w:val="28"/>
          <w:szCs w:val="28"/>
        </w:rPr>
      </w:pPr>
      <w:r>
        <w:rPr>
          <w:rFonts w:hint="eastAsia" w:ascii="黑体" w:hAnsi="黑体" w:eastAsia="黑体"/>
          <w:sz w:val="48"/>
          <w:szCs w:val="48"/>
        </w:rPr>
        <w:t>目录</w:t>
      </w:r>
    </w:p>
    <w:p>
      <w:pPr>
        <w:pStyle w:val="11"/>
      </w:pPr>
      <w:r>
        <w:rPr>
          <w:rFonts w:hint="eastAsia"/>
        </w:rPr>
        <w:t>公开时间：2022年9月9日</w:t>
      </w:r>
    </w:p>
    <w:p/>
    <w:sdt>
      <w:sdtPr>
        <w:rPr>
          <w:rFonts w:ascii="宋体" w:hAnsi="宋体"/>
        </w:rPr>
        <w:id w:val="147474839"/>
        <w15:color w:val="DBDBDB"/>
        <w:docPartObj>
          <w:docPartGallery w:val="Table of Contents"/>
          <w:docPartUnique/>
        </w:docPartObj>
      </w:sdtPr>
      <w:sdtEndPr>
        <w:rPr>
          <w:rFonts w:hint="eastAsia" w:ascii="黑体" w:hAnsi="黑体" w:eastAsia="黑体"/>
          <w:b/>
        </w:rPr>
      </w:sdtEndPr>
      <w:sdtContent>
        <w:p>
          <w:pPr>
            <w:jc w:val="center"/>
            <w:rPr>
              <w:b/>
            </w:rPr>
          </w:pPr>
          <w:r>
            <w:rPr>
              <w:rFonts w:hint="eastAsia" w:ascii="黑体" w:hAnsi="黑体" w:eastAsia="黑体"/>
            </w:rPr>
            <w:fldChar w:fldCharType="begin"/>
          </w:r>
          <w:r>
            <w:rPr>
              <w:rFonts w:hint="eastAsia" w:ascii="黑体" w:hAnsi="黑体" w:eastAsia="黑体"/>
            </w:rPr>
            <w:instrText xml:space="preserve">TOC \o "1-2" \h \u </w:instrText>
          </w:r>
          <w:r>
            <w:rPr>
              <w:rFonts w:hint="eastAsia" w:ascii="黑体" w:hAnsi="黑体" w:eastAsia="黑体"/>
            </w:rPr>
            <w:fldChar w:fldCharType="separate"/>
          </w:r>
        </w:p>
        <w:p>
          <w:pPr>
            <w:pStyle w:val="31"/>
            <w:tabs>
              <w:tab w:val="right" w:leader="dot" w:pos="8306"/>
            </w:tabs>
            <w:rPr>
              <w:b/>
            </w:rPr>
          </w:pPr>
          <w:r>
            <w:fldChar w:fldCharType="begin"/>
          </w:r>
          <w:r>
            <w:instrText xml:space="preserve"> HYPERLINK \l "_Toc13422" </w:instrText>
          </w:r>
          <w:r>
            <w:fldChar w:fldCharType="separate"/>
          </w:r>
          <w:r>
            <w:rPr>
              <w:rFonts w:hint="eastAsia" w:ascii="黑体" w:hAnsi="黑体" w:eastAsia="黑体"/>
              <w:b/>
            </w:rPr>
            <w:t>第一部分 单位概况</w:t>
          </w:r>
          <w:r>
            <w:rPr>
              <w:b/>
            </w:rPr>
            <w:tab/>
          </w:r>
          <w:r>
            <w:rPr>
              <w:b/>
            </w:rPr>
            <w:fldChar w:fldCharType="begin"/>
          </w:r>
          <w:r>
            <w:rPr>
              <w:b/>
            </w:rPr>
            <w:instrText xml:space="preserve"> PAGEREF _Toc13422 \h </w:instrText>
          </w:r>
          <w:r>
            <w:rPr>
              <w:b/>
            </w:rPr>
            <w:fldChar w:fldCharType="separate"/>
          </w:r>
          <w:r>
            <w:rPr>
              <w:b/>
            </w:rPr>
            <w:t>1</w:t>
          </w:r>
          <w:r>
            <w:rPr>
              <w:b/>
            </w:rPr>
            <w:fldChar w:fldCharType="end"/>
          </w:r>
          <w:r>
            <w:rPr>
              <w:b/>
            </w:rPr>
            <w:fldChar w:fldCharType="end"/>
          </w:r>
        </w:p>
        <w:p>
          <w:pPr>
            <w:pStyle w:val="32"/>
            <w:tabs>
              <w:tab w:val="right" w:leader="dot" w:pos="8306"/>
            </w:tabs>
            <w:ind w:left="420"/>
          </w:pPr>
          <w:r>
            <w:fldChar w:fldCharType="begin"/>
          </w:r>
          <w:r>
            <w:instrText xml:space="preserve"> HYPERLINK \l "_Toc13850" </w:instrText>
          </w:r>
          <w:r>
            <w:fldChar w:fldCharType="separate"/>
          </w:r>
          <w:r>
            <w:rPr>
              <w:rFonts w:hint="eastAsia" w:ascii="黑体" w:hAnsi="黑体" w:eastAsia="黑体"/>
              <w:bCs/>
            </w:rPr>
            <w:t>一、职能简介</w:t>
          </w:r>
          <w:r>
            <w:tab/>
          </w:r>
          <w:r>
            <w:fldChar w:fldCharType="begin"/>
          </w:r>
          <w:r>
            <w:instrText xml:space="preserve"> PAGEREF _Toc13850 \h </w:instrText>
          </w:r>
          <w:r>
            <w:fldChar w:fldCharType="separate"/>
          </w:r>
          <w:r>
            <w:t>1</w:t>
          </w:r>
          <w:r>
            <w:fldChar w:fldCharType="end"/>
          </w:r>
          <w:r>
            <w:fldChar w:fldCharType="end"/>
          </w:r>
        </w:p>
        <w:p>
          <w:pPr>
            <w:pStyle w:val="32"/>
            <w:tabs>
              <w:tab w:val="right" w:leader="dot" w:pos="8306"/>
            </w:tabs>
            <w:ind w:left="420"/>
          </w:pPr>
          <w:r>
            <w:fldChar w:fldCharType="begin"/>
          </w:r>
          <w:r>
            <w:instrText xml:space="preserve"> HYPERLINK \l "_Toc7983" </w:instrText>
          </w:r>
          <w:r>
            <w:fldChar w:fldCharType="separate"/>
          </w:r>
          <w:r>
            <w:rPr>
              <w:rFonts w:hint="eastAsia" w:ascii="黑体" w:hAnsi="黑体" w:eastAsia="黑体"/>
            </w:rPr>
            <w:t>二、2021年重点工作完成情况</w:t>
          </w:r>
          <w:r>
            <w:tab/>
          </w:r>
          <w:r>
            <w:fldChar w:fldCharType="begin"/>
          </w:r>
          <w:r>
            <w:instrText xml:space="preserve"> PAGEREF _Toc7983 \h </w:instrText>
          </w:r>
          <w:r>
            <w:fldChar w:fldCharType="separate"/>
          </w:r>
          <w:r>
            <w:t>2</w:t>
          </w:r>
          <w:r>
            <w:fldChar w:fldCharType="end"/>
          </w:r>
          <w:r>
            <w:fldChar w:fldCharType="end"/>
          </w:r>
        </w:p>
        <w:p>
          <w:pPr>
            <w:pStyle w:val="32"/>
            <w:tabs>
              <w:tab w:val="right" w:leader="dot" w:pos="8306"/>
            </w:tabs>
            <w:ind w:left="420"/>
          </w:pPr>
          <w:r>
            <w:fldChar w:fldCharType="begin"/>
          </w:r>
          <w:r>
            <w:instrText xml:space="preserve"> HYPERLINK \l "_Toc4435" </w:instrText>
          </w:r>
          <w:r>
            <w:fldChar w:fldCharType="separate"/>
          </w:r>
          <w:r>
            <w:rPr>
              <w:rFonts w:hint="eastAsia" w:ascii="黑体" w:hAnsi="黑体" w:eastAsia="黑体" w:cstheme="majorBidi"/>
              <w:szCs w:val="32"/>
            </w:rPr>
            <w:t>三、机构设置情况</w:t>
          </w:r>
          <w:r>
            <w:tab/>
          </w:r>
          <w:r>
            <w:fldChar w:fldCharType="begin"/>
          </w:r>
          <w:r>
            <w:instrText xml:space="preserve"> PAGEREF _Toc4435 \h </w:instrText>
          </w:r>
          <w:r>
            <w:fldChar w:fldCharType="separate"/>
          </w:r>
          <w:r>
            <w:t>4</w:t>
          </w:r>
          <w:r>
            <w:fldChar w:fldCharType="end"/>
          </w:r>
          <w:r>
            <w:fldChar w:fldCharType="end"/>
          </w:r>
        </w:p>
        <w:p>
          <w:pPr>
            <w:pStyle w:val="31"/>
            <w:tabs>
              <w:tab w:val="right" w:leader="dot" w:pos="8306"/>
            </w:tabs>
            <w:rPr>
              <w:b/>
            </w:rPr>
          </w:pPr>
          <w:r>
            <w:fldChar w:fldCharType="begin"/>
          </w:r>
          <w:r>
            <w:instrText xml:space="preserve"> HYPERLINK \l "_Toc2995" </w:instrText>
          </w:r>
          <w:r>
            <w:fldChar w:fldCharType="separate"/>
          </w:r>
          <w:r>
            <w:rPr>
              <w:rFonts w:hint="eastAsia" w:ascii="黑体" w:hAnsi="黑体" w:eastAsia="黑体"/>
              <w:b/>
            </w:rPr>
            <w:t>第二部分 2021年度</w:t>
          </w:r>
          <w:r>
            <w:rPr>
              <w:rFonts w:hint="eastAsia" w:ascii="黑体" w:hAnsi="黑体" w:eastAsia="黑体"/>
              <w:b/>
              <w:bCs/>
            </w:rPr>
            <w:t>单位决算情况说明</w:t>
          </w:r>
          <w:r>
            <w:rPr>
              <w:b/>
            </w:rPr>
            <w:tab/>
          </w:r>
          <w:r>
            <w:rPr>
              <w:b/>
            </w:rPr>
            <w:fldChar w:fldCharType="begin"/>
          </w:r>
          <w:r>
            <w:rPr>
              <w:b/>
            </w:rPr>
            <w:instrText xml:space="preserve"> PAGEREF _Toc2995 \h </w:instrText>
          </w:r>
          <w:r>
            <w:rPr>
              <w:b/>
            </w:rPr>
            <w:fldChar w:fldCharType="separate"/>
          </w:r>
          <w:r>
            <w:rPr>
              <w:b/>
            </w:rPr>
            <w:t>6</w:t>
          </w:r>
          <w:r>
            <w:rPr>
              <w:b/>
            </w:rPr>
            <w:fldChar w:fldCharType="end"/>
          </w:r>
          <w:r>
            <w:rPr>
              <w:b/>
            </w:rPr>
            <w:fldChar w:fldCharType="end"/>
          </w:r>
        </w:p>
        <w:p>
          <w:pPr>
            <w:pStyle w:val="32"/>
            <w:tabs>
              <w:tab w:val="right" w:leader="dot" w:pos="8306"/>
            </w:tabs>
            <w:ind w:left="420"/>
          </w:pPr>
          <w:r>
            <w:fldChar w:fldCharType="begin"/>
          </w:r>
          <w:r>
            <w:instrText xml:space="preserve"> HYPERLINK \l "_Toc24415" </w:instrText>
          </w:r>
          <w:r>
            <w:fldChar w:fldCharType="separate"/>
          </w:r>
          <w:r>
            <w:rPr>
              <w:rFonts w:hint="eastAsia" w:ascii="黑体" w:hAnsi="黑体" w:eastAsia="黑体"/>
              <w:bCs/>
              <w:szCs w:val="32"/>
            </w:rPr>
            <w:t>一、收</w:t>
          </w:r>
          <w:r>
            <w:rPr>
              <w:rFonts w:hint="eastAsia" w:ascii="黑体" w:hAnsi="黑体" w:eastAsia="黑体"/>
            </w:rPr>
            <w:t>入支出决算总体情况说明</w:t>
          </w:r>
          <w:r>
            <w:tab/>
          </w:r>
          <w:r>
            <w:fldChar w:fldCharType="begin"/>
          </w:r>
          <w:r>
            <w:instrText xml:space="preserve"> PAGEREF _Toc24415 \h </w:instrText>
          </w:r>
          <w:r>
            <w:fldChar w:fldCharType="separate"/>
          </w:r>
          <w:r>
            <w:t>6</w:t>
          </w:r>
          <w:r>
            <w:fldChar w:fldCharType="end"/>
          </w:r>
          <w:r>
            <w:fldChar w:fldCharType="end"/>
          </w:r>
        </w:p>
        <w:p>
          <w:pPr>
            <w:pStyle w:val="32"/>
            <w:tabs>
              <w:tab w:val="right" w:leader="dot" w:pos="8306"/>
            </w:tabs>
            <w:ind w:left="420"/>
          </w:pPr>
          <w:r>
            <w:fldChar w:fldCharType="begin"/>
          </w:r>
          <w:r>
            <w:instrText xml:space="preserve"> HYPERLINK \l "_Toc15457" </w:instrText>
          </w:r>
          <w:r>
            <w:fldChar w:fldCharType="separate"/>
          </w:r>
          <w:r>
            <w:rPr>
              <w:rFonts w:hint="eastAsia" w:ascii="黑体" w:hAnsi="黑体" w:eastAsia="黑体"/>
              <w:bCs/>
              <w:szCs w:val="32"/>
            </w:rPr>
            <w:t>二、收</w:t>
          </w:r>
          <w:r>
            <w:rPr>
              <w:rFonts w:hint="eastAsia" w:ascii="黑体" w:hAnsi="黑体" w:eastAsia="黑体"/>
            </w:rPr>
            <w:t>入决算情况说明</w:t>
          </w:r>
          <w:r>
            <w:tab/>
          </w:r>
          <w:r>
            <w:fldChar w:fldCharType="begin"/>
          </w:r>
          <w:r>
            <w:instrText xml:space="preserve"> PAGEREF _Toc15457 \h </w:instrText>
          </w:r>
          <w:r>
            <w:fldChar w:fldCharType="separate"/>
          </w:r>
          <w:r>
            <w:t>6</w:t>
          </w:r>
          <w:r>
            <w:fldChar w:fldCharType="end"/>
          </w:r>
          <w:r>
            <w:fldChar w:fldCharType="end"/>
          </w:r>
        </w:p>
        <w:p>
          <w:pPr>
            <w:pStyle w:val="32"/>
            <w:tabs>
              <w:tab w:val="right" w:leader="dot" w:pos="8306"/>
            </w:tabs>
            <w:ind w:left="420"/>
          </w:pPr>
          <w:r>
            <w:fldChar w:fldCharType="begin"/>
          </w:r>
          <w:r>
            <w:instrText xml:space="preserve"> HYPERLINK \l "_Toc23908" </w:instrText>
          </w:r>
          <w:r>
            <w:fldChar w:fldCharType="separate"/>
          </w:r>
          <w:r>
            <w:rPr>
              <w:rFonts w:hint="eastAsia" w:ascii="黑体" w:hAnsi="黑体" w:eastAsia="黑体"/>
              <w:bCs/>
              <w:szCs w:val="32"/>
            </w:rPr>
            <w:t>三、支</w:t>
          </w:r>
          <w:r>
            <w:rPr>
              <w:rFonts w:hint="eastAsia" w:ascii="黑体" w:hAnsi="黑体" w:eastAsia="黑体"/>
            </w:rPr>
            <w:t>出决算情况说明</w:t>
          </w:r>
          <w:r>
            <w:tab/>
          </w:r>
          <w:r>
            <w:fldChar w:fldCharType="begin"/>
          </w:r>
          <w:r>
            <w:instrText xml:space="preserve"> PAGEREF _Toc23908 \h </w:instrText>
          </w:r>
          <w:r>
            <w:fldChar w:fldCharType="separate"/>
          </w:r>
          <w:r>
            <w:t>7</w:t>
          </w:r>
          <w:r>
            <w:fldChar w:fldCharType="end"/>
          </w:r>
          <w:r>
            <w:fldChar w:fldCharType="end"/>
          </w:r>
        </w:p>
        <w:p>
          <w:pPr>
            <w:pStyle w:val="32"/>
            <w:tabs>
              <w:tab w:val="right" w:leader="dot" w:pos="8306"/>
            </w:tabs>
            <w:ind w:left="420"/>
          </w:pPr>
          <w:r>
            <w:fldChar w:fldCharType="begin"/>
          </w:r>
          <w:r>
            <w:instrText xml:space="preserve"> HYPERLINK \l "_Toc9938" </w:instrText>
          </w:r>
          <w:r>
            <w:fldChar w:fldCharType="separate"/>
          </w:r>
          <w:r>
            <w:rPr>
              <w:rFonts w:hint="eastAsia" w:ascii="黑体" w:hAnsi="黑体" w:eastAsia="黑体"/>
              <w:bCs/>
              <w:szCs w:val="32"/>
            </w:rPr>
            <w:t>四、财</w:t>
          </w:r>
          <w:r>
            <w:rPr>
              <w:rFonts w:hint="eastAsia" w:ascii="黑体" w:hAnsi="黑体" w:eastAsia="黑体"/>
            </w:rPr>
            <w:t>政拨款收入支出决算总体情况说明</w:t>
          </w:r>
          <w:r>
            <w:tab/>
          </w:r>
          <w:r>
            <w:fldChar w:fldCharType="begin"/>
          </w:r>
          <w:r>
            <w:instrText xml:space="preserve"> PAGEREF _Toc9938 \h </w:instrText>
          </w:r>
          <w:r>
            <w:fldChar w:fldCharType="separate"/>
          </w:r>
          <w:r>
            <w:t>7</w:t>
          </w:r>
          <w:r>
            <w:fldChar w:fldCharType="end"/>
          </w:r>
          <w:r>
            <w:fldChar w:fldCharType="end"/>
          </w:r>
        </w:p>
        <w:p>
          <w:pPr>
            <w:pStyle w:val="32"/>
            <w:tabs>
              <w:tab w:val="right" w:leader="dot" w:pos="8306"/>
            </w:tabs>
            <w:ind w:left="420"/>
          </w:pPr>
          <w:r>
            <w:fldChar w:fldCharType="begin"/>
          </w:r>
          <w:r>
            <w:instrText xml:space="preserve"> HYPERLINK \l "_Toc30129"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_Toc30129 \h </w:instrText>
          </w:r>
          <w:r>
            <w:fldChar w:fldCharType="separate"/>
          </w:r>
          <w:r>
            <w:t>8</w:t>
          </w:r>
          <w:r>
            <w:fldChar w:fldCharType="end"/>
          </w:r>
          <w:r>
            <w:fldChar w:fldCharType="end"/>
          </w:r>
        </w:p>
        <w:p>
          <w:pPr>
            <w:pStyle w:val="32"/>
            <w:tabs>
              <w:tab w:val="right" w:leader="dot" w:pos="8306"/>
            </w:tabs>
            <w:ind w:left="420"/>
          </w:pPr>
          <w:r>
            <w:fldChar w:fldCharType="begin"/>
          </w:r>
          <w:r>
            <w:instrText xml:space="preserve"> HYPERLINK \l "_Toc12610" </w:instrText>
          </w:r>
          <w:r>
            <w:fldChar w:fldCharType="separate"/>
          </w:r>
          <w:r>
            <w:rPr>
              <w:rFonts w:hint="eastAsia" w:ascii="黑体" w:hAnsi="黑体" w:eastAsia="黑体"/>
              <w:bCs/>
              <w:szCs w:val="32"/>
            </w:rPr>
            <w:t>六、一</w:t>
          </w:r>
          <w:r>
            <w:rPr>
              <w:rFonts w:hint="eastAsia" w:ascii="黑体" w:hAnsi="黑体" w:eastAsia="黑体"/>
            </w:rPr>
            <w:t>般公共预算财政拨款基本支出决算情况说明</w:t>
          </w:r>
          <w:r>
            <w:tab/>
          </w:r>
          <w:r>
            <w:fldChar w:fldCharType="begin"/>
          </w:r>
          <w:r>
            <w:instrText xml:space="preserve"> PAGEREF _Toc12610 \h </w:instrText>
          </w:r>
          <w:r>
            <w:fldChar w:fldCharType="separate"/>
          </w:r>
          <w:r>
            <w:t>11</w:t>
          </w:r>
          <w:r>
            <w:fldChar w:fldCharType="end"/>
          </w:r>
          <w:r>
            <w:fldChar w:fldCharType="end"/>
          </w:r>
        </w:p>
        <w:p>
          <w:pPr>
            <w:pStyle w:val="32"/>
            <w:tabs>
              <w:tab w:val="right" w:leader="dot" w:pos="8306"/>
            </w:tabs>
            <w:ind w:left="420"/>
          </w:pPr>
          <w:r>
            <w:fldChar w:fldCharType="begin"/>
          </w:r>
          <w:r>
            <w:instrText xml:space="preserve"> HYPERLINK \l "_Toc10545" </w:instrText>
          </w:r>
          <w:r>
            <w:fldChar w:fldCharType="separate"/>
          </w:r>
          <w:r>
            <w:rPr>
              <w:rFonts w:hint="eastAsia" w:ascii="黑体" w:eastAsia="黑体"/>
              <w:bCs/>
              <w:szCs w:val="32"/>
            </w:rPr>
            <w:t>七、</w:t>
          </w:r>
          <w:r>
            <w:rPr>
              <w:rFonts w:hint="eastAsia" w:ascii="黑体" w:hAnsi="黑体" w:eastAsia="黑体"/>
            </w:rPr>
            <w:t>“三公”经费财政拨款支出决算情况说明</w:t>
          </w:r>
          <w:r>
            <w:tab/>
          </w:r>
          <w:r>
            <w:fldChar w:fldCharType="begin"/>
          </w:r>
          <w:r>
            <w:instrText xml:space="preserve"> PAGEREF _Toc10545 \h </w:instrText>
          </w:r>
          <w:r>
            <w:fldChar w:fldCharType="separate"/>
          </w:r>
          <w:r>
            <w:t>11</w:t>
          </w:r>
          <w:r>
            <w:fldChar w:fldCharType="end"/>
          </w:r>
          <w:r>
            <w:fldChar w:fldCharType="end"/>
          </w:r>
        </w:p>
        <w:p>
          <w:pPr>
            <w:pStyle w:val="32"/>
            <w:tabs>
              <w:tab w:val="right" w:leader="dot" w:pos="8306"/>
            </w:tabs>
            <w:ind w:left="420"/>
          </w:pPr>
          <w:r>
            <w:fldChar w:fldCharType="begin"/>
          </w:r>
          <w:r>
            <w:instrText xml:space="preserve"> HYPERLINK \l "_Toc6123" </w:instrText>
          </w:r>
          <w:r>
            <w:fldChar w:fldCharType="separate"/>
          </w:r>
          <w:r>
            <w:rPr>
              <w:rFonts w:hint="eastAsia" w:ascii="黑体" w:eastAsia="黑体"/>
              <w:bCs/>
              <w:szCs w:val="32"/>
            </w:rPr>
            <w:t>八、</w:t>
          </w:r>
          <w:r>
            <w:rPr>
              <w:rFonts w:hint="eastAsia" w:ascii="黑体" w:hAnsi="黑体" w:eastAsia="黑体"/>
            </w:rPr>
            <w:t>政府性基金预算支出决算情况说明</w:t>
          </w:r>
          <w:r>
            <w:tab/>
          </w:r>
          <w:r>
            <w:fldChar w:fldCharType="begin"/>
          </w:r>
          <w:r>
            <w:instrText xml:space="preserve"> PAGEREF _Toc6123 \h </w:instrText>
          </w:r>
          <w:r>
            <w:fldChar w:fldCharType="separate"/>
          </w:r>
          <w:r>
            <w:t>13</w:t>
          </w:r>
          <w:r>
            <w:fldChar w:fldCharType="end"/>
          </w:r>
          <w:r>
            <w:fldChar w:fldCharType="end"/>
          </w:r>
        </w:p>
        <w:p>
          <w:pPr>
            <w:pStyle w:val="32"/>
            <w:tabs>
              <w:tab w:val="right" w:leader="dot" w:pos="8306"/>
            </w:tabs>
            <w:ind w:left="420"/>
          </w:pPr>
          <w:r>
            <w:fldChar w:fldCharType="begin"/>
          </w:r>
          <w:r>
            <w:instrText xml:space="preserve"> HYPERLINK \l "_Toc1240" </w:instrText>
          </w:r>
          <w:r>
            <w:fldChar w:fldCharType="separate"/>
          </w:r>
          <w:r>
            <w:rPr>
              <w:rFonts w:hint="eastAsia" w:ascii="黑体" w:hAnsi="黑体" w:eastAsia="黑体"/>
            </w:rPr>
            <w:t>九、 国有资本经营预算支出决算情况说明</w:t>
          </w:r>
          <w:r>
            <w:tab/>
          </w:r>
          <w:r>
            <w:fldChar w:fldCharType="begin"/>
          </w:r>
          <w:r>
            <w:instrText xml:space="preserve"> PAGEREF _Toc1240 \h </w:instrText>
          </w:r>
          <w:r>
            <w:fldChar w:fldCharType="separate"/>
          </w:r>
          <w:r>
            <w:t>13</w:t>
          </w:r>
          <w:r>
            <w:fldChar w:fldCharType="end"/>
          </w:r>
          <w:r>
            <w:fldChar w:fldCharType="end"/>
          </w:r>
        </w:p>
        <w:p>
          <w:pPr>
            <w:pStyle w:val="32"/>
            <w:tabs>
              <w:tab w:val="right" w:leader="dot" w:pos="8306"/>
            </w:tabs>
            <w:ind w:left="420"/>
          </w:pPr>
          <w:r>
            <w:fldChar w:fldCharType="begin"/>
          </w:r>
          <w:r>
            <w:instrText xml:space="preserve"> HYPERLINK \l "_Toc7348" </w:instrText>
          </w:r>
          <w:r>
            <w:fldChar w:fldCharType="separate"/>
          </w:r>
          <w:r>
            <w:rPr>
              <w:rFonts w:hint="eastAsia" w:ascii="黑体" w:hAnsi="黑体" w:eastAsia="黑体"/>
            </w:rPr>
            <w:t>十、 其他重要事项的情况说明</w:t>
          </w:r>
          <w:r>
            <w:tab/>
          </w:r>
          <w:r>
            <w:fldChar w:fldCharType="begin"/>
          </w:r>
          <w:r>
            <w:instrText xml:space="preserve"> PAGEREF _Toc7348 \h </w:instrText>
          </w:r>
          <w:r>
            <w:fldChar w:fldCharType="separate"/>
          </w:r>
          <w:r>
            <w:t>13</w:t>
          </w:r>
          <w:r>
            <w:fldChar w:fldCharType="end"/>
          </w:r>
          <w:r>
            <w:fldChar w:fldCharType="end"/>
          </w:r>
        </w:p>
        <w:p>
          <w:pPr>
            <w:pStyle w:val="31"/>
            <w:tabs>
              <w:tab w:val="right" w:leader="dot" w:pos="8306"/>
            </w:tabs>
            <w:rPr>
              <w:b/>
            </w:rPr>
          </w:pPr>
          <w:r>
            <w:fldChar w:fldCharType="begin"/>
          </w:r>
          <w:r>
            <w:instrText xml:space="preserve"> HYPERLINK \l "_Toc23399"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_Toc23399 \h </w:instrText>
          </w:r>
          <w:r>
            <w:rPr>
              <w:b/>
            </w:rPr>
            <w:fldChar w:fldCharType="separate"/>
          </w:r>
          <w:r>
            <w:rPr>
              <w:b/>
            </w:rPr>
            <w:t>15</w:t>
          </w:r>
          <w:r>
            <w:rPr>
              <w:b/>
            </w:rPr>
            <w:fldChar w:fldCharType="end"/>
          </w:r>
          <w:r>
            <w:rPr>
              <w:b/>
            </w:rPr>
            <w:fldChar w:fldCharType="end"/>
          </w:r>
        </w:p>
        <w:p>
          <w:pPr>
            <w:pStyle w:val="31"/>
            <w:tabs>
              <w:tab w:val="right" w:leader="dot" w:pos="8306"/>
            </w:tabs>
            <w:rPr>
              <w:b/>
            </w:rPr>
          </w:pPr>
          <w:r>
            <w:fldChar w:fldCharType="begin"/>
          </w:r>
          <w:r>
            <w:instrText xml:space="preserve"> HYPERLINK \l "_Toc26088" </w:instrText>
          </w:r>
          <w: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_Toc26088 \h </w:instrText>
          </w:r>
          <w:r>
            <w:rPr>
              <w:b/>
            </w:rPr>
            <w:fldChar w:fldCharType="separate"/>
          </w:r>
          <w:r>
            <w:rPr>
              <w:b/>
            </w:rPr>
            <w:t>17</w:t>
          </w:r>
          <w:r>
            <w:rPr>
              <w:b/>
            </w:rPr>
            <w:fldChar w:fldCharType="end"/>
          </w:r>
          <w:r>
            <w:rPr>
              <w:b/>
            </w:rPr>
            <w:fldChar w:fldCharType="end"/>
          </w:r>
        </w:p>
        <w:p>
          <w:pPr>
            <w:pStyle w:val="31"/>
            <w:tabs>
              <w:tab w:val="right" w:leader="dot" w:pos="8306"/>
            </w:tabs>
            <w:rPr>
              <w:b/>
            </w:rPr>
          </w:pPr>
          <w:r>
            <w:fldChar w:fldCharType="begin"/>
          </w:r>
          <w:r>
            <w:instrText xml:space="preserve"> HYPERLINK \l "_Toc9801" </w:instrText>
          </w:r>
          <w: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_Toc9801 \h </w:instrText>
          </w:r>
          <w:r>
            <w:rPr>
              <w:b/>
            </w:rPr>
            <w:fldChar w:fldCharType="separate"/>
          </w:r>
          <w:r>
            <w:rPr>
              <w:b/>
            </w:rPr>
            <w:t>34</w:t>
          </w:r>
          <w:r>
            <w:rPr>
              <w:b/>
            </w:rPr>
            <w:fldChar w:fldCharType="end"/>
          </w:r>
          <w:r>
            <w:rPr>
              <w:b/>
            </w:rPr>
            <w:fldChar w:fldCharType="end"/>
          </w:r>
        </w:p>
        <w:p>
          <w:pPr>
            <w:pStyle w:val="32"/>
            <w:tabs>
              <w:tab w:val="right" w:leader="dot" w:pos="8306"/>
            </w:tabs>
            <w:ind w:left="420"/>
          </w:pPr>
          <w:r>
            <w:fldChar w:fldCharType="begin"/>
          </w:r>
          <w:r>
            <w:instrText xml:space="preserve"> HYPERLINK \l "_Toc27242" </w:instrText>
          </w:r>
          <w:r>
            <w:fldChar w:fldCharType="separate"/>
          </w:r>
          <w:r>
            <w:rPr>
              <w:rFonts w:hint="eastAsia" w:ascii="黑体" w:hAnsi="黑体" w:eastAsia="黑体" w:cs="黑体"/>
            </w:rPr>
            <w:t>一、收入支出决算总表</w:t>
          </w:r>
          <w:r>
            <w:tab/>
          </w:r>
          <w:r>
            <w:fldChar w:fldCharType="begin"/>
          </w:r>
          <w:r>
            <w:instrText xml:space="preserve"> PAGEREF _Toc27242 \h </w:instrText>
          </w:r>
          <w:r>
            <w:fldChar w:fldCharType="separate"/>
          </w:r>
          <w:r>
            <w:t>34</w:t>
          </w:r>
          <w:r>
            <w:fldChar w:fldCharType="end"/>
          </w:r>
          <w:r>
            <w:fldChar w:fldCharType="end"/>
          </w:r>
        </w:p>
        <w:p>
          <w:pPr>
            <w:pStyle w:val="32"/>
            <w:tabs>
              <w:tab w:val="right" w:leader="dot" w:pos="8306"/>
            </w:tabs>
            <w:ind w:left="420"/>
          </w:pPr>
          <w:r>
            <w:fldChar w:fldCharType="begin"/>
          </w:r>
          <w:r>
            <w:instrText xml:space="preserve"> HYPERLINK \l "_Toc24431" </w:instrText>
          </w:r>
          <w:r>
            <w:fldChar w:fldCharType="separate"/>
          </w:r>
          <w:r>
            <w:rPr>
              <w:rFonts w:hint="eastAsia" w:ascii="黑体" w:hAnsi="黑体" w:eastAsia="黑体" w:cs="黑体"/>
            </w:rPr>
            <w:t>二、收入决算表</w:t>
          </w:r>
          <w:r>
            <w:tab/>
          </w:r>
          <w:r>
            <w:fldChar w:fldCharType="begin"/>
          </w:r>
          <w:r>
            <w:instrText xml:space="preserve"> PAGEREF _Toc24431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"_Toc2199" </w:instrText>
          </w:r>
          <w:r>
            <w:fldChar w:fldCharType="separate"/>
          </w:r>
          <w:r>
            <w:rPr>
              <w:rFonts w:hint="eastAsia" w:ascii="黑体" w:hAnsi="黑体" w:eastAsia="黑体" w:cs="黑体"/>
            </w:rPr>
            <w:t>三、支出决算表</w:t>
          </w:r>
          <w:r>
            <w:tab/>
          </w:r>
          <w:r>
            <w:fldChar w:fldCharType="begin"/>
          </w:r>
          <w:r>
            <w:instrText xml:space="preserve"> PAGEREF _Toc2199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"_Toc20266" </w:instrText>
          </w:r>
          <w:r>
            <w:fldChar w:fldCharType="separate"/>
          </w:r>
          <w:r>
            <w:rPr>
              <w:rFonts w:hint="eastAsia" w:ascii="黑体" w:hAnsi="黑体" w:eastAsia="黑体" w:cs="黑体"/>
            </w:rPr>
            <w:t>四、财政拨款收入支出决算总表</w:t>
          </w:r>
          <w:r>
            <w:tab/>
          </w:r>
          <w:r>
            <w:fldChar w:fldCharType="begin"/>
          </w:r>
          <w:r>
            <w:instrText xml:space="preserve"> PAGEREF _Toc20266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"_Toc25920" </w:instrText>
          </w:r>
          <w:r>
            <w:fldChar w:fldCharType="separate"/>
          </w:r>
          <w:r>
            <w:rPr>
              <w:rFonts w:hint="eastAsia" w:ascii="黑体" w:hAnsi="黑体" w:eastAsia="黑体" w:cs="黑体"/>
            </w:rPr>
            <w:t>五、财政拨款支出决算明细表</w:t>
          </w:r>
          <w:r>
            <w:tab/>
          </w:r>
          <w:r>
            <w:fldChar w:fldCharType="begin"/>
          </w:r>
          <w:r>
            <w:instrText xml:space="preserve"> PAGEREF _Toc25920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"_Toc5570" </w:instrText>
          </w:r>
          <w:r>
            <w:fldChar w:fldCharType="separate"/>
          </w:r>
          <w:r>
            <w:rPr>
              <w:rFonts w:hint="eastAsia" w:ascii="黑体" w:hAnsi="黑体" w:eastAsia="黑体" w:cs="黑体"/>
            </w:rPr>
            <w:t>六、一般公共预算财政拨款支出决算表</w:t>
          </w:r>
          <w:r>
            <w:tab/>
          </w:r>
          <w:r>
            <w:fldChar w:fldCharType="begin"/>
          </w:r>
          <w:r>
            <w:instrText xml:space="preserve"> PAGEREF _Toc5570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"_Toc23388" </w:instrText>
          </w:r>
          <w:r>
            <w:fldChar w:fldCharType="separate"/>
          </w:r>
          <w:r>
            <w:rPr>
              <w:rFonts w:hint="eastAsia" w:ascii="黑体" w:hAnsi="黑体" w:eastAsia="黑体" w:cs="黑体"/>
            </w:rPr>
            <w:t>七、一般公共预算财政拨款支出决算明细表</w:t>
          </w:r>
          <w:r>
            <w:tab/>
          </w:r>
          <w:r>
            <w:fldChar w:fldCharType="begin"/>
          </w:r>
          <w:r>
            <w:instrText xml:space="preserve"> PAGEREF _Toc23388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"_Toc14043" </w:instrText>
          </w:r>
          <w:r>
            <w:fldChar w:fldCharType="separate"/>
          </w:r>
          <w:r>
            <w:rPr>
              <w:rFonts w:hint="eastAsia" w:ascii="黑体" w:hAnsi="黑体" w:eastAsia="黑体" w:cs="黑体"/>
            </w:rPr>
            <w:t>八、一般公共预算财政拨款基本支出决算表</w:t>
          </w:r>
          <w:r>
            <w:tab/>
          </w:r>
          <w:r>
            <w:fldChar w:fldCharType="begin"/>
          </w:r>
          <w:r>
            <w:instrText xml:space="preserve"> PAGEREF _Toc14043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"_Toc19045" </w:instrText>
          </w:r>
          <w:r>
            <w:fldChar w:fldCharType="separate"/>
          </w:r>
          <w:r>
            <w:rPr>
              <w:rFonts w:hint="eastAsia" w:ascii="黑体" w:hAnsi="黑体" w:eastAsia="黑体" w:cs="黑体"/>
            </w:rPr>
            <w:t>九、一般公共预算财政拨款项目支出决算表</w:t>
          </w:r>
          <w:r>
            <w:tab/>
          </w:r>
          <w:r>
            <w:fldChar w:fldCharType="begin"/>
          </w:r>
          <w:r>
            <w:instrText xml:space="preserve"> PAGEREF _Toc19045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"_Toc23782" </w:instrText>
          </w:r>
          <w:r>
            <w:fldChar w:fldCharType="separate"/>
          </w:r>
          <w:r>
            <w:rPr>
              <w:rFonts w:hint="eastAsia" w:ascii="黑体" w:hAnsi="黑体" w:eastAsia="黑体" w:cs="黑体"/>
            </w:rPr>
            <w:t>十、一般公共预算财政拨款“三公”经费支出决算表</w:t>
          </w:r>
          <w:r>
            <w:tab/>
          </w:r>
          <w:r>
            <w:fldChar w:fldCharType="begin"/>
          </w:r>
          <w:r>
            <w:instrText xml:space="preserve"> PAGEREF _Toc23782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"_Toc16505" </w:instrText>
          </w:r>
          <w:r>
            <w:fldChar w:fldCharType="separate"/>
          </w:r>
          <w:r>
            <w:rPr>
              <w:rFonts w:hint="eastAsia" w:ascii="黑体" w:hAnsi="黑体" w:eastAsia="黑体" w:cs="黑体"/>
            </w:rPr>
            <w:t>十一、政府性基金预算财政拨款收入支出决算表</w:t>
          </w:r>
          <w:r>
            <w:tab/>
          </w:r>
          <w:r>
            <w:fldChar w:fldCharType="begin"/>
          </w:r>
          <w:r>
            <w:instrText xml:space="preserve"> PAGEREF _Toc16505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"_Toc32044" </w:instrText>
          </w:r>
          <w:r>
            <w:fldChar w:fldCharType="separate"/>
          </w:r>
          <w:r>
            <w:rPr>
              <w:rFonts w:hint="eastAsia" w:ascii="黑体" w:hAnsi="黑体" w:eastAsia="黑体" w:cs="黑体"/>
            </w:rPr>
            <w:t>十二、政府性基金预算财政拨款“三公”经费支出决算表</w:t>
          </w:r>
          <w:r>
            <w:tab/>
          </w:r>
          <w:r>
            <w:fldChar w:fldCharType="begin"/>
          </w:r>
          <w:r>
            <w:instrText xml:space="preserve"> PAGEREF _Toc32044 \h </w:instrText>
          </w:r>
          <w:r>
            <w:fldChar w:fldCharType="separate"/>
          </w:r>
          <w:r>
            <w:t>35</w:t>
          </w:r>
          <w:r>
            <w:fldChar w:fldCharType="end"/>
          </w:r>
          <w:r>
            <w:fldChar w:fldCharType="end"/>
          </w:r>
        </w:p>
        <w:p>
          <w:pPr>
            <w:pStyle w:val="32"/>
            <w:tabs>
              <w:tab w:val="right" w:leader="dot" w:pos="8306"/>
            </w:tabs>
            <w:ind w:left="420"/>
          </w:pPr>
          <w:r>
            <w:fldChar w:fldCharType="begin"/>
          </w:r>
          <w:r>
            <w:instrText xml:space="preserve"> HYPERLINK \l "_Toc9916" </w:instrText>
          </w:r>
          <w:r>
            <w:fldChar w:fldCharType="separate"/>
          </w:r>
          <w:r>
            <w:rPr>
              <w:rFonts w:hint="eastAsia" w:ascii="黑体" w:hAnsi="黑体" w:eastAsia="黑体" w:cs="黑体"/>
            </w:rPr>
            <w:t>十三、国有资本经营预算财政拨款收入支出决算表</w:t>
          </w:r>
          <w:r>
            <w:tab/>
          </w:r>
          <w:r>
            <w:fldChar w:fldCharType="begin"/>
          </w:r>
          <w:r>
            <w:instrText xml:space="preserve"> PAGEREF _Toc9916 \h </w:instrText>
          </w:r>
          <w:r>
            <w:fldChar w:fldCharType="separate"/>
          </w:r>
          <w:r>
            <w:t>35</w:t>
          </w:r>
          <w:r>
            <w:fldChar w:fldCharType="end"/>
          </w:r>
          <w:r>
            <w:fldChar w:fldCharType="end"/>
          </w:r>
        </w:p>
        <w:p>
          <w:pPr>
            <w:rPr>
              <w:rFonts w:ascii="黑体" w:hAnsi="黑体" w:eastAsia="黑体"/>
            </w:rPr>
            <w:sectPr>
              <w:footerReference r:id="rId6" w:type="first"/>
              <w:footerReference r:id="rId5" w:type="default"/>
              <w:pgSz w:w="11906" w:h="16838"/>
              <w:pgMar w:top="1440" w:right="1800" w:bottom="1383" w:left="1800" w:header="851" w:footer="992" w:gutter="0"/>
              <w:pgNumType w:start="1"/>
              <w:cols w:space="425" w:num="1"/>
              <w:docGrid w:type="lines" w:linePitch="312" w:charSpace="0"/>
            </w:sectPr>
          </w:pPr>
          <w:r>
            <w:rPr>
              <w:rFonts w:hint="eastAsia" w:ascii="黑体" w:hAnsi="黑体" w:eastAsia="黑体"/>
              <w:b/>
            </w:rPr>
            <w:fldChar w:fldCharType="end"/>
          </w:r>
        </w:p>
      </w:sdtContent>
    </w:sdt>
    <w:p>
      <w:pPr>
        <w:pStyle w:val="2"/>
        <w:spacing w:before="93"/>
      </w:pPr>
    </w:p>
    <w:p>
      <w:pPr>
        <w:pStyle w:val="4"/>
        <w:spacing w:before="0" w:after="0" w:line="240" w:lineRule="auto"/>
        <w:ind w:firstLine="2200" w:firstLineChars="500"/>
        <w:rPr>
          <w:rStyle w:val="25"/>
          <w:rFonts w:ascii="黑体" w:hAnsi="黑体" w:eastAsia="黑体"/>
          <w:b/>
          <w:bCs w:val="0"/>
        </w:rPr>
      </w:pPr>
      <w:bookmarkStart w:id="15" w:name="_Toc13422"/>
      <w:r>
        <w:rPr>
          <w:rFonts w:hint="eastAsia" w:ascii="黑体" w:hAnsi="黑体" w:eastAsia="黑体"/>
          <w:b w:val="0"/>
        </w:rPr>
        <w:t>第一部分 单位</w:t>
      </w:r>
      <w:r>
        <w:rPr>
          <w:rStyle w:val="25"/>
          <w:rFonts w:hint="eastAsia" w:ascii="黑体" w:hAnsi="黑体" w:eastAsia="黑体"/>
          <w:b w:val="0"/>
          <w:bCs w:val="0"/>
        </w:rPr>
        <w:t>概况</w:t>
      </w:r>
      <w:bookmarkEnd w:id="15"/>
    </w:p>
    <w:p>
      <w:pPr>
        <w:pStyle w:val="5"/>
        <w:numPr>
          <w:ilvl w:val="255"/>
          <w:numId w:val="0"/>
        </w:numPr>
        <w:ind w:firstLine="642" w:firstLineChars="200"/>
        <w:rPr>
          <w:rStyle w:val="26"/>
          <w:rFonts w:ascii="黑体" w:hAnsi="黑体" w:eastAsia="黑体"/>
          <w:b/>
          <w:bCs/>
        </w:rPr>
      </w:pPr>
      <w:bookmarkStart w:id="16" w:name="_Toc13850"/>
      <w:bookmarkStart w:id="17" w:name="_Toc15377197"/>
      <w:bookmarkStart w:id="18" w:name="_Toc15396600"/>
      <w:r>
        <w:rPr>
          <w:rStyle w:val="26"/>
          <w:rFonts w:hint="eastAsia" w:ascii="黑体" w:hAnsi="黑体" w:eastAsia="黑体"/>
          <w:b/>
          <w:bCs/>
        </w:rPr>
        <w:t>一、职能简介</w:t>
      </w:r>
      <w:bookmarkEnd w:id="16"/>
    </w:p>
    <w:p>
      <w:pPr>
        <w:ind w:firstLine="640" w:firstLineChars="200"/>
        <w:rPr>
          <w:rFonts w:ascii="仿宋" w:hAnsi="仿宋" w:eastAsia="仿宋" w:cs="仿宋"/>
          <w:sz w:val="32"/>
          <w:szCs w:val="32"/>
        </w:rPr>
      </w:pPr>
      <w:r>
        <w:rPr>
          <w:rFonts w:hint="eastAsia" w:ascii="仿宋" w:hAnsi="仿宋" w:eastAsia="仿宋" w:cs="仿宋"/>
          <w:sz w:val="32"/>
          <w:szCs w:val="32"/>
        </w:rPr>
        <w:t>四川商务职业学院是经省人民政府批准成立、直属省商务厅的公办全日制普通高等学校，是四川省唯一的商科高职院校，是四川省重要的现代商务高素质开放式应用型人才培养基地。学院创建于1907年，2004年经省人民政府批准，四川省商业学校（国家级重点中专）与四川省对外经济贸易学校（省部级重点中专）合并组建为四川商务职业学院。</w:t>
      </w:r>
    </w:p>
    <w:p>
      <w:pPr>
        <w:ind w:firstLine="640" w:firstLineChars="200"/>
        <w:rPr>
          <w:rFonts w:ascii="仿宋" w:hAnsi="仿宋" w:eastAsia="仿宋" w:cs="仿宋"/>
          <w:sz w:val="32"/>
          <w:szCs w:val="32"/>
        </w:rPr>
      </w:pPr>
      <w:r>
        <w:rPr>
          <w:rFonts w:hint="eastAsia" w:ascii="仿宋" w:hAnsi="仿宋" w:eastAsia="仿宋" w:cs="仿宋"/>
          <w:sz w:val="32"/>
          <w:szCs w:val="32"/>
        </w:rPr>
        <w:t>学院现有文家校区、和盛校区两个校区，总占地面积</w:t>
      </w:r>
      <w:r>
        <w:rPr>
          <w:rFonts w:hint="eastAsia" w:ascii="仿宋" w:hAnsi="仿宋" w:eastAsia="仿宋" w:cs="仿宋"/>
          <w:color w:val="000000"/>
          <w:sz w:val="32"/>
          <w:szCs w:val="32"/>
        </w:rPr>
        <w:t>290835平方米。</w:t>
      </w:r>
      <w:r>
        <w:rPr>
          <w:rFonts w:hint="eastAsia" w:ascii="仿宋" w:hAnsi="仿宋" w:eastAsia="仿宋" w:cs="仿宋"/>
          <w:sz w:val="32"/>
          <w:szCs w:val="32"/>
        </w:rPr>
        <w:t>设有经营管理系、经济贸易系、会计系、旅游管理系、信息技术系、设计艺术系、人文社科部、思政教学部、实践教学中心、继续教育中心和国际教育合作交流中心，开设专科专业34个。学院在长期的办学历程中，遵循高等职业教育和学生成长发展规律，秉承“学无涯 商有道”的校训精神，以“为党育人、为国育才，办人民满意教育”为根本宗旨，以培养商科类高素质技术技能型复合人才为根本目标，</w:t>
      </w:r>
      <w:r>
        <w:rPr>
          <w:rFonts w:hint="eastAsia" w:ascii="仿宋" w:hAnsi="仿宋" w:eastAsia="仿宋" w:cs="仿宋"/>
          <w:color w:val="000000"/>
          <w:kern w:val="0"/>
          <w:sz w:val="32"/>
          <w:szCs w:val="32"/>
        </w:rPr>
        <w:t>以四川省4+6现代服务业产业体系为依托，</w:t>
      </w:r>
      <w:r>
        <w:rPr>
          <w:rFonts w:hint="eastAsia" w:ascii="仿宋" w:hAnsi="仿宋" w:eastAsia="仿宋" w:cs="仿宋"/>
          <w:sz w:val="32"/>
          <w:szCs w:val="32"/>
        </w:rPr>
        <w:t>积极贯彻落实国家战略，主动对接成渝地区建设具有全国影响力的重要经济中心、科技创新中心、改革开放新高地、高品质生活宜居地的战略部署目标和总体要求，进一步凝练和明确重点工作内容，集聚创新要素，主动有为、有所作为，以服务创新和人才支持为成渝地区双城经济圈建设赋能。</w:t>
      </w:r>
    </w:p>
    <w:p>
      <w:pPr>
        <w:ind w:firstLine="640" w:firstLineChars="200"/>
        <w:rPr>
          <w:rFonts w:ascii="仿宋" w:hAnsi="仿宋" w:eastAsia="仿宋" w:cs="仿宋"/>
          <w:sz w:val="32"/>
          <w:szCs w:val="32"/>
        </w:rPr>
      </w:pPr>
      <w:r>
        <w:rPr>
          <w:rFonts w:hint="eastAsia" w:ascii="仿宋" w:hAnsi="仿宋" w:eastAsia="仿宋" w:cs="仿宋"/>
          <w:sz w:val="32"/>
          <w:szCs w:val="32"/>
        </w:rPr>
        <w:t>学院现有全日制学历教育在校生数10571人，其中全日制普通高职学历教育在校生10185人。</w:t>
      </w:r>
    </w:p>
    <w:p>
      <w:pPr>
        <w:pStyle w:val="5"/>
        <w:ind w:firstLine="642" w:firstLineChars="200"/>
        <w:rPr>
          <w:rFonts w:ascii="黑体" w:hAnsi="黑体" w:eastAsia="黑体"/>
          <w:bCs w:val="0"/>
        </w:rPr>
      </w:pPr>
      <w:bookmarkStart w:id="19" w:name="_Toc7983"/>
      <w:r>
        <w:rPr>
          <w:rFonts w:hint="eastAsia" w:ascii="黑体" w:hAnsi="黑体" w:eastAsia="黑体"/>
          <w:bCs w:val="0"/>
        </w:rPr>
        <w:t>二、2021年重点工作</w:t>
      </w:r>
      <w:bookmarkEnd w:id="17"/>
      <w:bookmarkEnd w:id="18"/>
      <w:r>
        <w:rPr>
          <w:rFonts w:hint="eastAsia" w:ascii="黑体" w:hAnsi="黑体" w:eastAsia="黑体"/>
          <w:bCs w:val="0"/>
        </w:rPr>
        <w:t>完成情况</w:t>
      </w:r>
      <w:bookmarkEnd w:id="19"/>
    </w:p>
    <w:p>
      <w:pPr>
        <w:ind w:firstLine="642" w:firstLineChars="200"/>
        <w:rPr>
          <w:rFonts w:ascii="仿宋" w:hAnsi="仿宋" w:eastAsia="仿宋" w:cs="仿宋"/>
          <w:bCs/>
          <w:sz w:val="32"/>
          <w:szCs w:val="32"/>
        </w:rPr>
      </w:pPr>
      <w:r>
        <w:rPr>
          <w:rFonts w:hint="eastAsia" w:ascii="楷体_GB2312" w:hAnsi="楷体_GB2312" w:eastAsia="楷体_GB2312" w:cs="楷体_GB2312"/>
          <w:b/>
          <w:sz w:val="32"/>
          <w:szCs w:val="32"/>
        </w:rPr>
        <w:t>（一）内涵建设取得成果。</w:t>
      </w:r>
      <w:r>
        <w:rPr>
          <w:rFonts w:hint="eastAsia" w:ascii="仿宋" w:hAnsi="仿宋" w:eastAsia="仿宋" w:cs="仿宋"/>
          <w:bCs/>
          <w:sz w:val="32"/>
          <w:szCs w:val="32"/>
        </w:rPr>
        <w:t>以市场需求为导向，动态调整专业结构，新增数字媒体技术、云计算技术应用2个专业，申报智慧健康养老服务、管理和营养配餐2个专业，构建了市场营销、大数据分析、智慧财金、数字艺术、文体旅五个专业群和烹饪营养与工艺特色专业。推进完成学院“提质培优”计划，完成了22个任务28个项目的年度绩效采集工作，获批省级“课程思政”示范课程3门、省级教学成果二等奖4项。推进职业技能竞赛活动，成功承办市场营销、“互联网+”国际贸易、电子商务三项省赛，学生参加全国、全省职业院校技能大赛获得省级以上专业竞赛奖励147人次，其中，国家级二等奖3项；省级一等奖7项，二等奖21项。</w:t>
      </w:r>
    </w:p>
    <w:p>
      <w:pPr>
        <w:ind w:firstLine="642" w:firstLineChars="200"/>
        <w:rPr>
          <w:rFonts w:ascii="仿宋" w:hAnsi="仿宋" w:eastAsia="仿宋" w:cs="仿宋"/>
          <w:bCs/>
          <w:sz w:val="32"/>
          <w:szCs w:val="32"/>
        </w:rPr>
      </w:pPr>
      <w:r>
        <w:rPr>
          <w:rFonts w:hint="eastAsia" w:ascii="楷体_GB2312" w:hAnsi="楷体_GB2312" w:eastAsia="楷体_GB2312" w:cs="楷体_GB2312"/>
          <w:b/>
          <w:sz w:val="32"/>
          <w:szCs w:val="32"/>
        </w:rPr>
        <w:t>（二）产教融合持续推进。</w:t>
      </w:r>
      <w:r>
        <w:rPr>
          <w:rFonts w:hint="eastAsia" w:ascii="仿宋" w:hAnsi="仿宋" w:eastAsia="仿宋" w:cs="仿宋"/>
          <w:bCs/>
          <w:sz w:val="32"/>
          <w:szCs w:val="32"/>
        </w:rPr>
        <w:t>深入落实国家职业教育改革实施方案，大力加强产教融合、校企合作，创新“三主体”产教融合，实施“1+1+1”建设模式。“1+X”证书新增9个共26个证书，被教育厅指定为商业贸易类1+X证书联盟牵头单位，今年共有17个证书1605名学生参加了培训考试。推动校企共建校内外生产性实训基地、技能大师工作室、创业教育实践平台等，与天猫合作建成商业贸易生产性实训基地，建立“英才班”“精英班”“店长班”，重构工学结合的人才培养体系。</w:t>
      </w:r>
    </w:p>
    <w:p>
      <w:pPr>
        <w:ind w:firstLine="642" w:firstLineChars="200"/>
        <w:rPr>
          <w:rFonts w:ascii="仿宋" w:hAnsi="仿宋" w:eastAsia="仿宋" w:cs="仿宋"/>
          <w:bCs/>
          <w:sz w:val="32"/>
          <w:szCs w:val="32"/>
        </w:rPr>
      </w:pPr>
      <w:r>
        <w:rPr>
          <w:rFonts w:hint="eastAsia" w:ascii="楷体_GB2312" w:hAnsi="楷体_GB2312" w:eastAsia="楷体_GB2312" w:cs="楷体_GB2312"/>
          <w:b/>
          <w:sz w:val="32"/>
          <w:szCs w:val="32"/>
        </w:rPr>
        <w:t>（三）学生工作成效显著。</w:t>
      </w:r>
      <w:r>
        <w:rPr>
          <w:rFonts w:hint="eastAsia" w:ascii="仿宋" w:hAnsi="仿宋" w:eastAsia="仿宋" w:cs="仿宋"/>
          <w:bCs/>
          <w:sz w:val="32"/>
          <w:szCs w:val="32"/>
        </w:rPr>
        <w:t>2020年录取各类新生4733人，在校生人数达到10558人。充分利用网络平台和资源，采取拓宽渠道、优化服务等措施，发布30多批次就业政策、就业信息1400余条、近3万个就业岗位，海量信息助力就业，2021届毕业生初次就业率达到95.84%。注重扶贫扶智扶志相结合，多渠道、多途径做好资助帮扶，</w:t>
      </w:r>
      <w:r>
        <w:rPr>
          <w:rFonts w:hint="eastAsia" w:ascii="仿宋" w:hAnsi="仿宋" w:eastAsia="仿宋" w:cs="仿宋"/>
          <w:bCs/>
          <w:color w:val="000000"/>
          <w:sz w:val="32"/>
          <w:szCs w:val="32"/>
        </w:rPr>
        <w:t>共发放国家助学金509万元，惠及3085名家庭经济困难学生，为22名特别困难学生减免学费7万余元；开展六类就业困难学生就业帮扶共1008人、帮扶资金131.49万元。</w:t>
      </w:r>
    </w:p>
    <w:p>
      <w:pPr>
        <w:ind w:firstLine="642" w:firstLineChars="200"/>
        <w:rPr>
          <w:rFonts w:ascii="仿宋" w:hAnsi="仿宋" w:eastAsia="仿宋" w:cs="仿宋"/>
          <w:bCs/>
          <w:sz w:val="32"/>
          <w:szCs w:val="32"/>
        </w:rPr>
      </w:pPr>
      <w:r>
        <w:rPr>
          <w:rFonts w:hint="eastAsia" w:ascii="楷体_GB2312" w:hAnsi="楷体_GB2312" w:eastAsia="楷体_GB2312" w:cs="楷体_GB2312"/>
          <w:b/>
          <w:sz w:val="32"/>
          <w:szCs w:val="32"/>
        </w:rPr>
        <w:t>（四）教师素质能力不断提升。</w:t>
      </w:r>
      <w:r>
        <w:rPr>
          <w:rFonts w:hint="eastAsia" w:ascii="仿宋" w:hAnsi="仿宋" w:eastAsia="仿宋" w:cs="仿宋"/>
          <w:bCs/>
          <w:sz w:val="32"/>
          <w:szCs w:val="32"/>
        </w:rPr>
        <w:t>按照新时代教师新标准和职业教育“三教”改革新要求，面向专任教师开展培训，参加各项培训的专任教师共计500余人次、企业实践38人次。组织开展培训项目7个，参训人员达267人次。教师教学能力进一步提升，荣获全国高等学校外语课程思政教学比赛二等奖1个，四川省教师教学能力大赛二等奖1个、三等奖2个，“导航名师”一等奖1个，高校思想政治理论课“精彩一课”一等奖2个、二等奖1个，全省辅导员职业大赛优秀奖1个。</w:t>
      </w:r>
    </w:p>
    <w:p>
      <w:pPr>
        <w:ind w:firstLine="642" w:firstLineChars="200"/>
        <w:rPr>
          <w:rFonts w:ascii="仿宋" w:hAnsi="仿宋" w:eastAsia="仿宋" w:cs="仿宋"/>
          <w:bCs/>
          <w:sz w:val="32"/>
          <w:szCs w:val="32"/>
        </w:rPr>
      </w:pPr>
      <w:r>
        <w:rPr>
          <w:rFonts w:hint="eastAsia" w:ascii="楷体_GB2312" w:hAnsi="楷体_GB2312" w:eastAsia="楷体_GB2312" w:cs="楷体_GB2312"/>
          <w:b/>
          <w:sz w:val="32"/>
          <w:szCs w:val="32"/>
        </w:rPr>
        <w:t>（五）教学科研水平有所提升。</w:t>
      </w:r>
      <w:r>
        <w:rPr>
          <w:rFonts w:hint="eastAsia" w:ascii="仿宋" w:hAnsi="仿宋" w:eastAsia="仿宋" w:cs="仿宋"/>
          <w:bCs/>
          <w:sz w:val="32"/>
          <w:szCs w:val="32"/>
        </w:rPr>
        <w:t>2021年发表论文69篇，组织申报校内外各级各类课题80余项，省级课题立项8项、结题6项，院级课题共结题20项，横向课题结题2项，教研项目立项57项、结题21项完，成了“基于产教融合的高职院校学生专业能力与行业需求匹配度提升的研究报告”。通过各级各类课题的申报与结题，学院教师研究能力水平有所提升。</w:t>
      </w:r>
    </w:p>
    <w:p>
      <w:pPr>
        <w:ind w:firstLine="642" w:firstLineChars="200"/>
        <w:rPr>
          <w:rFonts w:ascii="仿宋" w:hAnsi="仿宋" w:eastAsia="仿宋" w:cs="仿宋"/>
          <w:bCs/>
          <w:sz w:val="32"/>
          <w:szCs w:val="32"/>
        </w:rPr>
      </w:pPr>
      <w:r>
        <w:rPr>
          <w:rFonts w:hint="eastAsia" w:ascii="楷体_GB2312" w:hAnsi="楷体_GB2312" w:eastAsia="楷体_GB2312" w:cs="楷体_GB2312"/>
          <w:b/>
          <w:sz w:val="32"/>
          <w:szCs w:val="32"/>
        </w:rPr>
        <w:t>（六）社会服务能力持续增强。</w:t>
      </w:r>
      <w:r>
        <w:rPr>
          <w:rFonts w:hint="eastAsia" w:ascii="仿宋" w:hAnsi="仿宋" w:eastAsia="仿宋" w:cs="仿宋"/>
          <w:bCs/>
          <w:sz w:val="32"/>
          <w:szCs w:val="32"/>
        </w:rPr>
        <w:t>坚持以服务求生存，以贡献求发展，不断丰富和完善职业教育培训体系。2021年落实过渡期“四个不摘”要求，召开党委会研究乡村振兴工作5次、专题会议3次，新一轮驻村帮扶干部调整轮换，积极开展乡村振兴培训服务，为凉山州、金阳县、邻水县、北川县进行电子商务、普通话、乡村旅游等专项培训，学院荣获省委教育工委、省教育厅脱贫攻坚集体嘉奖。此外，还为空军部队组织厨师培训培养军地两用人才，为锦江区举办了“味蕾饕餮秀”餐饮员工综合技能提升培训等，全年培训1553人次，实现收入近百万，比去年有较大幅度增长。</w:t>
      </w:r>
    </w:p>
    <w:p>
      <w:pPr>
        <w:pStyle w:val="5"/>
        <w:ind w:firstLine="642" w:firstLineChars="200"/>
        <w:rPr>
          <w:rFonts w:ascii="黑体" w:hAnsi="黑体" w:eastAsia="黑体"/>
          <w:bCs w:val="0"/>
          <w:highlight w:val="none"/>
        </w:rPr>
      </w:pPr>
      <w:bookmarkStart w:id="20" w:name="_Toc4435"/>
      <w:r>
        <w:rPr>
          <w:rFonts w:hint="eastAsia" w:ascii="黑体" w:hAnsi="黑体" w:eastAsia="黑体"/>
          <w:bCs w:val="0"/>
          <w:highlight w:val="none"/>
        </w:rPr>
        <w:t>三、机构设置情况</w:t>
      </w:r>
      <w:bookmarkEnd w:id="20"/>
    </w:p>
    <w:p>
      <w:pPr>
        <w:widowControl/>
        <w:ind w:firstLine="640" w:firstLineChars="200"/>
        <w:jc w:val="left"/>
        <w:rPr>
          <w:rFonts w:ascii="仿宋" w:hAnsi="仿宋" w:eastAsia="仿宋" w:cs="仿宋"/>
          <w:kern w:val="0"/>
          <w:sz w:val="32"/>
          <w:szCs w:val="32"/>
        </w:rPr>
      </w:pPr>
      <w:r>
        <w:rPr>
          <w:rFonts w:hint="eastAsia" w:ascii="仿宋" w:hAnsi="仿宋" w:eastAsia="仿宋" w:cs="仿宋"/>
          <w:bCs/>
          <w:sz w:val="32"/>
          <w:szCs w:val="32"/>
        </w:rPr>
        <w:t>四川商务职业学院由25个内设部门组成，分别是：党政办公室、</w:t>
      </w:r>
      <w:r>
        <w:rPr>
          <w:rFonts w:hint="eastAsia" w:ascii="仿宋" w:hAnsi="仿宋" w:eastAsia="仿宋" w:cs="仿宋"/>
          <w:color w:val="000000"/>
          <w:kern w:val="0"/>
          <w:sz w:val="31"/>
          <w:szCs w:val="31"/>
          <w:lang w:bidi="ar"/>
        </w:rPr>
        <w:t>质量管理</w:t>
      </w:r>
      <w:r>
        <w:rPr>
          <w:rFonts w:hint="eastAsia" w:ascii="仿宋" w:hAnsi="仿宋" w:eastAsia="仿宋" w:cs="仿宋"/>
          <w:bCs/>
          <w:sz w:val="32"/>
          <w:szCs w:val="32"/>
        </w:rPr>
        <w:t>办公室、财务资产管理处、后勤保卫处、工会、经济贸易系、经营管理系、会计系、旅游管理系、信息技术系、设计艺术系、党委组织部、人文社科部、思想政治教学部、图书馆、实践教学中心、继续教育中心、国际教育合作与交流中心、党委宣传统战部、党委学生工作部（处）（团委）、纪检监察审计处、人事处、教务处、招生就业处以及科研处。</w:t>
      </w:r>
    </w:p>
    <w:p>
      <w:pPr>
        <w:pStyle w:val="4"/>
        <w:ind w:right="440"/>
        <w:rPr>
          <w:rFonts w:ascii="黑体" w:hAnsi="黑体" w:eastAsia="黑体"/>
          <w:bCs w:val="0"/>
        </w:rPr>
      </w:pPr>
      <w:bookmarkStart w:id="21" w:name="_Toc15377204"/>
      <w:bookmarkStart w:id="22" w:name="_Toc15396602"/>
    </w:p>
    <w:p>
      <w:pPr>
        <w:ind w:right="440"/>
        <w:jc w:val="center"/>
        <w:rPr>
          <w:rFonts w:ascii="黑体" w:hAnsi="黑体" w:eastAsia="黑体"/>
        </w:rPr>
      </w:pPr>
      <w:r>
        <w:rPr>
          <w:rFonts w:hint="eastAsia" w:ascii="黑体" w:hAnsi="黑体" w:eastAsia="黑体"/>
        </w:rPr>
        <w:br w:type="page"/>
      </w:r>
    </w:p>
    <w:p>
      <w:pPr>
        <w:pStyle w:val="4"/>
        <w:ind w:right="440"/>
        <w:jc w:val="center"/>
        <w:rPr>
          <w:rStyle w:val="25"/>
          <w:rFonts w:ascii="黑体" w:hAnsi="黑体" w:eastAsia="黑体"/>
          <w:b w:val="0"/>
          <w:bCs/>
        </w:rPr>
      </w:pPr>
      <w:bookmarkStart w:id="23" w:name="_Toc2995"/>
      <w:r>
        <w:rPr>
          <w:rFonts w:hint="eastAsia" w:ascii="黑体" w:hAnsi="黑体" w:eastAsia="黑体"/>
          <w:b w:val="0"/>
        </w:rPr>
        <w:t>第二部分 2021年度</w:t>
      </w:r>
      <w:r>
        <w:rPr>
          <w:rStyle w:val="25"/>
          <w:rFonts w:hint="eastAsia" w:ascii="黑体" w:hAnsi="黑体" w:eastAsia="黑体"/>
          <w:b w:val="0"/>
          <w:bCs/>
        </w:rPr>
        <w:t>单位决算情况说明</w:t>
      </w:r>
      <w:bookmarkEnd w:id="21"/>
      <w:bookmarkEnd w:id="22"/>
      <w:bookmarkEnd w:id="23"/>
    </w:p>
    <w:p>
      <w:pPr>
        <w:pStyle w:val="24"/>
        <w:numPr>
          <w:ilvl w:val="255"/>
          <w:numId w:val="0"/>
        </w:numPr>
        <w:spacing w:line="600" w:lineRule="exact"/>
        <w:ind w:left="640"/>
        <w:outlineLvl w:val="1"/>
        <w:rPr>
          <w:rStyle w:val="26"/>
          <w:rFonts w:ascii="黑体" w:hAnsi="黑体" w:eastAsia="黑体"/>
        </w:rPr>
      </w:pPr>
      <w:bookmarkStart w:id="24" w:name="_Toc15396603"/>
      <w:bookmarkStart w:id="25" w:name="_Toc15377205"/>
      <w:bookmarkStart w:id="26" w:name="_Toc24415"/>
      <w:r>
        <w:rPr>
          <w:rFonts w:hint="eastAsia" w:ascii="黑体" w:hAnsi="黑体" w:eastAsia="黑体"/>
          <w:b/>
          <w:bCs/>
          <w:sz w:val="32"/>
          <w:szCs w:val="32"/>
        </w:rPr>
        <w:t>一、收</w:t>
      </w:r>
      <w:r>
        <w:rPr>
          <w:rStyle w:val="26"/>
          <w:rFonts w:hint="eastAsia" w:ascii="黑体" w:hAnsi="黑体" w:eastAsia="黑体"/>
        </w:rPr>
        <w:t>入支出决算总体情况说明</w:t>
      </w:r>
      <w:bookmarkEnd w:id="24"/>
      <w:bookmarkEnd w:id="25"/>
      <w:bookmarkEnd w:id="26"/>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度收、支总计14584.29万元。与2020年相比，收、支总计各增加28.89万元，上升0.2%。主要变动原因是财政拨款收入比去年增加614.87万元，专户资金减少667.37万元，其他收入增加31.13万元，使用非财政拨款结余50.26万元。</w:t>
      </w:r>
    </w:p>
    <w:p>
      <w:pPr>
        <w:pStyle w:val="2"/>
        <w:spacing w:before="93"/>
      </w:pPr>
      <w:r>
        <w:drawing>
          <wp:inline distT="0" distB="0" distL="114300" distR="114300">
            <wp:extent cx="5019675" cy="2571750"/>
            <wp:effectExtent l="4445" t="4445" r="5080" b="14605"/>
            <wp:docPr id="105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255"/>
          <w:numId w:val="0"/>
        </w:numPr>
        <w:spacing w:line="600" w:lineRule="exact"/>
        <w:ind w:left="640"/>
        <w:outlineLvl w:val="1"/>
        <w:rPr>
          <w:rStyle w:val="26"/>
          <w:rFonts w:ascii="黑体" w:hAnsi="黑体" w:eastAsia="黑体"/>
        </w:rPr>
      </w:pPr>
      <w:bookmarkStart w:id="27" w:name="_Toc15396604"/>
      <w:bookmarkStart w:id="28" w:name="_Toc15457"/>
      <w:bookmarkStart w:id="29" w:name="_Toc15377206"/>
      <w:r>
        <w:rPr>
          <w:rFonts w:hint="eastAsia" w:ascii="黑体" w:hAnsi="黑体" w:eastAsia="黑体"/>
          <w:b/>
          <w:bCs/>
          <w:sz w:val="32"/>
          <w:szCs w:val="32"/>
        </w:rPr>
        <w:t>二、收</w:t>
      </w:r>
      <w:r>
        <w:rPr>
          <w:rStyle w:val="26"/>
          <w:rFonts w:hint="eastAsia" w:ascii="黑体" w:hAnsi="黑体" w:eastAsia="黑体"/>
        </w:rPr>
        <w:t>入决算情况说明</w:t>
      </w:r>
      <w:bookmarkEnd w:id="27"/>
      <w:bookmarkEnd w:id="28"/>
      <w:bookmarkEnd w:id="29"/>
    </w:p>
    <w:p>
      <w:pPr>
        <w:spacing w:line="600" w:lineRule="exact"/>
        <w:ind w:firstLine="640" w:firstLineChars="200"/>
        <w:outlineLvl w:val="1"/>
        <w:rPr>
          <w:rFonts w:ascii="仿宋" w:hAnsi="仿宋" w:eastAsia="仿宋" w:cs="仿宋"/>
          <w:sz w:val="32"/>
          <w:szCs w:val="32"/>
        </w:rPr>
      </w:pPr>
      <w:bookmarkStart w:id="30" w:name="_Toc31732"/>
      <w:r>
        <w:rPr>
          <w:rFonts w:hint="eastAsia" w:ascii="仿宋" w:hAnsi="仿宋" w:eastAsia="仿宋" w:cs="仿宋"/>
          <w:sz w:val="32"/>
          <w:szCs w:val="32"/>
        </w:rPr>
        <w:t>2021年本年收入合计14534.03万元，其中：一般公共预算财政拨款收入11878.45万元，占81.73%；政府性基金预算财政拨款收入0万元，占0%；国有资本经营预算财政拨款收入0万元，占0%；上级补助收入0万元，占0%；事业收入2593.67万元，占17.85%；经营收入0万元，占0%；附属单位上缴收入0万元，占0%；其他收入61.91万元，占0.42%。</w:t>
      </w:r>
      <w:bookmarkEnd w:id="30"/>
    </w:p>
    <w:p>
      <w:pPr>
        <w:pStyle w:val="2"/>
        <w:spacing w:before="93"/>
      </w:pPr>
      <w:r>
        <w:drawing>
          <wp:inline distT="0" distB="0" distL="114300" distR="114300">
            <wp:extent cx="5273040" cy="2232025"/>
            <wp:effectExtent l="5080" t="4445" r="5080" b="11430"/>
            <wp:docPr id="104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4"/>
        <w:numPr>
          <w:ilvl w:val="255"/>
          <w:numId w:val="0"/>
        </w:numPr>
        <w:spacing w:line="600" w:lineRule="exact"/>
        <w:ind w:left="640"/>
        <w:outlineLvl w:val="1"/>
        <w:rPr>
          <w:rStyle w:val="26"/>
          <w:rFonts w:ascii="黑体" w:hAnsi="黑体" w:eastAsia="黑体"/>
        </w:rPr>
      </w:pPr>
      <w:bookmarkStart w:id="31" w:name="_Toc15377207"/>
      <w:bookmarkStart w:id="32" w:name="_Toc23908"/>
      <w:bookmarkStart w:id="33" w:name="_Toc15396605"/>
      <w:r>
        <w:rPr>
          <w:rFonts w:hint="eastAsia" w:ascii="黑体" w:hAnsi="黑体" w:eastAsia="黑体"/>
          <w:b/>
          <w:bCs/>
          <w:sz w:val="32"/>
          <w:szCs w:val="32"/>
        </w:rPr>
        <w:t>三、支</w:t>
      </w:r>
      <w:r>
        <w:rPr>
          <w:rStyle w:val="26"/>
          <w:rFonts w:hint="eastAsia" w:ascii="黑体" w:hAnsi="黑体" w:eastAsia="黑体"/>
        </w:rPr>
        <w:t>出决算情况说明</w:t>
      </w:r>
      <w:bookmarkEnd w:id="31"/>
      <w:bookmarkEnd w:id="32"/>
      <w:bookmarkEnd w:id="33"/>
    </w:p>
    <w:p>
      <w:pPr>
        <w:spacing w:line="600" w:lineRule="exact"/>
        <w:ind w:firstLine="640" w:firstLineChars="200"/>
        <w:outlineLvl w:val="1"/>
        <w:rPr>
          <w:rFonts w:ascii="仿宋" w:hAnsi="仿宋" w:eastAsia="仿宋" w:cs="仿宋"/>
          <w:sz w:val="32"/>
          <w:szCs w:val="32"/>
        </w:rPr>
      </w:pPr>
      <w:bookmarkStart w:id="34" w:name="_Toc11470"/>
      <w:r>
        <w:rPr>
          <w:rFonts w:hint="eastAsia" w:ascii="仿宋" w:hAnsi="仿宋" w:eastAsia="仿宋" w:cs="仿宋"/>
          <w:sz w:val="32"/>
          <w:szCs w:val="32"/>
        </w:rPr>
        <w:t>2021年本年支出合计14584.29万元，其中：基本支出10991.94万元，占75.37%；项目支出3592.35万元，占24.63%；上缴上级支出0万元，占0%；经营支出0万元，占0%；对附属单位补助支出0万元，占0%。</w:t>
      </w:r>
      <w:bookmarkEnd w:id="34"/>
    </w:p>
    <w:p>
      <w:pPr>
        <w:pStyle w:val="2"/>
        <w:spacing w:before="93"/>
      </w:pPr>
      <w:r>
        <w:drawing>
          <wp:inline distT="0" distB="0" distL="114300" distR="114300">
            <wp:extent cx="4705350" cy="2672080"/>
            <wp:effectExtent l="0" t="0" r="0" b="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11"/>
                    <a:stretch>
                      <a:fillRect/>
                    </a:stretch>
                  </pic:blipFill>
                  <pic:spPr>
                    <a:xfrm>
                      <a:off x="0" y="0"/>
                      <a:ext cx="4705350" cy="2672080"/>
                    </a:xfrm>
                    <a:prstGeom prst="rect">
                      <a:avLst/>
                    </a:prstGeom>
                    <a:noFill/>
                    <a:ln>
                      <a:noFill/>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2" w:firstLineChars="200"/>
        <w:outlineLvl w:val="1"/>
        <w:rPr>
          <w:rStyle w:val="26"/>
          <w:rFonts w:ascii="黑体" w:hAnsi="黑体" w:eastAsia="黑体"/>
        </w:rPr>
      </w:pPr>
      <w:bookmarkStart w:id="35" w:name="_Toc15396606"/>
      <w:bookmarkStart w:id="36" w:name="_Toc9938"/>
      <w:bookmarkStart w:id="37" w:name="_Toc15377208"/>
      <w:r>
        <w:rPr>
          <w:rFonts w:hint="eastAsia" w:ascii="黑体" w:hAnsi="黑体" w:eastAsia="黑体"/>
          <w:b/>
          <w:bCs/>
          <w:sz w:val="32"/>
          <w:szCs w:val="32"/>
        </w:rPr>
        <w:t>四、财</w:t>
      </w:r>
      <w:r>
        <w:rPr>
          <w:rStyle w:val="26"/>
          <w:rFonts w:hint="eastAsia" w:ascii="黑体" w:hAnsi="黑体" w:eastAsia="黑体"/>
        </w:rPr>
        <w:t>政拨款收入支出决算总体情况说明</w:t>
      </w:r>
      <w:bookmarkEnd w:id="35"/>
      <w:bookmarkEnd w:id="36"/>
      <w:bookmarkEnd w:id="37"/>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2021年财政拨款收、支总计11878.45万元。与2020年相比，财政拨款收、支总计各增加614.87万元，增长5.46%。主要变动原因是项目支出减少1142.06万元，基本支出增加1756.93万元（其中人员支出增加1355.85万元，商品和服务支出增加401.08万元）。</w:t>
      </w:r>
    </w:p>
    <w:p>
      <w:pPr>
        <w:pStyle w:val="2"/>
        <w:spacing w:before="93"/>
      </w:pPr>
      <w:r>
        <w:drawing>
          <wp:inline distT="0" distB="0" distL="114300" distR="114300">
            <wp:extent cx="5269865" cy="3163570"/>
            <wp:effectExtent l="0" t="0" r="0" b="1778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pic:cNvPicPr>
                  </pic:nvPicPr>
                  <pic:blipFill>
                    <a:blip r:embed="rId12"/>
                    <a:stretch>
                      <a:fillRect/>
                    </a:stretch>
                  </pic:blipFill>
                  <pic:spPr>
                    <a:xfrm>
                      <a:off x="0" y="0"/>
                      <a:ext cx="5269865" cy="3163570"/>
                    </a:xfrm>
                    <a:prstGeom prst="rect">
                      <a:avLst/>
                    </a:prstGeom>
                    <a:noFill/>
                    <a:ln>
                      <a:noFill/>
                    </a:ln>
                  </pic:spPr>
                </pic:pic>
              </a:graphicData>
            </a:graphic>
          </wp:inline>
        </w:drawing>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2" w:firstLineChars="200"/>
        <w:outlineLvl w:val="1"/>
        <w:rPr>
          <w:rStyle w:val="26"/>
          <w:rFonts w:ascii="黑体" w:hAnsi="黑体" w:eastAsia="黑体"/>
          <w:bCs w:val="0"/>
        </w:rPr>
      </w:pPr>
      <w:bookmarkStart w:id="38" w:name="_Toc15396607"/>
      <w:bookmarkStart w:id="39" w:name="_Toc15377209"/>
      <w:bookmarkStart w:id="40" w:name="_Toc30129"/>
      <w:r>
        <w:rPr>
          <w:rStyle w:val="26"/>
          <w:rFonts w:hint="eastAsia" w:ascii="黑体" w:hAnsi="黑体" w:eastAsia="黑体"/>
          <w:bCs w:val="0"/>
        </w:rPr>
        <w:t>五、一般公共预算财政拨款支出决算情况说明</w:t>
      </w:r>
      <w:bookmarkEnd w:id="38"/>
      <w:bookmarkEnd w:id="39"/>
      <w:bookmarkEnd w:id="40"/>
    </w:p>
    <w:p>
      <w:pPr>
        <w:ind w:firstLine="642" w:firstLineChars="200"/>
        <w:jc w:val="left"/>
        <w:rPr>
          <w:rFonts w:ascii="楷体_GB2312" w:hAnsi="楷体_GB2312" w:eastAsia="楷体_GB2312" w:cs="楷体_GB2312"/>
          <w:b/>
          <w:sz w:val="32"/>
          <w:szCs w:val="32"/>
        </w:rPr>
      </w:pPr>
      <w:bookmarkStart w:id="41" w:name="_Toc15377210"/>
      <w:r>
        <w:rPr>
          <w:rFonts w:hint="eastAsia" w:ascii="楷体_GB2312" w:hAnsi="楷体_GB2312" w:eastAsia="楷体_GB2312" w:cs="楷体_GB2312"/>
          <w:b/>
          <w:sz w:val="32"/>
          <w:szCs w:val="32"/>
        </w:rPr>
        <w:t>（一）一般公共预算财政拨款支出决算总体情况</w:t>
      </w:r>
      <w:bookmarkEnd w:id="41"/>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一般公共预算财政拨款支出11878.45万元，占本年支出合计的81.73%。与2020年相比，一般公共预算财政拨款支出增加614.87万元，增长5.46%。主要变动原因是项目支出减少1142.06万元，基本支出增加1756.93万元（其中人员支出增加1355.85万元，商品和服务支出增加401.08万元）。</w:t>
      </w:r>
    </w:p>
    <w:p>
      <w:pPr>
        <w:spacing w:line="600" w:lineRule="exact"/>
        <w:ind w:firstLine="640" w:firstLineChars="200"/>
        <w:rPr>
          <w:rFonts w:ascii="仿宋" w:hAnsi="仿宋" w:eastAsia="仿宋"/>
          <w:sz w:val="32"/>
          <w:szCs w:val="32"/>
        </w:rPr>
      </w:pPr>
    </w:p>
    <w:p>
      <w:pPr>
        <w:pStyle w:val="2"/>
        <w:spacing w:before="93"/>
      </w:pPr>
      <w:r>
        <w:drawing>
          <wp:inline distT="0" distB="0" distL="114300" distR="114300">
            <wp:extent cx="5269865" cy="3163570"/>
            <wp:effectExtent l="0" t="0" r="0" b="1778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pic:cNvPicPr>
                  </pic:nvPicPr>
                  <pic:blipFill>
                    <a:blip r:embed="rId13"/>
                    <a:stretch>
                      <a:fillRect/>
                    </a:stretch>
                  </pic:blipFill>
                  <pic:spPr>
                    <a:xfrm>
                      <a:off x="0" y="0"/>
                      <a:ext cx="5269865" cy="3163570"/>
                    </a:xfrm>
                    <a:prstGeom prst="rect">
                      <a:avLst/>
                    </a:prstGeom>
                    <a:noFill/>
                    <a:ln>
                      <a:noFill/>
                    </a:ln>
                  </pic:spPr>
                </pic:pic>
              </a:graphicData>
            </a:graphic>
          </wp:inline>
        </w:drawing>
      </w:r>
    </w:p>
    <w:p>
      <w:pPr>
        <w:spacing w:line="600" w:lineRule="exact"/>
        <w:ind w:firstLine="320" w:firstLineChars="1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楷体_GB2312" w:hAnsi="楷体_GB2312" w:eastAsia="楷体_GB2312" w:cs="楷体_GB2312"/>
          <w:b/>
          <w:sz w:val="32"/>
          <w:szCs w:val="32"/>
        </w:rPr>
      </w:pPr>
      <w:bookmarkStart w:id="42" w:name="_Toc15377211"/>
      <w:r>
        <w:rPr>
          <w:rFonts w:hint="eastAsia" w:ascii="楷体_GB2312" w:hAnsi="楷体_GB2312" w:eastAsia="楷体_GB2312" w:cs="楷体_GB2312"/>
          <w:b/>
          <w:sz w:val="32"/>
          <w:szCs w:val="32"/>
        </w:rPr>
        <w:t>（二）一般公共预算财政拨款支出决算结构情况</w:t>
      </w:r>
      <w:bookmarkEnd w:id="42"/>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一般公共预算财政拨款支出11878.45万元，主要用于以下方面:一般公共服务（类）支出0万元，占0%；教育支出（类）11866.75万元，占99.9%；科学技术（类）支出0万元，占0%；文化旅游体育与传媒（类）支出0万元，占0%；社会保障和就业（类）支出9.79万元，占0.08%；卫生健康支出（类）1.91万元，占0.02%；住房保障支出0万元，占0%。</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
        <w:spacing w:before="93"/>
      </w:pPr>
      <w:r>
        <w:drawing>
          <wp:inline distT="0" distB="0" distL="114300" distR="114300">
            <wp:extent cx="4962525" cy="2686050"/>
            <wp:effectExtent l="4445" t="4445" r="5080"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楷体_GB2312" w:hAnsi="楷体_GB2312" w:eastAsia="楷体_GB2312" w:cs="楷体_GB2312"/>
          <w:b/>
          <w:sz w:val="32"/>
          <w:szCs w:val="32"/>
        </w:rPr>
      </w:pPr>
      <w:bookmarkStart w:id="43" w:name="_Toc15377212"/>
      <w:r>
        <w:rPr>
          <w:rFonts w:hint="eastAsia" w:ascii="楷体_GB2312" w:hAnsi="楷体_GB2312" w:eastAsia="楷体_GB2312" w:cs="楷体_GB2312"/>
          <w:b/>
          <w:sz w:val="32"/>
          <w:szCs w:val="32"/>
        </w:rPr>
        <w:t>（三）一般公共预算财政拨款支出决算具体情况</w:t>
      </w:r>
      <w:bookmarkEnd w:id="43"/>
    </w:p>
    <w:p>
      <w:pPr>
        <w:spacing w:line="600" w:lineRule="exact"/>
        <w:ind w:firstLine="640" w:firstLineChars="200"/>
        <w:outlineLvl w:val="2"/>
        <w:rPr>
          <w:rFonts w:ascii="仿宋" w:hAnsi="仿宋" w:eastAsia="仿宋" w:cs="仿宋"/>
          <w:sz w:val="32"/>
          <w:szCs w:val="32"/>
        </w:rPr>
      </w:pPr>
      <w:bookmarkStart w:id="44" w:name="_Toc15377213"/>
      <w:bookmarkStart w:id="45" w:name="_Toc15377444"/>
      <w:bookmarkStart w:id="46" w:name="_Toc15378460"/>
      <w:r>
        <w:rPr>
          <w:rFonts w:hint="eastAsia" w:ascii="仿宋" w:hAnsi="仿宋" w:eastAsia="仿宋" w:cs="仿宋"/>
          <w:sz w:val="32"/>
          <w:szCs w:val="32"/>
        </w:rPr>
        <w:t>2021年一般公共预算支出决算数为11878.45万元，完成预算88.25%。其中：</w:t>
      </w:r>
      <w:bookmarkEnd w:id="44"/>
      <w:bookmarkEnd w:id="45"/>
      <w:bookmarkEnd w:id="46"/>
    </w:p>
    <w:p>
      <w:pPr>
        <w:pStyle w:val="2"/>
        <w:spacing w:before="93"/>
        <w:ind w:firstLine="640" w:firstLineChars="200"/>
        <w:rPr>
          <w:rFonts w:ascii="仿宋" w:hAnsi="仿宋" w:eastAsia="仿宋" w:cs="仿宋"/>
          <w:color w:val="000000" w:themeColor="text1"/>
          <w14:textFill>
            <w14:solidFill>
              <w14:schemeClr w14:val="tx1"/>
            </w14:solidFill>
          </w14:textFill>
        </w:rPr>
      </w:pPr>
      <w:r>
        <w:rPr>
          <w:rStyle w:val="15"/>
          <w:rFonts w:hint="eastAsia" w:ascii="仿宋" w:hAnsi="仿宋" w:eastAsia="仿宋" w:cs="仿宋"/>
          <w:b w:val="0"/>
          <w:color w:val="000000" w:themeColor="text1"/>
          <w:sz w:val="32"/>
          <w:szCs w:val="32"/>
          <w14:textFill>
            <w14:solidFill>
              <w14:schemeClr w14:val="tx1"/>
            </w14:solidFill>
          </w14:textFill>
        </w:rPr>
        <w:t>1.教育支出（类）普通教育（款）高等教育（项）:1.77万元，完成预算100%。</w:t>
      </w:r>
    </w:p>
    <w:p>
      <w:pPr>
        <w:spacing w:line="600" w:lineRule="exact"/>
        <w:ind w:firstLine="640" w:firstLineChars="200"/>
        <w:rPr>
          <w:rFonts w:ascii="仿宋" w:hAnsi="仿宋" w:eastAsia="仿宋" w:cs="仿宋"/>
          <w:sz w:val="32"/>
          <w:szCs w:val="32"/>
        </w:rPr>
      </w:pPr>
      <w:r>
        <w:rPr>
          <w:rStyle w:val="15"/>
          <w:rFonts w:hint="eastAsia" w:ascii="仿宋" w:hAnsi="仿宋" w:eastAsia="仿宋" w:cs="仿宋"/>
          <w:b w:val="0"/>
          <w:sz w:val="32"/>
          <w:szCs w:val="32"/>
        </w:rPr>
        <w:t>2.教育支出（类）职业教育（款）高等职业教育（项）:</w:t>
      </w:r>
      <w:r>
        <w:rPr>
          <w:rFonts w:hint="eastAsia" w:ascii="仿宋" w:hAnsi="仿宋" w:eastAsia="仿宋" w:cs="仿宋"/>
          <w:sz w:val="32"/>
          <w:szCs w:val="32"/>
        </w:rPr>
        <w:t>支出决算为11864.98万元，完成预算88.28%，决算数小于预算数的主要原因是专项项目未使用完。</w:t>
      </w:r>
    </w:p>
    <w:p>
      <w:pPr>
        <w:spacing w:line="600" w:lineRule="exact"/>
        <w:ind w:firstLine="640" w:firstLineChars="200"/>
        <w:rPr>
          <w:rFonts w:ascii="仿宋" w:hAnsi="仿宋" w:eastAsia="仿宋" w:cs="仿宋"/>
          <w:sz w:val="32"/>
          <w:szCs w:val="32"/>
        </w:rPr>
      </w:pPr>
      <w:r>
        <w:rPr>
          <w:rStyle w:val="15"/>
          <w:rFonts w:hint="eastAsia" w:ascii="仿宋" w:hAnsi="仿宋" w:eastAsia="仿宋" w:cs="仿宋"/>
          <w:b w:val="0"/>
          <w:sz w:val="32"/>
          <w:szCs w:val="32"/>
        </w:rPr>
        <w:t>3.社会保障和就业支出（类）其他社会保障和就业支出（款）其他社会保障和就业支出（项）:</w:t>
      </w:r>
      <w:r>
        <w:rPr>
          <w:rFonts w:hint="eastAsia" w:ascii="仿宋" w:hAnsi="仿宋" w:eastAsia="仿宋" w:cs="仿宋"/>
          <w:sz w:val="32"/>
          <w:szCs w:val="32"/>
        </w:rPr>
        <w:t>支出决算为9.79万元，完成预算100%。</w:t>
      </w:r>
    </w:p>
    <w:p>
      <w:pPr>
        <w:spacing w:line="600" w:lineRule="exact"/>
        <w:ind w:firstLine="640" w:firstLineChars="200"/>
        <w:rPr>
          <w:rFonts w:ascii="仿宋" w:hAnsi="仿宋" w:eastAsia="仿宋" w:cs="仿宋"/>
          <w:sz w:val="32"/>
          <w:szCs w:val="32"/>
        </w:rPr>
      </w:pPr>
      <w:r>
        <w:rPr>
          <w:rStyle w:val="15"/>
          <w:rFonts w:hint="eastAsia" w:ascii="仿宋" w:hAnsi="仿宋" w:eastAsia="仿宋" w:cs="仿宋"/>
          <w:b w:val="0"/>
          <w:sz w:val="32"/>
          <w:szCs w:val="32"/>
        </w:rPr>
        <w:t>4.</w:t>
      </w:r>
      <w:r>
        <w:rPr>
          <w:rFonts w:hint="eastAsia" w:ascii="仿宋" w:hAnsi="仿宋" w:eastAsia="仿宋" w:cs="仿宋"/>
          <w:sz w:val="32"/>
          <w:szCs w:val="32"/>
        </w:rPr>
        <w:t>卫生健康支出</w:t>
      </w:r>
      <w:r>
        <w:rPr>
          <w:rStyle w:val="15"/>
          <w:rFonts w:hint="eastAsia" w:ascii="仿宋" w:hAnsi="仿宋" w:eastAsia="仿宋" w:cs="仿宋"/>
          <w:b w:val="0"/>
          <w:sz w:val="32"/>
          <w:szCs w:val="32"/>
        </w:rPr>
        <w:t>（类）其他卫生健康支出（款）其他卫生健康支出（项）:</w:t>
      </w:r>
      <w:r>
        <w:rPr>
          <w:rFonts w:hint="eastAsia" w:ascii="仿宋" w:hAnsi="仿宋" w:eastAsia="仿宋" w:cs="仿宋"/>
          <w:sz w:val="32"/>
          <w:szCs w:val="32"/>
        </w:rPr>
        <w:t>支出决算为1.91万元，完成预算95.5%，决算数小于预算数的主要原因是学生活动差旅费未发生。</w:t>
      </w:r>
    </w:p>
    <w:p>
      <w:pPr>
        <w:tabs>
          <w:tab w:val="right" w:pos="8306"/>
        </w:tabs>
        <w:spacing w:line="600" w:lineRule="exact"/>
        <w:ind w:firstLine="640"/>
        <w:outlineLvl w:val="1"/>
        <w:rPr>
          <w:rStyle w:val="26"/>
          <w:rFonts w:ascii="黑体" w:hAnsi="黑体" w:eastAsia="黑体"/>
          <w:b w:val="0"/>
          <w:bCs w:val="0"/>
        </w:rPr>
      </w:pPr>
      <w:bookmarkStart w:id="47" w:name="_Toc12610"/>
      <w:bookmarkStart w:id="48" w:name="_Toc15377214"/>
      <w:bookmarkStart w:id="49" w:name="_Toc15396608"/>
      <w:r>
        <w:rPr>
          <w:rFonts w:hint="eastAsia" w:ascii="黑体" w:hAnsi="黑体" w:eastAsia="黑体"/>
          <w:b/>
          <w:bCs/>
          <w:sz w:val="32"/>
          <w:szCs w:val="32"/>
        </w:rPr>
        <w:t>六、一</w:t>
      </w:r>
      <w:r>
        <w:rPr>
          <w:rStyle w:val="26"/>
          <w:rFonts w:hint="eastAsia" w:ascii="黑体" w:hAnsi="黑体" w:eastAsia="黑体"/>
        </w:rPr>
        <w:t>般公共预算财政拨款基本支出决算情况说明</w:t>
      </w:r>
      <w:bookmarkEnd w:id="47"/>
      <w:bookmarkEnd w:id="48"/>
      <w:bookmarkEnd w:id="49"/>
      <w:r>
        <w:rPr>
          <w:rStyle w:val="26"/>
          <w:rFonts w:ascii="黑体" w:hAnsi="黑体" w:eastAsia="黑体"/>
          <w:b w:val="0"/>
          <w:bCs w:val="0"/>
        </w:rPr>
        <w:tab/>
      </w:r>
    </w:p>
    <w:p>
      <w:pPr>
        <w:spacing w:line="600" w:lineRule="exact"/>
        <w:ind w:firstLine="645"/>
        <w:rPr>
          <w:rFonts w:ascii="仿宋" w:hAnsi="仿宋" w:eastAsia="仿宋" w:cs="仿宋"/>
          <w:sz w:val="32"/>
          <w:szCs w:val="32"/>
        </w:rPr>
      </w:pPr>
      <w:r>
        <w:rPr>
          <w:rFonts w:hint="eastAsia" w:ascii="仿宋" w:hAnsi="仿宋" w:eastAsia="仿宋" w:cs="仿宋"/>
          <w:sz w:val="32"/>
          <w:szCs w:val="32"/>
        </w:rPr>
        <w:t>2021年一般公共预算财政拨款基本支出8672.16万元，其中：</w:t>
      </w:r>
    </w:p>
    <w:p>
      <w:pPr>
        <w:spacing w:line="600" w:lineRule="exact"/>
        <w:ind w:firstLine="645"/>
        <w:rPr>
          <w:rFonts w:ascii="仿宋" w:hAnsi="仿宋" w:eastAsia="仿宋" w:cs="仿宋"/>
          <w:color w:val="auto"/>
          <w:sz w:val="32"/>
          <w:szCs w:val="32"/>
        </w:rPr>
      </w:pPr>
      <w:r>
        <w:rPr>
          <w:rFonts w:hint="eastAsia" w:ascii="仿宋" w:hAnsi="仿宋" w:eastAsia="仿宋" w:cs="仿宋"/>
          <w:sz w:val="32"/>
          <w:szCs w:val="32"/>
        </w:rPr>
        <w:t>人</w:t>
      </w:r>
      <w:bookmarkStart w:id="101" w:name="_GoBack"/>
      <w:r>
        <w:rPr>
          <w:rFonts w:hint="eastAsia" w:ascii="仿宋" w:hAnsi="仿宋" w:eastAsia="仿宋" w:cs="仿宋"/>
          <w:color w:val="auto"/>
          <w:sz w:val="32"/>
          <w:szCs w:val="32"/>
        </w:rPr>
        <w:t>员经费</w:t>
      </w:r>
      <w:r>
        <w:rPr>
          <w:rFonts w:hint="eastAsia" w:ascii="仿宋" w:hAnsi="仿宋" w:eastAsia="仿宋" w:cs="仿宋"/>
          <w:color w:val="auto"/>
          <w:sz w:val="32"/>
          <w:szCs w:val="32"/>
        </w:rPr>
        <w:t>7333.91万元，主要包括：基本工资、津贴补贴、绩效工资、机关事业单位基本养老保险缴费、职业年金缴费、</w:t>
      </w:r>
      <w:r>
        <w:rPr>
          <w:rFonts w:hint="eastAsia" w:ascii="仿宋" w:hAnsi="仿宋" w:eastAsia="仿宋" w:cs="仿宋"/>
          <w:color w:val="auto"/>
          <w:sz w:val="32"/>
          <w:szCs w:val="32"/>
          <w:lang w:eastAsia="zh-CN"/>
        </w:rPr>
        <w:t>职工基本医疗保险缴费、</w:t>
      </w:r>
      <w:r>
        <w:rPr>
          <w:rFonts w:hint="eastAsia" w:ascii="仿宋" w:hAnsi="仿宋" w:eastAsia="仿宋" w:cs="仿宋"/>
          <w:color w:val="auto"/>
          <w:sz w:val="32"/>
          <w:szCs w:val="32"/>
        </w:rPr>
        <w:t>其他社会保障缴费、住房公积金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其他工资福利支出、离休费、抚恤金、其他对个人和家庭的补助支出等。</w:t>
      </w:r>
    </w:p>
    <w:p>
      <w:pPr>
        <w:spacing w:line="600" w:lineRule="exact"/>
        <w:ind w:firstLine="645"/>
        <w:rPr>
          <w:rFonts w:ascii="仿宋" w:hAnsi="仿宋" w:eastAsia="仿宋" w:cs="仿宋"/>
          <w:color w:val="auto"/>
          <w:sz w:val="32"/>
          <w:szCs w:val="32"/>
        </w:rPr>
      </w:pPr>
      <w:r>
        <w:rPr>
          <w:rFonts w:hint="eastAsia" w:ascii="仿宋" w:hAnsi="仿宋" w:eastAsia="仿宋" w:cs="仿宋"/>
          <w:color w:val="auto"/>
          <w:sz w:val="32"/>
          <w:szCs w:val="32"/>
        </w:rPr>
        <w:t>公用经费1338.25万元，主要包括：办公费、水费、电费、邮电费、物业管理费、差旅费、维修（护）费、租赁费、培训费、劳务费、委托业务费、工会经费、福利费、其他商品和服务支出。</w:t>
      </w:r>
    </w:p>
    <w:p>
      <w:pPr>
        <w:spacing w:line="600" w:lineRule="exact"/>
        <w:ind w:firstLine="640"/>
        <w:outlineLvl w:val="1"/>
        <w:rPr>
          <w:rStyle w:val="26"/>
          <w:rFonts w:ascii="黑体" w:hAnsi="黑体" w:eastAsia="黑体"/>
          <w:color w:val="auto"/>
        </w:rPr>
      </w:pPr>
      <w:bookmarkStart w:id="50" w:name="_Toc15396609"/>
      <w:bookmarkStart w:id="51" w:name="_Toc10545"/>
      <w:bookmarkStart w:id="52" w:name="_Toc15377215"/>
      <w:r>
        <w:rPr>
          <w:rFonts w:hint="eastAsia" w:ascii="黑体" w:eastAsia="黑体"/>
          <w:b/>
          <w:bCs/>
          <w:color w:val="auto"/>
          <w:sz w:val="32"/>
          <w:szCs w:val="32"/>
        </w:rPr>
        <w:t>七、</w:t>
      </w:r>
      <w:r>
        <w:rPr>
          <w:rStyle w:val="26"/>
          <w:rFonts w:hint="eastAsia" w:ascii="黑体" w:hAnsi="黑体" w:eastAsia="黑体"/>
          <w:color w:val="auto"/>
        </w:rPr>
        <w:t>“三公”经费财政拨款支出决算情况说明</w:t>
      </w:r>
      <w:bookmarkEnd w:id="50"/>
      <w:bookmarkEnd w:id="51"/>
      <w:bookmarkEnd w:id="52"/>
    </w:p>
    <w:p>
      <w:pPr>
        <w:spacing w:line="600" w:lineRule="exact"/>
        <w:ind w:firstLine="642" w:firstLineChars="200"/>
        <w:outlineLvl w:val="2"/>
        <w:rPr>
          <w:rFonts w:ascii="楷体_GB2312" w:hAnsi="楷体_GB2312" w:eastAsia="楷体_GB2312" w:cs="楷体_GB2312"/>
          <w:b/>
          <w:bCs/>
          <w:sz w:val="32"/>
          <w:szCs w:val="32"/>
          <w:highlight w:val="none"/>
        </w:rPr>
      </w:pPr>
      <w:bookmarkStart w:id="53" w:name="_Toc15377216"/>
      <w:r>
        <w:rPr>
          <w:rFonts w:hint="eastAsia" w:ascii="楷体_GB2312" w:hAnsi="楷体_GB2312" w:eastAsia="楷体_GB2312" w:cs="楷体_GB2312"/>
          <w:b/>
          <w:bCs/>
          <w:color w:val="auto"/>
          <w:sz w:val="32"/>
          <w:szCs w:val="32"/>
          <w:highlight w:val="none"/>
        </w:rPr>
        <w:t>（一）“三公”经费财政拨款</w:t>
      </w:r>
      <w:bookmarkEnd w:id="101"/>
      <w:r>
        <w:rPr>
          <w:rFonts w:hint="eastAsia" w:ascii="楷体_GB2312" w:hAnsi="楷体_GB2312" w:eastAsia="楷体_GB2312" w:cs="楷体_GB2312"/>
          <w:b/>
          <w:bCs/>
          <w:sz w:val="32"/>
          <w:szCs w:val="32"/>
          <w:highlight w:val="none"/>
        </w:rPr>
        <w:t>支出决算总体情况说明</w:t>
      </w:r>
      <w:bookmarkEnd w:id="53"/>
    </w:p>
    <w:p>
      <w:pPr>
        <w:spacing w:line="600" w:lineRule="exact"/>
        <w:ind w:firstLine="640"/>
        <w:rPr>
          <w:rFonts w:ascii="仿宋" w:hAnsi="仿宋" w:eastAsia="仿宋" w:cs="仿宋"/>
          <w:sz w:val="32"/>
          <w:szCs w:val="32"/>
          <w:highlight w:val="none"/>
        </w:rPr>
      </w:pPr>
      <w:r>
        <w:rPr>
          <w:rFonts w:hint="eastAsia" w:ascii="仿宋" w:hAnsi="仿宋" w:eastAsia="仿宋" w:cs="仿宋"/>
          <w:sz w:val="32"/>
          <w:szCs w:val="32"/>
          <w:highlight w:val="none"/>
        </w:rPr>
        <w:t xml:space="preserve">2021年“三公”经费财政拨款支出决算为17.98万元，完成预算99.89%，决算数小于预算数的主要原因是政府采购招标结余200元，年终由财政收回。 </w:t>
      </w:r>
    </w:p>
    <w:p>
      <w:pPr>
        <w:spacing w:line="600" w:lineRule="exact"/>
        <w:ind w:firstLine="642" w:firstLineChars="200"/>
        <w:outlineLvl w:val="2"/>
        <w:rPr>
          <w:rFonts w:ascii="楷体_GB2312" w:hAnsi="楷体_GB2312" w:eastAsia="楷体_GB2312" w:cs="楷体_GB2312"/>
          <w:b/>
          <w:sz w:val="32"/>
          <w:szCs w:val="32"/>
        </w:rPr>
      </w:pPr>
      <w:bookmarkStart w:id="54" w:name="_Toc15377217"/>
      <w:r>
        <w:rPr>
          <w:rFonts w:hint="eastAsia" w:ascii="楷体_GB2312" w:hAnsi="楷体_GB2312" w:eastAsia="楷体_GB2312" w:cs="楷体_GB2312"/>
          <w:b/>
          <w:sz w:val="32"/>
          <w:szCs w:val="32"/>
        </w:rPr>
        <w:t>（二）“三公”经费财政拨款支出决算具体情况说明</w:t>
      </w:r>
      <w:bookmarkEnd w:id="54"/>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2021年“三公”经费财政拨款支出决算中，因公出国（境）费支出决算0万元，占0%；公务用车购置及运行维护费支出决算17.98万元，占100%；公务接待费支出决算0万元，占0%。具体情况如下：</w:t>
      </w:r>
    </w:p>
    <w:p>
      <w:pPr>
        <w:spacing w:line="600" w:lineRule="exact"/>
        <w:ind w:firstLine="640"/>
        <w:rPr>
          <w:rFonts w:ascii="仿宋" w:hAnsi="仿宋" w:eastAsia="仿宋" w:cs="仿宋"/>
          <w:sz w:val="32"/>
          <w:szCs w:val="32"/>
        </w:rPr>
      </w:pPr>
    </w:p>
    <w:p>
      <w:pPr>
        <w:pStyle w:val="2"/>
        <w:spacing w:before="93"/>
      </w:pPr>
      <w:r>
        <w:drawing>
          <wp:inline distT="0" distB="0" distL="114300" distR="114300">
            <wp:extent cx="4172585" cy="2343150"/>
            <wp:effectExtent l="5080" t="4445" r="13335" b="14605"/>
            <wp:docPr id="10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 w:hAnsi="仿宋" w:eastAsia="仿宋" w:cs="仿宋"/>
          <w:b/>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0万元，完成预算0%。全年安排因公出国（境）团组0次，出国（境）0人。因公出国（境）支出决算比2020年增加0万元。</w:t>
      </w:r>
    </w:p>
    <w:p>
      <w:pPr>
        <w:spacing w:line="600" w:lineRule="exact"/>
        <w:ind w:firstLine="640"/>
        <w:rPr>
          <w:rFonts w:ascii="仿宋" w:hAnsi="仿宋" w:eastAsia="仿宋" w:cs="仿宋"/>
          <w:color w:val="auto"/>
          <w:sz w:val="32"/>
          <w:szCs w:val="32"/>
        </w:rPr>
      </w:pPr>
      <w:r>
        <w:rPr>
          <w:rFonts w:hint="eastAsia" w:ascii="仿宋" w:hAnsi="仿宋" w:eastAsia="仿宋" w:cs="仿宋"/>
          <w:b/>
          <w:sz w:val="32"/>
          <w:szCs w:val="32"/>
        </w:rPr>
        <w:t>2.公务用车购置及运行维护费支出</w:t>
      </w:r>
      <w:r>
        <w:rPr>
          <w:rFonts w:hint="eastAsia" w:ascii="仿宋" w:hAnsi="仿宋" w:eastAsia="仿宋" w:cs="仿宋"/>
          <w:sz w:val="32"/>
          <w:szCs w:val="32"/>
        </w:rPr>
        <w:t>17.98万元,完成预算99.89%。公务用车购置及运行维护费支出决算比2020年增</w:t>
      </w:r>
      <w:r>
        <w:rPr>
          <w:rFonts w:hint="eastAsia" w:ascii="仿宋" w:hAnsi="仿宋" w:eastAsia="仿宋" w:cs="仿宋"/>
          <w:color w:val="auto"/>
          <w:sz w:val="32"/>
          <w:szCs w:val="32"/>
        </w:rPr>
        <w:t>加17.98万元。主要原因是新购轿车一辆，用于应急保障。</w:t>
      </w:r>
    </w:p>
    <w:p>
      <w:pPr>
        <w:spacing w:line="600" w:lineRule="exact"/>
        <w:ind w:firstLine="640"/>
        <w:rPr>
          <w:rFonts w:ascii="仿宋" w:hAnsi="仿宋" w:eastAsia="仿宋" w:cs="仿宋"/>
          <w:color w:val="auto"/>
          <w:sz w:val="32"/>
          <w:szCs w:val="32"/>
          <w:highlight w:val="none"/>
        </w:rPr>
      </w:pPr>
      <w:r>
        <w:rPr>
          <w:rFonts w:hint="eastAsia" w:ascii="仿宋" w:hAnsi="仿宋" w:eastAsia="仿宋" w:cs="仿宋"/>
          <w:color w:val="auto"/>
          <w:sz w:val="32"/>
          <w:szCs w:val="32"/>
        </w:rPr>
        <w:t>其中：</w:t>
      </w:r>
      <w:r>
        <w:rPr>
          <w:rFonts w:hint="eastAsia" w:ascii="仿宋" w:hAnsi="仿宋" w:eastAsia="仿宋" w:cs="仿宋"/>
          <w:b/>
          <w:color w:val="auto"/>
          <w:sz w:val="32"/>
          <w:szCs w:val="32"/>
        </w:rPr>
        <w:t>公务用车购置支出</w:t>
      </w:r>
      <w:r>
        <w:rPr>
          <w:rFonts w:hint="eastAsia" w:ascii="仿宋" w:hAnsi="仿宋" w:eastAsia="仿宋" w:cs="仿宋"/>
          <w:color w:val="auto"/>
          <w:sz w:val="32"/>
          <w:szCs w:val="32"/>
        </w:rPr>
        <w:t>17.98万元。全年按规定更新购置公务用车1辆，其中：</w:t>
      </w:r>
      <w:r>
        <w:rPr>
          <w:rFonts w:hint="eastAsia" w:ascii="仿宋" w:hAnsi="仿宋" w:eastAsia="仿宋" w:cs="仿宋"/>
          <w:color w:val="auto"/>
          <w:sz w:val="32"/>
          <w:szCs w:val="32"/>
          <w:lang w:eastAsia="zh-CN"/>
        </w:rPr>
        <w:t>轿车</w:t>
      </w:r>
      <w:r>
        <w:rPr>
          <w:rFonts w:hint="eastAsia" w:ascii="仿宋" w:hAnsi="仿宋" w:eastAsia="仿宋" w:cs="仿宋"/>
          <w:color w:val="auto"/>
          <w:sz w:val="32"/>
          <w:szCs w:val="32"/>
          <w:lang w:val="en-US" w:eastAsia="zh-CN"/>
        </w:rPr>
        <w:t>1辆、</w:t>
      </w:r>
      <w:r>
        <w:rPr>
          <w:rFonts w:hint="eastAsia" w:ascii="仿宋" w:hAnsi="仿宋" w:eastAsia="仿宋" w:cs="仿宋"/>
          <w:color w:val="auto"/>
          <w:sz w:val="32"/>
          <w:szCs w:val="32"/>
        </w:rPr>
        <w:t>金额17.98万元，越野车0辆、金额0万元，载客汽车0辆、金额0万元，主要用于应</w:t>
      </w:r>
      <w:r>
        <w:rPr>
          <w:rFonts w:hint="eastAsia" w:ascii="仿宋" w:hAnsi="仿宋" w:eastAsia="仿宋" w:cs="仿宋"/>
          <w:color w:val="auto"/>
          <w:sz w:val="32"/>
          <w:szCs w:val="32"/>
          <w:highlight w:val="none"/>
        </w:rPr>
        <w:t>急保障。截至2021年12月底，单位共有公务用车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辆、越野车0辆、载客汽车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p>
    <w:p>
      <w:pPr>
        <w:spacing w:line="600" w:lineRule="exact"/>
        <w:ind w:firstLine="640"/>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公务用车运行维护费支出</w:t>
      </w:r>
      <w:r>
        <w:rPr>
          <w:rFonts w:hint="eastAsia" w:ascii="仿宋" w:hAnsi="仿宋" w:eastAsia="仿宋" w:cs="仿宋"/>
          <w:color w:val="auto"/>
          <w:sz w:val="32"/>
          <w:szCs w:val="32"/>
          <w:highlight w:val="none"/>
        </w:rPr>
        <w:t>0万元。</w:t>
      </w:r>
    </w:p>
    <w:p>
      <w:pPr>
        <w:spacing w:line="600" w:lineRule="exact"/>
        <w:ind w:firstLine="640"/>
        <w:rPr>
          <w:rFonts w:ascii="仿宋" w:hAnsi="仿宋" w:eastAsia="仿宋" w:cs="仿宋"/>
          <w:color w:val="auto"/>
          <w:sz w:val="32"/>
          <w:szCs w:val="32"/>
        </w:rPr>
      </w:pPr>
      <w:r>
        <w:rPr>
          <w:rFonts w:hint="eastAsia" w:ascii="仿宋" w:hAnsi="仿宋" w:eastAsia="仿宋" w:cs="仿宋"/>
          <w:b/>
          <w:color w:val="auto"/>
          <w:sz w:val="32"/>
          <w:szCs w:val="32"/>
        </w:rPr>
        <w:t>3.公务接待费支出</w:t>
      </w:r>
      <w:r>
        <w:rPr>
          <w:rFonts w:hint="eastAsia" w:ascii="仿宋" w:hAnsi="仿宋" w:eastAsia="仿宋" w:cs="仿宋"/>
          <w:color w:val="auto"/>
          <w:sz w:val="32"/>
          <w:szCs w:val="32"/>
        </w:rPr>
        <w:t>0万元，完成预算0%。公务接待费支出决算比2020年增加0万元，增长0%。其中：</w:t>
      </w:r>
    </w:p>
    <w:p>
      <w:pPr>
        <w:spacing w:line="600" w:lineRule="exact"/>
        <w:ind w:firstLine="640"/>
        <w:rPr>
          <w:rFonts w:hint="default" w:ascii="仿宋" w:hAnsi="仿宋" w:eastAsia="仿宋" w:cs="仿宋"/>
          <w:color w:val="auto"/>
          <w:sz w:val="32"/>
          <w:szCs w:val="32"/>
          <w:lang w:val="en-US" w:eastAsia="zh-CN"/>
        </w:rPr>
      </w:pPr>
      <w:r>
        <w:rPr>
          <w:rFonts w:hint="eastAsia" w:ascii="仿宋" w:hAnsi="仿宋" w:eastAsia="仿宋" w:cs="仿宋"/>
          <w:b/>
          <w:color w:val="auto"/>
          <w:sz w:val="32"/>
          <w:szCs w:val="32"/>
        </w:rPr>
        <w:t>国内公务接待支出</w:t>
      </w:r>
      <w:r>
        <w:rPr>
          <w:rFonts w:hint="eastAsia" w:ascii="仿宋" w:hAnsi="仿宋" w:eastAsia="仿宋" w:cs="仿宋"/>
          <w:color w:val="auto"/>
          <w:sz w:val="32"/>
          <w:szCs w:val="32"/>
        </w:rPr>
        <w:t>0万元</w:t>
      </w:r>
      <w:r>
        <w:rPr>
          <w:rFonts w:hint="eastAsia" w:ascii="仿宋" w:hAnsi="仿宋" w:eastAsia="仿宋" w:cs="仿宋"/>
          <w:color w:val="auto"/>
          <w:sz w:val="32"/>
          <w:szCs w:val="32"/>
          <w:lang w:eastAsia="zh-CN"/>
        </w:rPr>
        <w:t>，国内公务接待</w:t>
      </w:r>
      <w:r>
        <w:rPr>
          <w:rFonts w:hint="eastAsia" w:ascii="仿宋" w:hAnsi="仿宋" w:eastAsia="仿宋" w:cs="仿宋"/>
          <w:color w:val="auto"/>
          <w:sz w:val="32"/>
          <w:szCs w:val="32"/>
          <w:lang w:val="en-US" w:eastAsia="zh-CN"/>
        </w:rPr>
        <w:t>0批次，0人次，共计支出0万元。</w:t>
      </w:r>
    </w:p>
    <w:p>
      <w:pPr>
        <w:spacing w:line="600" w:lineRule="exact"/>
        <w:ind w:firstLine="642" w:firstLineChars="200"/>
        <w:rPr>
          <w:rFonts w:hint="default" w:ascii="仿宋" w:hAnsi="仿宋" w:eastAsia="仿宋" w:cs="仿宋"/>
          <w:color w:val="auto"/>
          <w:sz w:val="32"/>
          <w:szCs w:val="32"/>
          <w:lang w:val="en-US" w:eastAsia="zh-CN"/>
        </w:rPr>
      </w:pPr>
      <w:r>
        <w:rPr>
          <w:rFonts w:hint="eastAsia" w:ascii="仿宋" w:hAnsi="仿宋" w:eastAsia="仿宋" w:cs="仿宋"/>
          <w:b/>
          <w:color w:val="auto"/>
          <w:sz w:val="32"/>
          <w:szCs w:val="32"/>
        </w:rPr>
        <w:t>外事接待支出</w:t>
      </w:r>
      <w:r>
        <w:rPr>
          <w:rFonts w:hint="eastAsia" w:ascii="仿宋" w:hAnsi="仿宋" w:eastAsia="仿宋" w:cs="仿宋"/>
          <w:color w:val="auto"/>
          <w:sz w:val="32"/>
          <w:szCs w:val="32"/>
        </w:rPr>
        <w:t>0万元</w:t>
      </w:r>
      <w:r>
        <w:rPr>
          <w:rFonts w:hint="eastAsia" w:ascii="仿宋" w:hAnsi="仿宋" w:eastAsia="仿宋" w:cs="仿宋"/>
          <w:color w:val="auto"/>
          <w:sz w:val="32"/>
          <w:szCs w:val="32"/>
          <w:lang w:eastAsia="zh-CN"/>
        </w:rPr>
        <w:t>，外事接待</w:t>
      </w:r>
      <w:r>
        <w:rPr>
          <w:rFonts w:hint="eastAsia" w:ascii="仿宋" w:hAnsi="仿宋" w:eastAsia="仿宋" w:cs="仿宋"/>
          <w:color w:val="auto"/>
          <w:sz w:val="32"/>
          <w:szCs w:val="32"/>
          <w:lang w:val="en-US" w:eastAsia="zh-CN"/>
        </w:rPr>
        <w:t>0批次，0人，共计支出0万元。</w:t>
      </w:r>
    </w:p>
    <w:p>
      <w:pPr>
        <w:spacing w:line="600" w:lineRule="exact"/>
        <w:ind w:firstLine="640"/>
        <w:outlineLvl w:val="1"/>
        <w:rPr>
          <w:rStyle w:val="26"/>
          <w:rFonts w:ascii="黑体" w:hAnsi="黑体" w:eastAsia="黑体"/>
          <w:color w:val="auto"/>
        </w:rPr>
      </w:pPr>
      <w:bookmarkStart w:id="55" w:name="_Toc15396610"/>
      <w:bookmarkStart w:id="56" w:name="_Toc6123"/>
      <w:bookmarkStart w:id="57" w:name="_Toc15377218"/>
      <w:r>
        <w:rPr>
          <w:rFonts w:hint="eastAsia" w:ascii="黑体" w:eastAsia="黑体"/>
          <w:b/>
          <w:bCs/>
          <w:color w:val="auto"/>
          <w:sz w:val="32"/>
          <w:szCs w:val="32"/>
        </w:rPr>
        <w:t>八、</w:t>
      </w:r>
      <w:r>
        <w:rPr>
          <w:rStyle w:val="26"/>
          <w:rFonts w:hint="eastAsia" w:ascii="黑体" w:hAnsi="黑体" w:eastAsia="黑体"/>
          <w:color w:val="auto"/>
        </w:rPr>
        <w:t>政府性基金预算支出决算情况说明</w:t>
      </w:r>
      <w:bookmarkEnd w:id="55"/>
      <w:bookmarkEnd w:id="56"/>
      <w:bookmarkEnd w:id="57"/>
    </w:p>
    <w:p>
      <w:pPr>
        <w:spacing w:line="600" w:lineRule="exact"/>
        <w:ind w:firstLine="640"/>
        <w:rPr>
          <w:rFonts w:ascii="仿宋_GB2312" w:eastAsia="仿宋_GB2312"/>
          <w:color w:val="auto"/>
          <w:sz w:val="32"/>
          <w:szCs w:val="32"/>
        </w:rPr>
      </w:pPr>
      <w:r>
        <w:rPr>
          <w:rFonts w:hint="eastAsia" w:ascii="仿宋" w:hAnsi="仿宋" w:eastAsia="仿宋" w:cs="仿宋"/>
          <w:color w:val="auto"/>
          <w:sz w:val="32"/>
          <w:szCs w:val="32"/>
        </w:rPr>
        <w:t>2021年政府性基金预算财政拨款支出0万元。</w:t>
      </w:r>
    </w:p>
    <w:p>
      <w:pPr>
        <w:numPr>
          <w:ilvl w:val="0"/>
          <w:numId w:val="1"/>
        </w:numPr>
        <w:spacing w:line="600" w:lineRule="exact"/>
        <w:ind w:firstLine="640"/>
        <w:outlineLvl w:val="1"/>
        <w:rPr>
          <w:rStyle w:val="26"/>
          <w:rFonts w:ascii="黑体" w:hAnsi="黑体" w:eastAsia="黑体"/>
          <w:bCs w:val="0"/>
          <w:color w:val="auto"/>
        </w:rPr>
      </w:pPr>
      <w:bookmarkStart w:id="58" w:name="_Toc1240"/>
      <w:bookmarkStart w:id="59" w:name="_Toc15396611"/>
      <w:bookmarkStart w:id="60" w:name="_Toc15377219"/>
      <w:r>
        <w:rPr>
          <w:rStyle w:val="26"/>
          <w:rFonts w:hint="eastAsia" w:ascii="黑体" w:hAnsi="黑体" w:eastAsia="黑体"/>
          <w:bCs w:val="0"/>
          <w:color w:val="auto"/>
        </w:rPr>
        <w:t>国有资本经营预算支出决算情况说明</w:t>
      </w:r>
      <w:bookmarkEnd w:id="58"/>
      <w:bookmarkEnd w:id="59"/>
      <w:bookmarkEnd w:id="60"/>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2021年国有资本经营预算财政拨款支出0万元。</w:t>
      </w:r>
    </w:p>
    <w:p>
      <w:pPr>
        <w:numPr>
          <w:ilvl w:val="0"/>
          <w:numId w:val="1"/>
        </w:numPr>
        <w:spacing w:line="600" w:lineRule="exact"/>
        <w:ind w:firstLine="640"/>
        <w:outlineLvl w:val="1"/>
        <w:rPr>
          <w:rStyle w:val="26"/>
          <w:rFonts w:ascii="黑体" w:hAnsi="黑体" w:eastAsia="黑体"/>
          <w:bCs w:val="0"/>
          <w:color w:val="auto"/>
        </w:rPr>
      </w:pPr>
      <w:bookmarkStart w:id="61" w:name="_Toc15396612"/>
      <w:bookmarkStart w:id="62" w:name="_Toc15377221"/>
      <w:bookmarkStart w:id="63" w:name="_Toc7348"/>
      <w:r>
        <w:rPr>
          <w:rStyle w:val="26"/>
          <w:rFonts w:hint="eastAsia" w:ascii="黑体" w:hAnsi="黑体" w:eastAsia="黑体"/>
          <w:bCs w:val="0"/>
          <w:color w:val="auto"/>
        </w:rPr>
        <w:t>其他重要事项的情况说明</w:t>
      </w:r>
      <w:bookmarkEnd w:id="61"/>
      <w:bookmarkEnd w:id="62"/>
      <w:bookmarkEnd w:id="63"/>
    </w:p>
    <w:p>
      <w:pPr>
        <w:spacing w:line="600" w:lineRule="exact"/>
        <w:ind w:firstLine="642" w:firstLineChars="200"/>
        <w:outlineLvl w:val="2"/>
        <w:rPr>
          <w:rFonts w:ascii="楷体_GB2312" w:hAnsi="楷体_GB2312" w:eastAsia="楷体_GB2312" w:cs="楷体_GB2312"/>
          <w:b/>
          <w:color w:val="auto"/>
          <w:sz w:val="32"/>
          <w:szCs w:val="32"/>
        </w:rPr>
      </w:pPr>
      <w:bookmarkStart w:id="64" w:name="_Toc15377222"/>
      <w:r>
        <w:rPr>
          <w:rFonts w:hint="eastAsia" w:ascii="楷体_GB2312" w:hAnsi="楷体_GB2312" w:eastAsia="楷体_GB2312" w:cs="楷体_GB2312"/>
          <w:b/>
          <w:color w:val="auto"/>
          <w:sz w:val="32"/>
          <w:szCs w:val="32"/>
        </w:rPr>
        <w:t>（一）机关运行经费支出情况</w:t>
      </w:r>
      <w:bookmarkEnd w:id="64"/>
    </w:p>
    <w:p>
      <w:pPr>
        <w:spacing w:line="600" w:lineRule="exact"/>
        <w:ind w:firstLine="640" w:firstLineChars="200"/>
        <w:rPr>
          <w:rFonts w:ascii="仿宋_GB2312" w:eastAsia="仿宋_GB2312"/>
          <w:color w:val="auto"/>
          <w:sz w:val="32"/>
          <w:szCs w:val="32"/>
        </w:rPr>
      </w:pPr>
      <w:r>
        <w:rPr>
          <w:rFonts w:hint="eastAsia" w:ascii="仿宋" w:hAnsi="仿宋" w:eastAsia="仿宋" w:cs="仿宋"/>
          <w:color w:val="auto"/>
          <w:sz w:val="32"/>
          <w:szCs w:val="32"/>
        </w:rPr>
        <w:t>四川商务职业学院为事业单位，无机关运行经费。</w:t>
      </w:r>
    </w:p>
    <w:p>
      <w:pPr>
        <w:spacing w:line="600" w:lineRule="exact"/>
        <w:ind w:firstLine="642" w:firstLineChars="200"/>
        <w:outlineLvl w:val="2"/>
        <w:rPr>
          <w:rFonts w:ascii="楷体_GB2312" w:hAnsi="楷体_GB2312" w:eastAsia="楷体_GB2312" w:cs="楷体_GB2312"/>
          <w:b/>
          <w:color w:val="auto"/>
          <w:sz w:val="32"/>
          <w:szCs w:val="32"/>
        </w:rPr>
      </w:pPr>
      <w:bookmarkStart w:id="65" w:name="_Toc15377223"/>
      <w:r>
        <w:rPr>
          <w:rFonts w:hint="eastAsia" w:ascii="楷体_GB2312" w:hAnsi="楷体_GB2312" w:eastAsia="楷体_GB2312" w:cs="楷体_GB2312"/>
          <w:b/>
          <w:color w:val="auto"/>
          <w:sz w:val="32"/>
          <w:szCs w:val="32"/>
        </w:rPr>
        <w:t>（二）政府采购支出情况</w:t>
      </w:r>
      <w:bookmarkEnd w:id="65"/>
    </w:p>
    <w:p>
      <w:pPr>
        <w:spacing w:line="60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2021年，四川商务职业学院政府采购支出总额</w:t>
      </w:r>
      <w:r>
        <w:rPr>
          <w:rFonts w:hint="eastAsia" w:ascii="仿宋" w:hAnsi="仿宋" w:eastAsia="仿宋" w:cs="仿宋"/>
          <w:sz w:val="32"/>
          <w:szCs w:val="32"/>
        </w:rPr>
        <w:t>538.80万元，其中：政府采购货物支出337.30万元、政府采购工程支出0万元、政府采购服务支出201.5万元。主要用于教学设备购置、消防及维修工程、物业管理服务及车辆运维服务等。授予中小企业合同金额113.89万元，占政府采购支出总额的21.14%，其中：授予小微企业合同金额113.89万元，占政府采购支出总额的21.14%。</w:t>
      </w:r>
    </w:p>
    <w:p>
      <w:pPr>
        <w:spacing w:line="600" w:lineRule="exact"/>
        <w:ind w:firstLine="642" w:firstLineChars="200"/>
        <w:outlineLvl w:val="2"/>
        <w:rPr>
          <w:rFonts w:ascii="楷体_GB2312" w:hAnsi="楷体_GB2312" w:eastAsia="楷体_GB2312" w:cs="楷体_GB2312"/>
          <w:b/>
          <w:sz w:val="32"/>
          <w:szCs w:val="32"/>
        </w:rPr>
      </w:pPr>
      <w:bookmarkStart w:id="66" w:name="_Toc15377224"/>
      <w:r>
        <w:rPr>
          <w:rFonts w:hint="eastAsia" w:ascii="楷体_GB2312" w:hAnsi="楷体_GB2312" w:eastAsia="楷体_GB2312" w:cs="楷体_GB2312"/>
          <w:b/>
          <w:sz w:val="32"/>
          <w:szCs w:val="32"/>
        </w:rPr>
        <w:t>（三）国有资产占有使用情况</w:t>
      </w:r>
      <w:bookmarkEnd w:id="66"/>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12月31日，四川商务职业学院共有车辆9辆，其中：主要领导干部用车0辆、机要通信用车0辆、应急保障用车1辆、其他用车8辆，其他用车主要是用于教职工交通车及学生活动用车。单价50万元以上通用设备5台（套），单价100万元以上专用设备0台（套）。</w:t>
      </w:r>
    </w:p>
    <w:p>
      <w:pPr>
        <w:spacing w:line="600" w:lineRule="exact"/>
        <w:ind w:firstLine="642" w:firstLineChars="20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（四）预算绩效管理情况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高压线入地工程、深度贫困县人才振兴工程等2个项目开展了预算事前绩效评估，对16个项目编制了绩效目标，预算执行过程中，选取16个项目开展绩效监控，年终执行完毕后，对16个项目开展了绩效自评，2021年特定目标类部门预算项目绩效目标自评表见附件（第四部分）。</w:t>
      </w:r>
    </w:p>
    <w:p>
      <w:pPr>
        <w:widowControl/>
        <w:jc w:val="left"/>
        <w:rPr>
          <w:rFonts w:ascii="仿宋_GB2312" w:eastAsia="仿宋_GB2312"/>
          <w:bCs/>
          <w:sz w:val="32"/>
          <w:szCs w:val="32"/>
        </w:rPr>
      </w:pPr>
      <w:r>
        <w:rPr>
          <w:rFonts w:ascii="仿宋_GB2312" w:eastAsia="仿宋_GB2312"/>
          <w:bCs/>
          <w:sz w:val="32"/>
          <w:szCs w:val="32"/>
        </w:rPr>
        <w:br w:type="page"/>
      </w:r>
    </w:p>
    <w:p>
      <w:pPr>
        <w:numPr>
          <w:ilvl w:val="0"/>
          <w:numId w:val="2"/>
        </w:numPr>
        <w:spacing w:line="600" w:lineRule="exact"/>
        <w:ind w:firstLine="660" w:firstLineChars="150"/>
        <w:jc w:val="center"/>
        <w:outlineLvl w:val="0"/>
        <w:rPr>
          <w:rStyle w:val="25"/>
          <w:rFonts w:ascii="黑体" w:hAnsi="黑体" w:eastAsia="黑体"/>
          <w:b w:val="0"/>
        </w:rPr>
      </w:pPr>
      <w:bookmarkStart w:id="67" w:name="_Toc15377225"/>
      <w:bookmarkStart w:id="68" w:name="_Toc23399"/>
      <w:bookmarkStart w:id="69" w:name="_Toc15396613"/>
      <w:r>
        <w:rPr>
          <w:rFonts w:hint="eastAsia" w:ascii="黑体" w:hAnsi="黑体" w:eastAsia="黑体"/>
          <w:sz w:val="44"/>
          <w:szCs w:val="44"/>
        </w:rPr>
        <w:t>名</w:t>
      </w:r>
      <w:r>
        <w:rPr>
          <w:rStyle w:val="25"/>
          <w:rFonts w:hint="eastAsia" w:ascii="黑体" w:hAnsi="黑体" w:eastAsia="黑体"/>
          <w:b w:val="0"/>
        </w:rPr>
        <w:t>词解释</w:t>
      </w:r>
      <w:bookmarkEnd w:id="67"/>
      <w:bookmarkEnd w:id="68"/>
      <w:bookmarkEnd w:id="69"/>
    </w:p>
    <w:p>
      <w:pPr>
        <w:pStyle w:val="23"/>
        <w:spacing w:line="560" w:lineRule="exact"/>
        <w:ind w:firstLine="640" w:firstLineChars="200"/>
        <w:rPr>
          <w:rFonts w:hAnsi="仿宋"/>
          <w:color w:val="auto"/>
          <w:sz w:val="32"/>
          <w:szCs w:val="32"/>
        </w:rPr>
      </w:pPr>
      <w:r>
        <w:rPr>
          <w:rFonts w:hint="eastAsia" w:hAnsi="仿宋"/>
          <w:color w:val="auto"/>
          <w:sz w:val="32"/>
          <w:szCs w:val="32"/>
        </w:rPr>
        <w:t>1.财政拨款收入：指单位从同级财政部门取得的财政预算资金。</w:t>
      </w:r>
    </w:p>
    <w:p>
      <w:pPr>
        <w:pStyle w:val="23"/>
        <w:spacing w:line="560" w:lineRule="exact"/>
        <w:ind w:firstLine="640" w:firstLineChars="200"/>
        <w:rPr>
          <w:rFonts w:hAnsi="仿宋"/>
          <w:color w:val="auto"/>
          <w:sz w:val="32"/>
          <w:szCs w:val="32"/>
        </w:rPr>
      </w:pPr>
      <w:r>
        <w:rPr>
          <w:rFonts w:hint="eastAsia" w:hAnsi="仿宋"/>
          <w:color w:val="auto"/>
          <w:sz w:val="32"/>
          <w:szCs w:val="32"/>
        </w:rPr>
        <w:t>2.事业收入：指单位学费及住宿费收入。</w:t>
      </w:r>
    </w:p>
    <w:p>
      <w:pPr>
        <w:pStyle w:val="23"/>
        <w:spacing w:line="560" w:lineRule="exact"/>
        <w:ind w:firstLine="640" w:firstLineChars="200"/>
        <w:rPr>
          <w:rFonts w:hAnsi="仿宋"/>
          <w:color w:val="auto"/>
          <w:sz w:val="32"/>
          <w:szCs w:val="32"/>
        </w:rPr>
      </w:pPr>
      <w:r>
        <w:rPr>
          <w:rFonts w:hint="eastAsia" w:hAnsi="仿宋"/>
          <w:color w:val="auto"/>
          <w:sz w:val="32"/>
          <w:szCs w:val="32"/>
        </w:rPr>
        <w:t>3.经营收入：指事业单位在专业业务活动及其辅助活动之外开展非独立核算经营活动取得的收入。</w:t>
      </w:r>
    </w:p>
    <w:p>
      <w:pPr>
        <w:pStyle w:val="23"/>
        <w:spacing w:line="560" w:lineRule="exact"/>
        <w:ind w:firstLine="640" w:firstLineChars="200"/>
        <w:rPr>
          <w:rFonts w:hAnsi="仿宋"/>
          <w:color w:val="auto"/>
          <w:sz w:val="32"/>
          <w:szCs w:val="32"/>
        </w:rPr>
      </w:pPr>
      <w:r>
        <w:rPr>
          <w:rFonts w:hint="eastAsia" w:hAnsi="仿宋"/>
          <w:color w:val="auto"/>
          <w:sz w:val="32"/>
          <w:szCs w:val="32"/>
        </w:rPr>
        <w:t>4.其他收入：指单位取得的除上述收入以外的各项收入。主要是天猫校园超市合作收入等。</w:t>
      </w:r>
    </w:p>
    <w:p>
      <w:pPr>
        <w:pStyle w:val="23"/>
        <w:spacing w:line="560" w:lineRule="exact"/>
        <w:ind w:firstLine="640" w:firstLineChars="200"/>
        <w:rPr>
          <w:rFonts w:hAnsi="仿宋"/>
          <w:color w:val="auto"/>
          <w:sz w:val="32"/>
          <w:szCs w:val="32"/>
        </w:rPr>
      </w:pPr>
      <w:r>
        <w:rPr>
          <w:rFonts w:hint="eastAsia" w:hAnsi="仿宋"/>
          <w:color w:val="auto"/>
          <w:sz w:val="32"/>
          <w:szCs w:val="32"/>
        </w:rPr>
        <w:t>5.使用非财政拨款结余：指事业单位使用以前年度积累的非财政拨款结余弥补当年收支差额的金额。</w:t>
      </w:r>
    </w:p>
    <w:p>
      <w:pPr>
        <w:pStyle w:val="23"/>
        <w:spacing w:line="560" w:lineRule="exact"/>
        <w:ind w:firstLine="640" w:firstLineChars="200"/>
        <w:rPr>
          <w:rFonts w:hAnsi="仿宋"/>
          <w:color w:val="auto"/>
          <w:sz w:val="32"/>
          <w:szCs w:val="32"/>
        </w:rPr>
      </w:pPr>
      <w:r>
        <w:rPr>
          <w:rFonts w:hint="eastAsia" w:hAnsi="仿宋"/>
          <w:color w:val="auto"/>
          <w:sz w:val="32"/>
          <w:szCs w:val="32"/>
        </w:rPr>
        <w:t>6.年初结转和结余：指以前年度尚未完成、结转到本年按有关规定继续使用的资金。</w:t>
      </w:r>
    </w:p>
    <w:p>
      <w:pPr>
        <w:pStyle w:val="23"/>
        <w:spacing w:line="560" w:lineRule="exact"/>
        <w:ind w:firstLine="640" w:firstLineChars="200"/>
        <w:rPr>
          <w:rFonts w:hAnsi="仿宋"/>
          <w:color w:val="auto"/>
          <w:sz w:val="32"/>
          <w:szCs w:val="32"/>
        </w:rPr>
      </w:pPr>
      <w:r>
        <w:rPr>
          <w:rFonts w:hint="eastAsia" w:hAnsi="仿宋"/>
          <w:color w:val="auto"/>
          <w:sz w:val="32"/>
          <w:szCs w:val="32"/>
        </w:rPr>
        <w:t>7.结余分配：指事业单位按照会计制度规定缴纳的所得税、提取的专用结余以及转入非财政拨款结余的金额等。</w:t>
      </w:r>
    </w:p>
    <w:p>
      <w:pPr>
        <w:pStyle w:val="23"/>
        <w:spacing w:line="560" w:lineRule="exact"/>
        <w:ind w:firstLine="640" w:firstLineChars="200"/>
        <w:rPr>
          <w:rFonts w:hAnsi="仿宋"/>
          <w:color w:val="auto"/>
          <w:sz w:val="32"/>
          <w:szCs w:val="32"/>
        </w:rPr>
      </w:pPr>
      <w:r>
        <w:rPr>
          <w:rFonts w:hint="eastAsia" w:hAnsi="仿宋"/>
          <w:color w:val="auto"/>
          <w:sz w:val="32"/>
          <w:szCs w:val="32"/>
        </w:rPr>
        <w:t>8.年末结转和结余：指单位按有关规定结转到下年或以后年度继续使用的资金。</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9.教育支出（类）职业教育（款）高等职业教育（项）： 指四川商务职业学院的基本支出及项目支出。</w:t>
      </w:r>
    </w:p>
    <w:p>
      <w:pPr>
        <w:pStyle w:val="2"/>
        <w:spacing w:before="93"/>
        <w:ind w:firstLine="640" w:firstLineChars="200"/>
        <w:jc w:val="left"/>
        <w:rPr>
          <w:rFonts w:ascii="仿宋" w:hAnsi="仿宋" w:eastAsia="仿宋" w:cs="仿宋"/>
          <w:sz w:val="32"/>
          <w:szCs w:val="32"/>
        </w:rPr>
      </w:pPr>
      <w:r>
        <w:rPr>
          <w:rFonts w:hint="eastAsia" w:ascii="仿宋" w:hAnsi="仿宋" w:eastAsia="仿宋" w:cs="仿宋"/>
          <w:sz w:val="32"/>
          <w:szCs w:val="32"/>
        </w:rPr>
        <w:t>10.社会保障和就业支出（类）行政事业单位养老支出</w:t>
      </w:r>
    </w:p>
    <w:p>
      <w:pPr>
        <w:pStyle w:val="2"/>
        <w:spacing w:before="93"/>
        <w:jc w:val="left"/>
        <w:rPr>
          <w:rFonts w:ascii="仿宋" w:hAnsi="仿宋" w:eastAsia="仿宋" w:cs="仿宋"/>
          <w:sz w:val="32"/>
          <w:szCs w:val="32"/>
        </w:rPr>
      </w:pPr>
      <w:r>
        <w:rPr>
          <w:rFonts w:hint="eastAsia" w:ascii="仿宋" w:hAnsi="仿宋" w:eastAsia="仿宋" w:cs="仿宋"/>
          <w:sz w:val="32"/>
          <w:szCs w:val="32"/>
        </w:rPr>
        <w:t>（款）事业单位离退休（项）：单位开展的离退休经费支出。</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11.卫生健康（类）其他卫生健康支出（款）其他卫生健康支出（项）:单位用于学生重大传染病经费。</w:t>
      </w:r>
    </w:p>
    <w:p>
      <w:pPr>
        <w:ind w:firstLine="640" w:firstLineChars="200"/>
        <w:rPr>
          <w:rFonts w:ascii="仿宋" w:hAnsi="仿宋" w:eastAsia="仿宋" w:cs="仿宋"/>
          <w:sz w:val="32"/>
          <w:szCs w:val="32"/>
        </w:rPr>
      </w:pPr>
      <w:r>
        <w:rPr>
          <w:rFonts w:hint="eastAsia" w:ascii="仿宋" w:hAnsi="仿宋" w:eastAsia="仿宋" w:cs="仿宋"/>
          <w:sz w:val="32"/>
          <w:szCs w:val="32"/>
        </w:rPr>
        <w:t>12.基本支出：指为保障机构正常运转、完成日常工作任务而发生的人员支出和公用支出。</w:t>
      </w:r>
    </w:p>
    <w:p>
      <w:pPr>
        <w:ind w:firstLine="640" w:firstLineChars="200"/>
        <w:rPr>
          <w:rFonts w:ascii="仿宋" w:hAnsi="仿宋" w:eastAsia="仿宋" w:cs="仿宋"/>
          <w:sz w:val="32"/>
          <w:szCs w:val="32"/>
        </w:rPr>
      </w:pPr>
      <w:r>
        <w:rPr>
          <w:rFonts w:hint="eastAsia" w:ascii="仿宋" w:hAnsi="仿宋" w:eastAsia="仿宋" w:cs="仿宋"/>
          <w:sz w:val="32"/>
          <w:szCs w:val="32"/>
        </w:rPr>
        <w:t>13.项目支出：指在基本支出之外为完成特定行政任务和事业发展目标所发生的支出。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14.经营支出：指事业单位在专业业务活动及其辅助活动之外开展非独立核算经营活动发生的支出。</w:t>
      </w:r>
    </w:p>
    <w:p>
      <w:pPr>
        <w:pStyle w:val="23"/>
        <w:spacing w:line="560" w:lineRule="exact"/>
        <w:ind w:firstLine="640" w:firstLineChars="200"/>
        <w:rPr>
          <w:rFonts w:hAnsi="仿宋"/>
          <w:color w:val="auto"/>
          <w:sz w:val="32"/>
          <w:szCs w:val="32"/>
        </w:rPr>
      </w:pPr>
      <w:r>
        <w:rPr>
          <w:rFonts w:hint="eastAsia" w:hAnsi="仿宋"/>
          <w:color w:val="auto"/>
          <w:kern w:val="2"/>
          <w:sz w:val="32"/>
          <w:szCs w:val="32"/>
        </w:rPr>
        <w:t>15.</w:t>
      </w:r>
      <w:r>
        <w:rPr>
          <w:rFonts w:hint="eastAsia" w:hAnsi="仿宋"/>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Ansi="仿宋"/>
          <w:color w:val="FF0000"/>
          <w:sz w:val="32"/>
          <w:szCs w:val="32"/>
        </w:rPr>
      </w:pPr>
    </w:p>
    <w:p>
      <w:pPr>
        <w:ind w:firstLine="642" w:firstLineChars="200"/>
        <w:rPr>
          <w:rFonts w:ascii="仿宋" w:hAnsi="仿宋" w:eastAsia="仿宋" w:cs="仿宋"/>
          <w:b/>
          <w:color w:val="FF0000"/>
          <w:sz w:val="32"/>
          <w:szCs w:val="32"/>
        </w:rPr>
      </w:pPr>
    </w:p>
    <w:p>
      <w:pPr>
        <w:spacing w:line="600" w:lineRule="exact"/>
        <w:jc w:val="center"/>
        <w:outlineLvl w:val="0"/>
        <w:rPr>
          <w:rStyle w:val="25"/>
          <w:rFonts w:ascii="黑体" w:hAnsi="黑体" w:eastAsia="黑体"/>
          <w:b w:val="0"/>
        </w:rPr>
      </w:pPr>
      <w:bookmarkStart w:id="70" w:name="_Toc15377226"/>
      <w:r>
        <w:rPr>
          <w:rFonts w:ascii="宋体"/>
          <w:b/>
          <w:sz w:val="44"/>
          <w:szCs w:val="44"/>
        </w:rPr>
        <w:br w:type="page"/>
      </w:r>
      <w:bookmarkStart w:id="71" w:name="_Toc26088"/>
      <w:bookmarkStart w:id="72" w:name="_Toc15396614"/>
      <w:r>
        <w:rPr>
          <w:rFonts w:hint="eastAsia" w:ascii="黑体" w:hAnsi="黑体" w:eastAsia="黑体"/>
          <w:sz w:val="44"/>
          <w:szCs w:val="44"/>
        </w:rPr>
        <w:t>第</w:t>
      </w:r>
      <w:r>
        <w:rPr>
          <w:rStyle w:val="25"/>
          <w:rFonts w:hint="eastAsia" w:ascii="黑体" w:hAnsi="黑体" w:eastAsia="黑体"/>
          <w:b w:val="0"/>
        </w:rPr>
        <w:t>四部分 附件</w:t>
      </w:r>
      <w:bookmarkEnd w:id="71"/>
      <w:bookmarkEnd w:id="72"/>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18"/>
        <w:gridCol w:w="2070"/>
        <w:gridCol w:w="1078"/>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both"/>
              <w:textAlignment w:val="center"/>
              <w:rPr>
                <w:rFonts w:ascii="宋体" w:hAnsi="宋体" w:cs="宋体"/>
                <w:b/>
                <w:color w:val="000000"/>
                <w:sz w:val="32"/>
                <w:szCs w:val="32"/>
              </w:rPr>
            </w:pPr>
            <w:bookmarkStart w:id="73" w:name="_Toc15396618"/>
            <w:r>
              <w:rPr>
                <w:rFonts w:hint="eastAsia" w:ascii="宋体" w:hAnsi="宋体" w:cs="宋体"/>
                <w:b/>
                <w:color w:val="000000"/>
                <w:sz w:val="32"/>
                <w:szCs w:val="32"/>
              </w:rPr>
              <w:t>2021年100万元以上（含）特定目标类部门预算项目绩效目标自评</w:t>
            </w:r>
          </w:p>
          <w:p>
            <w:pPr>
              <w:widowControl/>
              <w:ind w:firstLine="2393" w:firstLineChars="745"/>
              <w:jc w:val="left"/>
              <w:textAlignment w:val="center"/>
              <w:rPr>
                <w:rFonts w:ascii="宋体" w:hAnsi="宋体" w:cs="宋体"/>
                <w:b/>
                <w:color w:val="000000"/>
                <w:sz w:val="32"/>
                <w:szCs w:val="32"/>
              </w:rPr>
            </w:pPr>
            <w:r>
              <w:rPr>
                <w:rFonts w:hint="eastAsia" w:ascii="宋体" w:hAnsi="宋体" w:cs="宋体"/>
                <w:b/>
                <w:color w:val="000000"/>
                <w:sz w:val="32"/>
                <w:szCs w:val="32"/>
              </w:rPr>
              <w:t>（</w:t>
            </w:r>
            <w:r>
              <w:rPr>
                <w:rFonts w:hint="eastAsia" w:ascii="宋体" w:hAnsi="宋体" w:cs="宋体"/>
                <w:b/>
                <w:sz w:val="32"/>
                <w:szCs w:val="32"/>
              </w:rPr>
              <w:t>归还融资租赁贷款</w:t>
            </w:r>
            <w:r>
              <w:rPr>
                <w:rFonts w:hint="eastAsia" w:ascii="宋体" w:hAnsi="宋体" w:cs="宋体"/>
                <w:b/>
                <w:color w:val="000000"/>
                <w:sz w:val="32"/>
                <w:szCs w:val="32"/>
              </w:rPr>
              <w:t>项目）</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color w:val="000000" w:themeColor="text1"/>
                <w:sz w:val="20"/>
                <w:szCs w:val="20"/>
                <w14:textFill>
                  <w14:solidFill>
                    <w14:schemeClr w14:val="tx1"/>
                  </w14:solidFill>
                </w14:textFill>
              </w:rPr>
              <w:t>322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gridAfter w:val="1"/>
          <w:wAfter w:w="236" w:type="dxa"/>
          <w:trHeight w:val="341" w:hRule="atLeast"/>
        </w:trPr>
        <w:tc>
          <w:tcPr>
            <w:tcW w:w="27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204.88</w:t>
            </w:r>
          </w:p>
        </w:tc>
      </w:tr>
      <w:tr>
        <w:tblPrEx>
          <w:tblCellMar>
            <w:top w:w="0" w:type="dxa"/>
            <w:left w:w="108" w:type="dxa"/>
            <w:bottom w:w="0" w:type="dxa"/>
            <w:right w:w="108" w:type="dxa"/>
          </w:tblCellMar>
        </w:tblPrEx>
        <w:trPr>
          <w:gridAfter w:val="1"/>
          <w:wAfter w:w="236" w:type="dxa"/>
          <w:trHeight w:val="555" w:hRule="atLeast"/>
        </w:trPr>
        <w:tc>
          <w:tcPr>
            <w:tcW w:w="27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341" w:hRule="atLeast"/>
        </w:trPr>
        <w:tc>
          <w:tcPr>
            <w:tcW w:w="27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204.88</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为了弥补办学经费不足，改善学院基本办学条件，提高学院实践教学能力，增强高职学生核心竞争力，确保全院10000余大学生实践教学需要。同时，确保学院履行既有合同，遵守契约，维护学院基本信用度，必须安排本支出项目。</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改善学院基本办学条件，提高学院实践教学能力，增强高职学生核心竞争力，确保全院10000余大学生实践教学需要。同时，确保学院履行既有合同，遵守契约，维护学院基本信用度.</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还款次数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2070"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还款时间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2021年6月，2021年12月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2021年6月，2021年12月</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贷款成本节约率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551" w:hRule="atLeast"/>
        </w:trPr>
        <w:tc>
          <w:tcPr>
            <w:tcW w:w="19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078"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rPr>
          <w:rFonts w:ascii="黑体" w:hAnsi="黑体" w:eastAsia="黑体"/>
          <w:sz w:val="44"/>
          <w:szCs w:val="44"/>
        </w:rPr>
      </w:pPr>
    </w:p>
    <w:tbl>
      <w:tblPr>
        <w:tblStyle w:val="13"/>
        <w:tblpPr w:leftFromText="180" w:rightFromText="180" w:vertAnchor="text" w:horzAnchor="page" w:tblpX="1570" w:tblpY="331"/>
        <w:tblOverlap w:val="never"/>
        <w:tblW w:w="9811" w:type="dxa"/>
        <w:tblInd w:w="0" w:type="dxa"/>
        <w:tblLayout w:type="fixed"/>
        <w:tblCellMar>
          <w:top w:w="0" w:type="dxa"/>
          <w:left w:w="108" w:type="dxa"/>
          <w:bottom w:w="0" w:type="dxa"/>
          <w:right w:w="108" w:type="dxa"/>
        </w:tblCellMar>
      </w:tblPr>
      <w:tblGrid>
        <w:gridCol w:w="2025"/>
        <w:gridCol w:w="1170"/>
        <w:gridCol w:w="1470"/>
        <w:gridCol w:w="1423"/>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hint="eastAsia" w:ascii="宋体" w:hAnsi="宋体" w:cs="宋体"/>
                <w:b/>
                <w:color w:val="000000" w:themeColor="text1"/>
                <w:sz w:val="32"/>
                <w:szCs w:val="32"/>
                <w14:textFill>
                  <w14:solidFill>
                    <w14:schemeClr w14:val="tx1"/>
                  </w14:solidFill>
                </w14:textFill>
              </w:rPr>
            </w:pPr>
          </w:p>
          <w:p>
            <w:pPr>
              <w:widowControl/>
              <w:jc w:val="center"/>
              <w:textAlignment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2021年100万元以上（含）特定目标类部门预算项目绩效目标自评</w:t>
            </w:r>
          </w:p>
          <w:p>
            <w:pPr>
              <w:widowControl/>
              <w:jc w:val="center"/>
              <w:textAlignment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（教育教学成本（教学及科研类）</w:t>
            </w:r>
            <w:r>
              <w:rPr>
                <w:rFonts w:hint="eastAsia" w:ascii="宋体" w:hAnsi="宋体" w:cs="宋体"/>
                <w:b/>
                <w:sz w:val="32"/>
                <w:szCs w:val="32"/>
              </w:rPr>
              <w:t>项目）</w:t>
            </w:r>
          </w:p>
        </w:tc>
      </w:tr>
      <w:tr>
        <w:tblPrEx>
          <w:tblCellMar>
            <w:top w:w="0" w:type="dxa"/>
            <w:left w:w="108" w:type="dxa"/>
            <w:bottom w:w="0" w:type="dxa"/>
            <w:right w:w="108" w:type="dxa"/>
          </w:tblCellMar>
        </w:tblPrEx>
        <w:trPr>
          <w:trHeight w:val="90"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115.38</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115.38</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完成2021年的教学实践，专业建设和课程改革工作；完成院级科研课题10项，省级课题2项，为科研横向资金到位配套提高横向科研资金到位率提高1%，同时提高学院学报质量。使学院教学和科研工作不断提高</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完成院级科研课题12项，省级课题4项，横向科研资金到帐7.3万元.完成教改、课改项目21个</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7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完成科研课题及论文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二十余项</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发表论文23篇</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47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完成教学课改及专业建设项目</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十余项</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21篇</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论文质量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能在核心期刊及省级刊物发表</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C刊来源期刊1篇，C刊来源期刊扩展版1篇，北大中文核心2篇</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投入产出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教师满意度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≥80%</w:t>
            </w:r>
          </w:p>
        </w:tc>
      </w:tr>
    </w:tbl>
    <w:p>
      <w:pPr>
        <w:widowControl/>
        <w:adjustRightInd w:val="0"/>
        <w:snapToGrid w:val="0"/>
        <w:spacing w:line="580" w:lineRule="exact"/>
        <w:contextualSpacing/>
        <w:jc w:val="left"/>
        <w:rPr>
          <w:rFonts w:ascii="仿宋_GB2312" w:hAnsi="仿宋_GB2312" w:eastAsia="仿宋_GB2312" w:cs="仿宋_GB2312"/>
          <w:color w:val="000000"/>
          <w:kern w:val="0"/>
          <w:sz w:val="20"/>
          <w:szCs w:val="20"/>
          <w:shd w:val="clear" w:color="auto" w:fill="FFFFFF"/>
        </w:rPr>
      </w:pPr>
    </w:p>
    <w:tbl>
      <w:tblPr>
        <w:tblStyle w:val="13"/>
        <w:tblpPr w:leftFromText="180" w:rightFromText="180" w:vertAnchor="text" w:horzAnchor="page" w:tblpX="1585" w:tblpY="497"/>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color w:val="000000" w:themeColor="text1"/>
                <w:sz w:val="32"/>
                <w:szCs w:val="32"/>
                <w14:textFill>
                  <w14:solidFill>
                    <w14:schemeClr w14:val="tx1"/>
                  </w14:solidFill>
                </w14:textFill>
              </w:rPr>
              <w:t>（教育教学成本（学生管理成本）项目）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133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46.45</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59.5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42.05</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73.5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4.4</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通过举办商道艺术节等特色校园活动，丰富校园文化的内容,凝炼出特色,达到文化传承的目的，完成国家层面对的主题庆祝活动。为推动学院校园文化建设，丰富学生课外活动，充实青年教师的文化生活，让广大学生、青年教师的活动更多样化。</w:t>
            </w:r>
          </w:p>
          <w:p>
            <w:pPr>
              <w:pStyle w:val="2"/>
              <w:spacing w:before="93"/>
              <w:rPr>
                <w:rFonts w:hAnsi="仿宋_GB2312" w:cs="仿宋_GB2312"/>
                <w:sz w:val="20"/>
                <w:szCs w:val="20"/>
              </w:rPr>
            </w:pPr>
          </w:p>
          <w:p>
            <w:pPr>
              <w:pStyle w:val="2"/>
              <w:spacing w:before="93"/>
              <w:rPr>
                <w:rFonts w:hAnsi="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1.第15届商道文化节受新冠肺炎疫情影响，在学院“非必要不外出”的学生防疫管理措施下，为丰富学生在校期间课余生活，第15届商道文化节活动在不聚集，小范围原则下开展了“育商道匠心之魂，铸百年职教初心”商道文化节系列活动，①“商院好声音”线上K歌比赛。②“建党100周年”主题演讲比赛。③“强国有我、请党放心”主题抖音短视频比赛。④“百日健康行”活动。同时各系部除开展上述活动外，结合系部自身情况，各系分别开展了多次符合疫情防控要求的商道文化节活动。</w:t>
            </w:r>
          </w:p>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2.邮寄学生档案：根据2021届毕业生档案派遣情况，完成2498件档案包裹的邮寄，其中转生本学生档案，按升本学校要求统一打包邮寄。</w:t>
            </w:r>
          </w:p>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3.2021年我院社团经费主要用于两校区社联组织的正常运营、学院大型社团活动的开展、优秀社团活动的支持：完成两校区社联常规运行及社联、社团年度优秀的评选和奖励；完成八项大型社团活动。</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学生社团个数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71个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61个</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67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邮寄学生档案份数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3500份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3400份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全院心理健康活动场次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对师生身体健康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p>
      <w:pPr>
        <w:pStyle w:val="2"/>
        <w:spacing w:before="93"/>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3"/>
        <w:spacing w:before="93"/>
        <w:ind w:firstLine="0"/>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hint="eastAsia" w:ascii="宋体" w:hAnsi="宋体" w:cs="宋体"/>
                <w:b/>
                <w:color w:val="000000"/>
                <w:sz w:val="32"/>
                <w:szCs w:val="32"/>
              </w:rPr>
            </w:pPr>
          </w:p>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ind w:firstLine="2550" w:firstLineChars="794"/>
              <w:textAlignment w:val="center"/>
              <w:rPr>
                <w:rFonts w:ascii="宋体" w:hAnsi="宋体" w:cs="宋体"/>
                <w:b/>
                <w:sz w:val="32"/>
                <w:szCs w:val="32"/>
              </w:rPr>
            </w:pPr>
            <w:r>
              <w:rPr>
                <w:rFonts w:hint="eastAsia" w:ascii="宋体" w:hAnsi="宋体" w:cs="宋体"/>
                <w:b/>
                <w:sz w:val="32"/>
                <w:szCs w:val="32"/>
              </w:rPr>
              <w:t>（教育教学成本（聘用人员经费）项目）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180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180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60</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2591"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为了突出高等职业教育办学特色，实现产教融合，校企合作，各个专业根据专业特点，聘请企业、行业师资参与人才培养，同事弥补学院师资不足，改善教师队伍结构。培养适用性、技能型人才，提高教育教学质量，培养更多服务于经济建设的人</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突出高等职业教育办学特色，实现产教融合，校企合作，各个专业根据专业特点，聘请企业、行业师资参与人才培养，同事弥补学院师资不足，改善教师队伍结构。培养适用性、技能型人才，提高教育教学质量，培养更多服务于经济建设的人</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聘用职工及兼课教师</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约200人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取12月数据为180人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67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教师课酬，教辅津贴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40元/节</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初级职称25/节中级职称41.6元/节，高级职称52.5/节</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工作及授课时间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10个月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10个月</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节约率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30%</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≥85%</w:t>
            </w:r>
          </w:p>
        </w:tc>
      </w:tr>
    </w:tbl>
    <w:p>
      <w:pPr>
        <w:pStyle w:val="2"/>
        <w:spacing w:before="93"/>
        <w:rPr>
          <w:rFonts w:hAnsi="仿宋_GB2312" w:cs="仿宋_GB2312"/>
          <w:sz w:val="20"/>
          <w:szCs w:val="20"/>
        </w:rPr>
      </w:pPr>
    </w:p>
    <w:p>
      <w:pPr>
        <w:rPr>
          <w:sz w:val="32"/>
          <w:szCs w:val="32"/>
        </w:rPr>
      </w:pPr>
      <w:r>
        <w:rPr>
          <w:sz w:val="32"/>
          <w:szCs w:val="32"/>
        </w:rPr>
        <w:br w:type="page"/>
      </w:r>
    </w:p>
    <w:p>
      <w:pPr>
        <w:pStyle w:val="3"/>
      </w:pPr>
    </w:p>
    <w:tbl>
      <w:tblPr>
        <w:tblStyle w:val="13"/>
        <w:tblpPr w:leftFromText="180" w:rightFromText="180" w:vertAnchor="text" w:horzAnchor="page" w:tblpX="1296" w:tblpY="131"/>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eastAsia="zh-CN"/>
              </w:rPr>
            </w:pPr>
            <w:r>
              <w:rPr>
                <w:rFonts w:hint="eastAsia" w:ascii="宋体" w:hAnsi="宋体" w:cs="宋体"/>
                <w:b/>
                <w:sz w:val="32"/>
                <w:szCs w:val="32"/>
                <w:lang w:eastAsia="zh-CN"/>
              </w:rPr>
              <w:t>（</w:t>
            </w:r>
            <w:r>
              <w:rPr>
                <w:rFonts w:hint="eastAsia" w:ascii="宋体" w:hAnsi="宋体" w:cs="宋体"/>
                <w:b/>
                <w:sz w:val="32"/>
                <w:szCs w:val="32"/>
              </w:rPr>
              <w:t>教育教学成本（职工伙食费）</w:t>
            </w:r>
            <w:r>
              <w:rPr>
                <w:rFonts w:hint="eastAsia" w:ascii="宋体" w:hAnsi="宋体" w:cs="宋体"/>
                <w:b/>
                <w:sz w:val="32"/>
                <w:szCs w:val="32"/>
                <w:lang w:eastAsia="zh-CN"/>
              </w:rPr>
              <w:t>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保障全院600多教职工因地处远郊工作餐需要，保证全院10000名师生的正常教学工作，行政、科研、社会服务等高校功能的实现。因2019年高校扩招，大学生人数增加，导致教职工人数就餐人数增加，特别是今年肉食品大幅度上涨，2020年安排的职工工作餐预算增加80万元。</w:t>
            </w: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完成预期目标</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教职工人数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630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630</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保证就餐质量和食品安全</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节约率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支持四川省扶贫农副产品采购</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widowControl/>
        <w:jc w:val="both"/>
        <w:textAlignment w:val="center"/>
        <w:rPr>
          <w:rFonts w:ascii="宋体" w:hAnsi="宋体" w:cs="宋体"/>
          <w:b/>
          <w:color w:val="000000"/>
          <w:sz w:val="32"/>
          <w:szCs w:val="32"/>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845"/>
        <w:gridCol w:w="2190"/>
        <w:gridCol w:w="183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（教育教学成本（招生就业经费）项目）</w:t>
            </w:r>
          </w:p>
        </w:tc>
      </w:tr>
      <w:tr>
        <w:tblPrEx>
          <w:tblCellMar>
            <w:top w:w="0" w:type="dxa"/>
            <w:left w:w="108" w:type="dxa"/>
            <w:bottom w:w="0" w:type="dxa"/>
            <w:right w:w="108" w:type="dxa"/>
          </w:tblCellMar>
        </w:tblPrEx>
        <w:trPr>
          <w:trHeight w:val="254" w:hRule="atLeast"/>
        </w:trPr>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66.29</w:t>
            </w:r>
          </w:p>
        </w:tc>
      </w:tr>
      <w:tr>
        <w:tblPrEx>
          <w:tblCellMar>
            <w:top w:w="0" w:type="dxa"/>
            <w:left w:w="108" w:type="dxa"/>
            <w:bottom w:w="0" w:type="dxa"/>
            <w:right w:w="108" w:type="dxa"/>
          </w:tblCellMar>
        </w:tblPrEx>
        <w:trPr>
          <w:trHeight w:val="555" w:hRule="atLeast"/>
        </w:trPr>
        <w:tc>
          <w:tcPr>
            <w:tcW w:w="3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49.14</w:t>
            </w:r>
          </w:p>
        </w:tc>
      </w:tr>
      <w:tr>
        <w:tblPrEx>
          <w:tblCellMar>
            <w:top w:w="0" w:type="dxa"/>
            <w:left w:w="108" w:type="dxa"/>
            <w:bottom w:w="0" w:type="dxa"/>
            <w:right w:w="108" w:type="dxa"/>
          </w:tblCellMar>
        </w:tblPrEx>
        <w:trPr>
          <w:trHeight w:val="341" w:hRule="atLeast"/>
        </w:trPr>
        <w:tc>
          <w:tcPr>
            <w:tcW w:w="3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17.15</w:t>
            </w:r>
          </w:p>
        </w:tc>
      </w:tr>
      <w:tr>
        <w:tblPrEx>
          <w:tblCellMar>
            <w:top w:w="0" w:type="dxa"/>
            <w:left w:w="108" w:type="dxa"/>
            <w:bottom w:w="0" w:type="dxa"/>
            <w:right w:w="108" w:type="dxa"/>
          </w:tblCellMar>
        </w:tblPrEx>
        <w:trPr>
          <w:trHeight w:val="217" w:hRule="atLeast"/>
        </w:trPr>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5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524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积极响应国家高校扩招战略，让农民工、复原退伍军人、下岗工人等有更多接受高等教育，提高全国高等学校毛入学率，为四川省高等职业教育入学率提升做贡献。挖掘办学潜力，努力实现2020年单招、统招、“9+3”、“四扶”招生到校大学生3600人以上，比2020年增加100人。特别是面向四川贫困地区精准扶贫生源得到更多的入学机会。努力提高毕业生就业质量和就业率，为缓解国家就业压力服务，力争2021年毕业生就业率达95%以上，就业质量指标有所提高。</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2021年单招录取1993人，统招录取1569人，9+3录取40人，高职扩招录取122人。总体报到率92.4%。在2020年基础上稳步增加。2021届毕业生就业质量和就业率均稳步提高，2021年毕业生3354人，就业率达95.71%，位于全省高校前列。</w:t>
            </w:r>
          </w:p>
        </w:tc>
      </w:tr>
      <w:tr>
        <w:tblPrEx>
          <w:tblCellMar>
            <w:top w:w="0" w:type="dxa"/>
            <w:left w:w="108" w:type="dxa"/>
            <w:bottom w:w="0" w:type="dxa"/>
            <w:right w:w="108" w:type="dxa"/>
          </w:tblCellMar>
        </w:tblPrEx>
        <w:trPr>
          <w:trHeight w:val="693" w:hRule="atLeast"/>
        </w:trPr>
        <w:tc>
          <w:tcPr>
            <w:tcW w:w="84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8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招生规模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3600人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3724</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83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委托合法机构</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多个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7</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就业单位质量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2021年12月31日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2021年12月31日</w:t>
            </w:r>
          </w:p>
        </w:tc>
      </w:tr>
      <w:tr>
        <w:tblPrEx>
          <w:tblCellMar>
            <w:top w:w="0" w:type="dxa"/>
            <w:left w:w="108" w:type="dxa"/>
            <w:bottom w:w="0" w:type="dxa"/>
            <w:right w:w="108" w:type="dxa"/>
          </w:tblCellMar>
        </w:tblPrEx>
        <w:trPr>
          <w:trHeight w:val="48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扩大学校影响力与知名度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34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84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教职工满意度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jc w:val="both"/>
        <w:rPr>
          <w:rFonts w:ascii="仿宋_GB2312" w:hAnsi="仿宋_GB2312" w:eastAsia="仿宋_GB2312" w:cs="仿宋_GB2312"/>
          <w:sz w:val="20"/>
          <w:szCs w:val="20"/>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(设备购置经费项目)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507.72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490.76</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446.02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452.82</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37.94</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为了教育教学工作需要，促进教学软硬件设施的升级，需购置教学设备，更好的为教学工作服务。</w:t>
            </w:r>
          </w:p>
          <w:p>
            <w:pPr>
              <w:pStyle w:val="2"/>
              <w:spacing w:before="93"/>
              <w:rPr>
                <w:rFonts w:hAnsi="仿宋_GB2312" w:cs="仿宋_GB2312"/>
                <w:sz w:val="20"/>
                <w:szCs w:val="20"/>
              </w:rPr>
            </w:pPr>
          </w:p>
          <w:p>
            <w:pPr>
              <w:pStyle w:val="2"/>
              <w:spacing w:before="93"/>
              <w:rPr>
                <w:rFonts w:hAnsi="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促进教学软硬件设施的升级，需购置教学设备，更好的为教学工作服务。</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2021.10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2021.12</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完成数量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按采购需求全部完成</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完成96%</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设备质量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5年</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5年</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jc w:val="center"/>
        <w:rPr>
          <w:rFonts w:ascii="仿宋_GB2312" w:hAnsi="仿宋_GB2312" w:eastAsia="仿宋_GB2312" w:cs="仿宋_GB2312"/>
          <w:sz w:val="20"/>
          <w:szCs w:val="20"/>
        </w:rPr>
      </w:pPr>
    </w:p>
    <w:p>
      <w:pPr>
        <w:spacing w:line="600" w:lineRule="exact"/>
        <w:jc w:val="center"/>
        <w:rPr>
          <w:rFonts w:ascii="仿宋_GB2312" w:hAnsi="仿宋_GB2312" w:eastAsia="仿宋_GB2312" w:cs="仿宋_GB2312"/>
          <w:sz w:val="20"/>
          <w:szCs w:val="20"/>
        </w:rPr>
      </w:pPr>
    </w:p>
    <w:p>
      <w:pPr>
        <w:pStyle w:val="2"/>
        <w:spacing w:before="93"/>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144"/>
        <w:gridCol w:w="1140"/>
        <w:gridCol w:w="1995"/>
        <w:gridCol w:w="1410"/>
        <w:gridCol w:w="1365"/>
        <w:gridCol w:w="2757"/>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(2021年学生资助经费项目)</w:t>
            </w:r>
          </w:p>
        </w:tc>
      </w:tr>
      <w:tr>
        <w:tblPrEx>
          <w:tblCellMar>
            <w:top w:w="0" w:type="dxa"/>
            <w:left w:w="108" w:type="dxa"/>
            <w:bottom w:w="0" w:type="dxa"/>
            <w:right w:w="108" w:type="dxa"/>
          </w:tblCellMar>
        </w:tblPrEx>
        <w:trPr>
          <w:trHeight w:val="254" w:hRule="atLeast"/>
        </w:trPr>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22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1095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1095</w:t>
            </w:r>
          </w:p>
        </w:tc>
      </w:tr>
      <w:tr>
        <w:tblPrEx>
          <w:tblCellMar>
            <w:top w:w="0" w:type="dxa"/>
            <w:left w:w="108" w:type="dxa"/>
            <w:bottom w:w="0" w:type="dxa"/>
            <w:right w:w="108" w:type="dxa"/>
          </w:tblCellMar>
        </w:tblPrEx>
        <w:trPr>
          <w:trHeight w:val="555" w:hRule="atLeast"/>
        </w:trPr>
        <w:tc>
          <w:tcPr>
            <w:tcW w:w="2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1095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1095</w:t>
            </w:r>
          </w:p>
        </w:tc>
      </w:tr>
      <w:tr>
        <w:tblPrEx>
          <w:tblCellMar>
            <w:top w:w="0" w:type="dxa"/>
            <w:left w:w="108" w:type="dxa"/>
            <w:bottom w:w="0" w:type="dxa"/>
            <w:right w:w="108" w:type="dxa"/>
          </w:tblCellMar>
        </w:tblPrEx>
        <w:trPr>
          <w:trHeight w:val="341" w:hRule="atLeast"/>
        </w:trPr>
        <w:tc>
          <w:tcPr>
            <w:tcW w:w="2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4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解决学院大约4000多人*2500元、我贫困助学生的生活费，极大地缓解了农村贫困学生的困难，体现了党和国家对贫困大学生的关心。</w:t>
            </w:r>
          </w:p>
          <w:p>
            <w:pPr>
              <w:pStyle w:val="2"/>
              <w:spacing w:before="93"/>
              <w:rPr>
                <w:rFonts w:hAnsi="仿宋_GB2312" w:cs="仿宋_GB2312"/>
                <w:sz w:val="20"/>
                <w:szCs w:val="20"/>
              </w:rPr>
            </w:pPr>
          </w:p>
          <w:p>
            <w:pPr>
              <w:pStyle w:val="2"/>
              <w:spacing w:before="93"/>
              <w:rPr>
                <w:rFonts w:hAnsi="仿宋_GB2312" w:cs="仿宋_GB2312"/>
                <w:sz w:val="20"/>
                <w:szCs w:val="20"/>
              </w:rPr>
            </w:pPr>
          </w:p>
        </w:tc>
        <w:tc>
          <w:tcPr>
            <w:tcW w:w="412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2021年发放国家奖学金10人，金额8万元；国家励志奖学金325人，金额162.5万元；2021年秋季国家助学金3085人，金额509.025万元；春季助学金2795人，金额459.561万元，通过奖优助困的方式激励学生不断奋进，形成良好学风。(实际发放金额1139.1万元，人数4822人，1095万是预拨款，具体执行按教育厅当年实际下拨名额执行）</w:t>
            </w:r>
          </w:p>
        </w:tc>
      </w:tr>
      <w:tr>
        <w:tblPrEx>
          <w:tblCellMar>
            <w:top w:w="0" w:type="dxa"/>
            <w:left w:w="108" w:type="dxa"/>
            <w:bottom w:w="0" w:type="dxa"/>
            <w:right w:w="108" w:type="dxa"/>
          </w:tblCellMar>
        </w:tblPrEx>
        <w:trPr>
          <w:trHeight w:val="693" w:hRule="atLeast"/>
        </w:trPr>
        <w:tc>
          <w:tcPr>
            <w:tcW w:w="114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数量指标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受惠学生人次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jc w:val="center"/>
              <w:textAlignment w:val="bottom"/>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》4000</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6215（人数4822人）根据国家资助政策要求，助学金按学年评定，2021年春季助学金为2020年秋季评定，2021秋季助学金为当年评定，因此有学生在两学年重复获得，重复人数为1393人，实际受助人数为6215-1393=4822人</w:t>
            </w:r>
          </w:p>
        </w:tc>
      </w:tr>
      <w:tr>
        <w:tblPrEx>
          <w:tblCellMar>
            <w:top w:w="0" w:type="dxa"/>
            <w:left w:w="108" w:type="dxa"/>
            <w:bottom w:w="0" w:type="dxa"/>
            <w:right w:w="108" w:type="dxa"/>
          </w:tblCellMar>
        </w:tblPrEx>
        <w:trPr>
          <w:trHeight w:val="415"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按时发放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12月之前</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已按要求完成发放</w:t>
            </w: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学生认可度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评审期间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一学年</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一学年</w:t>
            </w:r>
          </w:p>
        </w:tc>
      </w:tr>
      <w:tr>
        <w:tblPrEx>
          <w:tblCellMar>
            <w:top w:w="0" w:type="dxa"/>
            <w:left w:w="108" w:type="dxa"/>
            <w:bottom w:w="0" w:type="dxa"/>
            <w:right w:w="108" w:type="dxa"/>
          </w:tblCellMar>
        </w:tblPrEx>
        <w:trPr>
          <w:trHeight w:val="530" w:hRule="atLeast"/>
        </w:trPr>
        <w:tc>
          <w:tcPr>
            <w:tcW w:w="114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spacing w:line="600" w:lineRule="exact"/>
        <w:jc w:val="center"/>
        <w:rPr>
          <w:rFonts w:ascii="仿宋_GB2312" w:hAnsi="仿宋_GB2312" w:eastAsia="仿宋_GB2312" w:cs="仿宋_GB2312"/>
          <w:sz w:val="20"/>
          <w:szCs w:val="20"/>
        </w:rPr>
      </w:pPr>
    </w:p>
    <w:tbl>
      <w:tblPr>
        <w:tblStyle w:val="13"/>
        <w:tblpPr w:leftFromText="180" w:rightFromText="180" w:vertAnchor="text" w:horzAnchor="page" w:tblpX="1271" w:tblpY="354"/>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both"/>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(两校区评估项目)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color w:val="000000" w:themeColor="text1"/>
                <w:sz w:val="20"/>
                <w:szCs w:val="20"/>
                <w14:textFill>
                  <w14:solidFill>
                    <w14:schemeClr w14:val="tx1"/>
                  </w14:solidFill>
                </w14:textFill>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由于成都市整体规划调整，我院青羊区文家校区属于迁出范围，经请示主管部门商务厅，同意将两校区整体置换搬迁，异地选址重建，使学院能有更好的发展。目前文家校区和和盛校区处置需要评估，故编制预算用于两校区的资产评估</w:t>
            </w:r>
          </w:p>
          <w:p>
            <w:pPr>
              <w:pStyle w:val="2"/>
              <w:spacing w:before="93"/>
              <w:rPr>
                <w:rFonts w:hAnsi="仿宋_GB2312" w:cs="仿宋_GB2312"/>
                <w:sz w:val="20"/>
                <w:szCs w:val="20"/>
              </w:rPr>
            </w:pPr>
          </w:p>
          <w:p>
            <w:pPr>
              <w:pStyle w:val="2"/>
              <w:spacing w:before="93"/>
              <w:rPr>
                <w:rFonts w:hAnsi="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由于我院新校区建设项目谈判未达到预期工作进度，向机关事务管理局咨询后被告知评估结果仅一年有效。经院长办公会、党委会审议通过，将2021年专项预算中两校区评估的费用进行了调整。故2021年暂未开展两校区资产评估工作。</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2021年11月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评估成本</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低</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评估估值</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低成本下的高估值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教职工满意度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bl>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234"/>
        <w:gridCol w:w="1125"/>
        <w:gridCol w:w="1935"/>
        <w:gridCol w:w="1455"/>
        <w:gridCol w:w="1593"/>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（教育教学成本（学生费用）项目）</w:t>
            </w:r>
          </w:p>
        </w:tc>
      </w:tr>
      <w:tr>
        <w:tblPrEx>
          <w:tblCellMar>
            <w:top w:w="0" w:type="dxa"/>
            <w:left w:w="108" w:type="dxa"/>
            <w:bottom w:w="0" w:type="dxa"/>
            <w:right w:w="108" w:type="dxa"/>
          </w:tblCellMar>
        </w:tblPrEx>
        <w:trPr>
          <w:trHeight w:val="254" w:hRule="atLeast"/>
        </w:trPr>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23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382.5</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290.32</w:t>
            </w:r>
          </w:p>
        </w:tc>
      </w:tr>
      <w:tr>
        <w:tblPrEx>
          <w:tblCellMar>
            <w:top w:w="0" w:type="dxa"/>
            <w:left w:w="108" w:type="dxa"/>
            <w:bottom w:w="0" w:type="dxa"/>
            <w:right w:w="108" w:type="dxa"/>
          </w:tblCellMar>
        </w:tblPrEx>
        <w:trPr>
          <w:trHeight w:val="555" w:hRule="atLeast"/>
        </w:trPr>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288</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258.63</w:t>
            </w:r>
          </w:p>
        </w:tc>
      </w:tr>
      <w:tr>
        <w:tblPrEx>
          <w:tblCellMar>
            <w:top w:w="0" w:type="dxa"/>
            <w:left w:w="108" w:type="dxa"/>
            <w:bottom w:w="0" w:type="dxa"/>
            <w:right w:w="108" w:type="dxa"/>
          </w:tblCellMar>
        </w:tblPrEx>
        <w:trPr>
          <w:trHeight w:val="341" w:hRule="atLeast"/>
        </w:trPr>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94.5</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31.69</w:t>
            </w:r>
          </w:p>
        </w:tc>
      </w:tr>
      <w:tr>
        <w:tblPrEx>
          <w:tblCellMar>
            <w:top w:w="0" w:type="dxa"/>
            <w:left w:w="108" w:type="dxa"/>
            <w:bottom w:w="0" w:type="dxa"/>
            <w:right w:w="108" w:type="dxa"/>
          </w:tblCellMar>
        </w:tblPrEx>
        <w:trPr>
          <w:trHeight w:val="217"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5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4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51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确保每个学生顺利完成军训，获得2个学分的军训学分，达到增强学生国防意识与锻炼身体素质的目的；风险补偿金项目促进了助学贷款工作健康持续的开展，为贫寒学子学业顺利完成提供了有力保障。校方责任险及实习责任险能有效的规避了教育管理的风险，降低了学校办学成本，化解了由意外伤害事故引发的“家校”矛盾，有利于和谐、平安校园的建设。</w:t>
            </w:r>
          </w:p>
          <w:p>
            <w:pPr>
              <w:pStyle w:val="2"/>
              <w:spacing w:before="93"/>
              <w:rPr>
                <w:rFonts w:hAnsi="仿宋_GB2312" w:cs="仿宋_GB2312"/>
                <w:sz w:val="20"/>
                <w:szCs w:val="20"/>
              </w:rPr>
            </w:pPr>
          </w:p>
        </w:tc>
        <w:tc>
          <w:tcPr>
            <w:tcW w:w="40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2021年我院顺利完成了2020级和2021级学生军训，每位参训学生获得了2个学分的军训学分，较好达到了增强学生国防意识与锻炼身体素质的目的。</w:t>
            </w:r>
          </w:p>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2021年发放校内奖学金868人，金额54.4万元；临时困难补助17人，金额1.25万元；学费减免22人金额7.455万元；勤工勤工助学1759人次，缓解了家庭经济困难学生就学的经济压力，通过学生身边熟悉的榜样激励广大学生不断进步，实现了资助育人的目的</w:t>
            </w:r>
          </w:p>
        </w:tc>
      </w:tr>
      <w:tr>
        <w:tblPrEx>
          <w:tblCellMar>
            <w:top w:w="0" w:type="dxa"/>
            <w:left w:w="108" w:type="dxa"/>
            <w:bottom w:w="0" w:type="dxa"/>
            <w:right w:w="108" w:type="dxa"/>
          </w:tblCellMar>
        </w:tblPrEx>
        <w:trPr>
          <w:trHeight w:val="693" w:hRule="atLeast"/>
        </w:trPr>
        <w:tc>
          <w:tcPr>
            <w:tcW w:w="12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贫困生人数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4500人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4062人</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93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军训人数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7000人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6700人</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p>
        </w:tc>
        <w:tc>
          <w:tcPr>
            <w:tcW w:w="193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勤工助学人次</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2000人次</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1759人次</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社会影响力</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12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spacing w:line="600" w:lineRule="exact"/>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p>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(高压线入地工程项目)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106.46</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106.46</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为了学院运动场建设项目的顺利实施，根据国家电力部门相关规定，高压线必须入地才能保证师生人身安全需要。</w:t>
            </w:r>
          </w:p>
          <w:p>
            <w:pPr>
              <w:pStyle w:val="2"/>
              <w:spacing w:before="93"/>
              <w:rPr>
                <w:rFonts w:hAnsi="仿宋_GB2312" w:cs="仿宋_GB2312"/>
                <w:sz w:val="20"/>
                <w:szCs w:val="20"/>
              </w:rPr>
            </w:pPr>
          </w:p>
          <w:p>
            <w:pPr>
              <w:pStyle w:val="2"/>
              <w:spacing w:before="93"/>
              <w:rPr>
                <w:rFonts w:hAnsi="仿宋_GB2312" w:cs="仿宋_GB2312"/>
                <w:sz w:val="20"/>
                <w:szCs w:val="20"/>
              </w:rPr>
            </w:pPr>
          </w:p>
          <w:p>
            <w:pPr>
              <w:pStyle w:val="2"/>
              <w:spacing w:before="93"/>
              <w:rPr>
                <w:rFonts w:hAnsi="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已经全部完成并达到了相关要求，保障了师生人身安全需求。</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高压线施工长度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600米</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466米（优化了线路）</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达到国家相关规定</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12月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12月</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可使用年限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&gt;=15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&gt;=15</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jc w:val="center"/>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p>
          <w:p>
            <w:pPr>
              <w:widowControl/>
              <w:jc w:val="center"/>
              <w:textAlignment w:val="center"/>
              <w:rPr>
                <w:rFonts w:ascii="宋体" w:hAnsi="宋体" w:cs="宋体"/>
                <w:b/>
                <w:color w:val="000000"/>
                <w:sz w:val="32"/>
                <w:szCs w:val="32"/>
              </w:rPr>
            </w:pPr>
          </w:p>
          <w:p>
            <w:pPr>
              <w:widowControl/>
              <w:jc w:val="center"/>
              <w:textAlignment w:val="center"/>
              <w:rPr>
                <w:rFonts w:ascii="宋体" w:hAnsi="宋体" w:cs="宋体"/>
                <w:b/>
                <w:color w:val="000000"/>
                <w:sz w:val="32"/>
                <w:szCs w:val="32"/>
              </w:rPr>
            </w:pPr>
          </w:p>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(新校区设计费项目)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因成都市城市规划调整，我院拟将现有文家校区、和盛校区整体置换搬迁，拟在异地新征地800-1000亩建设新校区，目前初步选址卭崃羊安，特预算150万元，用于新校区规划设计费用。</w:t>
            </w:r>
          </w:p>
          <w:p>
            <w:pPr>
              <w:pStyle w:val="2"/>
              <w:spacing w:before="93"/>
              <w:rPr>
                <w:rFonts w:hAnsi="仿宋_GB2312" w:cs="仿宋_GB2312"/>
                <w:sz w:val="20"/>
                <w:szCs w:val="20"/>
              </w:rPr>
            </w:pPr>
          </w:p>
          <w:p>
            <w:pPr>
              <w:pStyle w:val="2"/>
              <w:spacing w:before="93"/>
              <w:rPr>
                <w:rFonts w:hAnsi="仿宋_GB2312" w:cs="仿宋_GB2312"/>
                <w:sz w:val="20"/>
                <w:szCs w:val="20"/>
              </w:rPr>
            </w:pPr>
          </w:p>
          <w:p>
            <w:pPr>
              <w:pStyle w:val="2"/>
              <w:spacing w:before="93"/>
              <w:rPr>
                <w:rFonts w:hAnsi="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未完成（因为政府在实际征地过程中手续复杂未征到相关土地所以无法实施规划设计）</w:t>
            </w:r>
          </w:p>
        </w:tc>
      </w:tr>
      <w:tr>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设计占地范围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1000亩</w:t>
            </w:r>
          </w:p>
        </w:tc>
        <w:tc>
          <w:tcPr>
            <w:tcW w:w="246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该项目暂停实施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设计效果</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设计成本</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低</w:t>
            </w: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设计使用年限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50年</w:t>
            </w: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bl>
    <w:p>
      <w:pPr>
        <w:spacing w:line="600" w:lineRule="exact"/>
        <w:jc w:val="center"/>
        <w:rPr>
          <w:rFonts w:ascii="仿宋_GB2312" w:hAnsi="仿宋_GB2312" w:eastAsia="仿宋_GB2312" w:cs="仿宋_GB2312"/>
          <w:sz w:val="20"/>
          <w:szCs w:val="20"/>
        </w:rPr>
      </w:pPr>
    </w:p>
    <w:p>
      <w:r>
        <w:br w:type="page"/>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534"/>
        <w:gridCol w:w="491"/>
        <w:gridCol w:w="814"/>
        <w:gridCol w:w="356"/>
        <w:gridCol w:w="1675"/>
        <w:gridCol w:w="1218"/>
        <w:gridCol w:w="1146"/>
        <w:gridCol w:w="108"/>
        <w:gridCol w:w="2469"/>
      </w:tblGrid>
      <w:tr>
        <w:tblPrEx>
          <w:tblCellMar>
            <w:top w:w="0" w:type="dxa"/>
            <w:left w:w="108" w:type="dxa"/>
            <w:bottom w:w="0" w:type="dxa"/>
            <w:right w:w="108" w:type="dxa"/>
          </w:tblCellMar>
        </w:tblPrEx>
        <w:trPr>
          <w:trHeight w:val="675" w:hRule="atLeast"/>
        </w:trPr>
        <w:tc>
          <w:tcPr>
            <w:tcW w:w="9811"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校企合作专业共建费用项目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28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240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134.2</w:t>
            </w:r>
          </w:p>
        </w:tc>
      </w:tr>
      <w:tr>
        <w:tblPrEx>
          <w:tblCellMar>
            <w:top w:w="0" w:type="dxa"/>
            <w:left w:w="108" w:type="dxa"/>
            <w:bottom w:w="0" w:type="dxa"/>
            <w:right w:w="108" w:type="dxa"/>
          </w:tblCellMar>
        </w:tblPrEx>
        <w:trPr>
          <w:trHeight w:val="555" w:hRule="atLeast"/>
        </w:trPr>
        <w:tc>
          <w:tcPr>
            <w:tcW w:w="2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240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134.2</w:t>
            </w:r>
          </w:p>
        </w:tc>
      </w:tr>
      <w:tr>
        <w:tblPrEx>
          <w:tblCellMar>
            <w:top w:w="0" w:type="dxa"/>
            <w:left w:w="108" w:type="dxa"/>
            <w:bottom w:w="0" w:type="dxa"/>
            <w:right w:w="108" w:type="dxa"/>
          </w:tblCellMar>
        </w:tblPrEx>
        <w:trPr>
          <w:trHeight w:val="341" w:hRule="atLeast"/>
        </w:trPr>
        <w:tc>
          <w:tcPr>
            <w:tcW w:w="2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5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3752" w:hRule="atLeast"/>
        </w:trPr>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5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院应用技术系两个年级4个专业共计1104名专科学生与北大青鸟合作共建专业，设计艺术系两个专业267名大学专科生与完美世界合作共建专业。根据川府发【2020】14号文精神，校企共建班经费由学院生均拨款安排资金解决。本专项经费可以解决我院连个系部6个专业，共计1371名共建专业学生完成学业以及专业技能拓展、就业技能提升及就业后顾之忧。为解决因国家政策变化带来的1000余名学生及家长的遗留问题，为社会稳定提供保障。</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根据合同，企业继续向学院2019级共建专业全体学生，2020级共建专业全体学生提供专业建设、教学管理等服务工作。2019级共建专业人数确认为480人，服务时间为第三学年度，购买服务费用标准为2500元/生.学年；2020级共建专业人数确认为424人，服务时间为第二、三学年度，费用标准为第二学年3500元/生.学年，第三学年2500元/生.学年。2021年度实际支付费用，2019级60万元，2020级74.20万元，总计134.20万元</w:t>
            </w:r>
          </w:p>
        </w:tc>
      </w:tr>
      <w:tr>
        <w:tblPrEx>
          <w:tblCellMar>
            <w:top w:w="0" w:type="dxa"/>
            <w:left w:w="108" w:type="dxa"/>
            <w:bottom w:w="0" w:type="dxa"/>
            <w:right w:w="108" w:type="dxa"/>
          </w:tblCellMar>
        </w:tblPrEx>
        <w:trPr>
          <w:trHeight w:val="693" w:hRule="atLeast"/>
        </w:trPr>
        <w:tc>
          <w:tcPr>
            <w:tcW w:w="15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305"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北大青鸟合作班学生人次*单价</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1104*1600</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2019级，480*2500/2=60万元</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2020级，424*3500/2=74.20万元</w:t>
            </w:r>
          </w:p>
        </w:tc>
      </w:tr>
      <w:tr>
        <w:tblPrEx>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教学成果</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学年制</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学年制</w:t>
            </w: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参与企业建设</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深度参与</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深度参与</w:t>
            </w: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客户认可度</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15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学生满意度</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w:t>
            </w:r>
          </w:p>
        </w:tc>
      </w:tr>
      <w:tr>
        <w:tblPrEx>
          <w:tblCellMar>
            <w:top w:w="0" w:type="dxa"/>
            <w:left w:w="108" w:type="dxa"/>
            <w:bottom w:w="0" w:type="dxa"/>
            <w:right w:w="108" w:type="dxa"/>
          </w:tblCellMar>
        </w:tblPrEx>
        <w:trPr>
          <w:trHeight w:val="675" w:hRule="atLeast"/>
        </w:trPr>
        <w:tc>
          <w:tcPr>
            <w:tcW w:w="9811"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深度贫困县人才振兴工程项目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60.16</w:t>
            </w:r>
          </w:p>
        </w:tc>
      </w:tr>
      <w:tr>
        <w:tblPrEx>
          <w:tblCellMar>
            <w:top w:w="0" w:type="dxa"/>
            <w:left w:w="108" w:type="dxa"/>
            <w:bottom w:w="0" w:type="dxa"/>
            <w:right w:w="108" w:type="dxa"/>
          </w:tblCellMar>
        </w:tblPrEx>
        <w:trPr>
          <w:trHeight w:val="555" w:hRule="atLeast"/>
        </w:trPr>
        <w:tc>
          <w:tcPr>
            <w:tcW w:w="31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60.16</w:t>
            </w:r>
          </w:p>
        </w:tc>
      </w:tr>
      <w:tr>
        <w:tblPrEx>
          <w:tblCellMar>
            <w:top w:w="0" w:type="dxa"/>
            <w:left w:w="108" w:type="dxa"/>
            <w:bottom w:w="0" w:type="dxa"/>
            <w:right w:w="108" w:type="dxa"/>
          </w:tblCellMar>
        </w:tblPrEx>
        <w:trPr>
          <w:trHeight w:val="341" w:hRule="atLeast"/>
        </w:trPr>
        <w:tc>
          <w:tcPr>
            <w:tcW w:w="31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支持现有三个年纪三个班次67人次及2021年度新招生的深度扶贫地区的彝区、藏区学生完成学业的所需要的生活费、培养费保障，形成学生核心职业技能素养。</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支持现有三个年纪三个班次67人次及2021年度新招生的深度扶贫地区的彝区、藏区学生完成学业的所需要的生活费、培养费保障，形成学生核心职业技能素养。</w:t>
            </w:r>
          </w:p>
        </w:tc>
      </w:tr>
      <w:tr>
        <w:tblPrEx>
          <w:tblCellMar>
            <w:top w:w="0" w:type="dxa"/>
            <w:left w:w="108" w:type="dxa"/>
            <w:bottom w:w="0" w:type="dxa"/>
            <w:right w:w="108" w:type="dxa"/>
          </w:tblCellMar>
        </w:tblPrEx>
        <w:trPr>
          <w:trHeight w:val="693" w:hRule="atLeast"/>
        </w:trPr>
        <w:tc>
          <w:tcPr>
            <w:tcW w:w="2025"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现在人数</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67</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53</w:t>
            </w: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人均标准</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11000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11000</w:t>
            </w: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发放时间</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按月</w:t>
            </w: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社会评价</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spacing w:line="600" w:lineRule="exact"/>
        <w:jc w:val="center"/>
        <w:outlineLvl w:val="9"/>
        <w:rPr>
          <w:rFonts w:ascii="黑体" w:hAnsi="黑体" w:eastAsia="黑体"/>
          <w:sz w:val="44"/>
          <w:szCs w:val="44"/>
        </w:rPr>
      </w:pPr>
    </w:p>
    <w:p>
      <w:r>
        <w:br w:type="page"/>
      </w:r>
    </w:p>
    <w:tbl>
      <w:tblPr>
        <w:tblStyle w:val="13"/>
        <w:tblpPr w:leftFromText="180" w:rightFromText="180" w:vertAnchor="text" w:horzAnchor="page" w:tblpX="1215" w:tblpY="33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(上年结转-物业管理费项目)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179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79</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179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179</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2"/>
              <w:spacing w:before="93"/>
              <w:rPr>
                <w:rFonts w:hAnsi="仿宋_GB2312" w:cs="仿宋_GB2312"/>
                <w:sz w:val="20"/>
                <w:szCs w:val="20"/>
              </w:rPr>
            </w:pPr>
            <w:r>
              <w:rPr>
                <w:rFonts w:hint="eastAsia" w:hAnsi="仿宋_GB2312" w:cs="仿宋_GB2312"/>
                <w:sz w:val="20"/>
                <w:szCs w:val="20"/>
              </w:rPr>
              <w:t>完成学院基础物业管理工作，包含主要内容为：1、和盛校区、文家东、西校区公共环境卫生保洁服务；2、绿化养护；3、学院公共设施设备日常运行管理、水电维修维护，新增加设备的安装；4、食堂抽油烟道和供水锅炉清洗服务；5、全院化粪池清淘及管道疏通服务，各类管道的更换、安装（含地下管网的维修、更换，挖掘、填埋、地面恢复等）6、校内、外垃圾清运服务；7、临时物资搬运及用工等，确保校园环境良好，维修及时到位</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全部完成并达到了相关要求。</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完成校区个数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3个</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完成效果</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2021年12月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2021年12月</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物资节约率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节约30%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节约30%</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&gt;=80</w:t>
            </w:r>
          </w:p>
        </w:tc>
      </w:tr>
    </w:tbl>
    <w:p>
      <w:pPr>
        <w:pStyle w:val="3"/>
      </w:pPr>
    </w:p>
    <w:p>
      <w:pPr>
        <w:spacing w:line="600" w:lineRule="exact"/>
        <w:rPr>
          <w:rFonts w:ascii="黑体" w:hAnsi="黑体" w:eastAsia="黑体"/>
          <w:sz w:val="44"/>
          <w:szCs w:val="44"/>
        </w:rPr>
      </w:pPr>
    </w:p>
    <w:tbl>
      <w:tblPr>
        <w:tblStyle w:val="13"/>
        <w:tblpPr w:leftFromText="180" w:rightFromText="180" w:vertAnchor="text" w:horzAnchor="page" w:tblpX="1242" w:tblpY="343"/>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sz w:val="32"/>
                <w:szCs w:val="32"/>
              </w:rPr>
              <w:t>2021年100万元以上（含）特定目标类部门预算项目绩效目标自评</w:t>
            </w:r>
          </w:p>
          <w:p>
            <w:pPr>
              <w:widowControl/>
              <w:jc w:val="center"/>
              <w:textAlignment w:val="center"/>
              <w:rPr>
                <w:rFonts w:ascii="宋体" w:hAnsi="宋体" w:cs="宋体"/>
                <w:b/>
                <w:sz w:val="32"/>
                <w:szCs w:val="32"/>
              </w:rPr>
            </w:pPr>
            <w:r>
              <w:rPr>
                <w:rFonts w:hint="eastAsia" w:ascii="宋体" w:hAnsi="宋体" w:cs="宋体"/>
                <w:b/>
                <w:sz w:val="32"/>
                <w:szCs w:val="32"/>
              </w:rPr>
              <w:t>(上年结转-学生运动场建设项目)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四川省商务厅322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28.7</w:t>
            </w:r>
          </w:p>
        </w:tc>
      </w:tr>
      <w:tr>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28.7</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2"/>
              <w:spacing w:before="93"/>
              <w:rPr>
                <w:rFonts w:hAnsi="仿宋_GB2312" w:cs="仿宋_GB2312"/>
                <w:sz w:val="20"/>
                <w:szCs w:val="20"/>
              </w:rPr>
            </w:pPr>
            <w:r>
              <w:rPr>
                <w:rFonts w:hint="eastAsia" w:hAnsi="仿宋_GB2312" w:cs="仿宋_GB2312"/>
                <w:sz w:val="20"/>
                <w:szCs w:val="20"/>
              </w:rPr>
              <w:t>我院新校区建院以来，一直缺乏运动场地，办学功能不齐全，未达到国家高职院校办学的基本要求，现和盛校区有五千余学生，活动场地非常有限，体育课基本上不能进行田径等项目的教学，目前我们基本上是在硬化的水泥地面进行各项体育活动，使体育课存在安全隐患，为此学院全院师生十分期盼尽快建设运动场地，满足体育教学和学生活动的需要，同时满足我院体闲体育专业人才培养工作的需要。</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0"/>
                <w:szCs w:val="20"/>
              </w:rPr>
            </w:pPr>
            <w:r>
              <w:rPr>
                <w:rFonts w:hint="eastAsia" w:ascii="仿宋_GB2312" w:hAnsi="仿宋_GB2312" w:eastAsia="仿宋_GB2312" w:cs="仿宋_GB2312"/>
                <w:sz w:val="20"/>
                <w:szCs w:val="20"/>
              </w:rPr>
              <w:t>完成了立项决议前期工作（可行性研究、文物勘测、红线图、净地报告、规划条件、用地预审与选址意见书、设计图初设、专家评审、财评），预计2022年12月完成该项目。</w:t>
            </w:r>
          </w:p>
        </w:tc>
      </w:tr>
      <w:tr>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标准体育场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20000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进行中</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实用，美观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实用，美观</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2021</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未完成</w:t>
            </w:r>
          </w:p>
        </w:tc>
      </w:tr>
      <w:tr>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p>
        </w:tc>
      </w:tr>
      <w:tr>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可使用年限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进行中</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≥98</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0"/>
                <w:szCs w:val="20"/>
              </w:rPr>
            </w:pPr>
            <w:r>
              <w:rPr>
                <w:rFonts w:hint="eastAsia" w:ascii="仿宋_GB2312" w:hAnsi="仿宋_GB2312" w:eastAsia="仿宋_GB2312" w:cs="仿宋_GB2312"/>
                <w:sz w:val="20"/>
                <w:szCs w:val="20"/>
              </w:rPr>
              <w:t>进行中</w:t>
            </w:r>
          </w:p>
        </w:tc>
      </w:tr>
    </w:tbl>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bookmarkEnd w:id="70"/>
    <w:bookmarkEnd w:id="73"/>
    <w:p>
      <w:pPr>
        <w:rPr>
          <w:rFonts w:ascii="黑体" w:hAnsi="黑体" w:eastAsia="黑体"/>
          <w:sz w:val="44"/>
          <w:szCs w:val="44"/>
        </w:rPr>
      </w:pPr>
      <w:bookmarkStart w:id="74" w:name="_Toc9801"/>
      <w:bookmarkStart w:id="75" w:name="_Toc15396619"/>
      <w:bookmarkStart w:id="76" w:name="_Toc27242"/>
    </w:p>
    <w:p>
      <w:pPr>
        <w:pStyle w:val="2"/>
        <w:spacing w:before="93"/>
      </w:pPr>
    </w:p>
    <w:p>
      <w:pPr>
        <w:pStyle w:val="3"/>
        <w:spacing w:before="93"/>
      </w:pPr>
    </w:p>
    <w:p>
      <w:pPr>
        <w:pStyle w:val="3"/>
        <w:spacing w:before="93"/>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74"/>
    </w:p>
    <w:p>
      <w:pPr>
        <w:pStyle w:val="5"/>
        <w:rPr>
          <w:rFonts w:ascii="黑体" w:hAnsi="黑体" w:eastAsia="黑体" w:cs="黑体"/>
          <w:bCs w:val="0"/>
        </w:rPr>
      </w:pPr>
      <w:r>
        <w:rPr>
          <w:rFonts w:hint="eastAsia" w:ascii="黑体" w:hAnsi="黑体" w:eastAsia="黑体" w:cs="黑体"/>
          <w:bCs w:val="0"/>
        </w:rPr>
        <w:t>一、收入支出决算总表</w:t>
      </w:r>
      <w:bookmarkEnd w:id="75"/>
      <w:bookmarkEnd w:id="76"/>
    </w:p>
    <w:p>
      <w:pPr>
        <w:pStyle w:val="5"/>
        <w:rPr>
          <w:rFonts w:ascii="黑体" w:hAnsi="黑体" w:eastAsia="黑体" w:cs="黑体"/>
          <w:bCs w:val="0"/>
        </w:rPr>
      </w:pPr>
      <w:bookmarkStart w:id="77" w:name="_Toc15396620"/>
      <w:bookmarkStart w:id="78" w:name="_Toc24431"/>
      <w:r>
        <w:rPr>
          <w:rFonts w:hint="eastAsia" w:ascii="黑体" w:hAnsi="黑体" w:eastAsia="黑体" w:cs="黑体"/>
          <w:bCs w:val="0"/>
        </w:rPr>
        <w:t>二、收入决算表</w:t>
      </w:r>
      <w:bookmarkEnd w:id="77"/>
      <w:bookmarkEnd w:id="78"/>
    </w:p>
    <w:p>
      <w:pPr>
        <w:pStyle w:val="5"/>
        <w:rPr>
          <w:rFonts w:ascii="黑体" w:hAnsi="黑体" w:eastAsia="黑体" w:cs="黑体"/>
          <w:bCs w:val="0"/>
        </w:rPr>
      </w:pPr>
      <w:bookmarkStart w:id="79" w:name="_Toc15396621"/>
      <w:bookmarkStart w:id="80" w:name="_Toc2199"/>
      <w:r>
        <w:rPr>
          <w:rFonts w:hint="eastAsia" w:ascii="黑体" w:hAnsi="黑体" w:eastAsia="黑体" w:cs="黑体"/>
          <w:bCs w:val="0"/>
        </w:rPr>
        <w:t>三、支出决算表</w:t>
      </w:r>
      <w:bookmarkEnd w:id="79"/>
      <w:bookmarkEnd w:id="80"/>
    </w:p>
    <w:p>
      <w:pPr>
        <w:pStyle w:val="5"/>
        <w:rPr>
          <w:rFonts w:ascii="黑体" w:hAnsi="黑体" w:eastAsia="黑体" w:cs="黑体"/>
          <w:bCs w:val="0"/>
        </w:rPr>
      </w:pPr>
      <w:bookmarkStart w:id="81" w:name="_Toc15396622"/>
      <w:bookmarkStart w:id="82" w:name="_Toc20266"/>
      <w:r>
        <w:rPr>
          <w:rFonts w:hint="eastAsia" w:ascii="黑体" w:hAnsi="黑体" w:eastAsia="黑体" w:cs="黑体"/>
          <w:bCs w:val="0"/>
        </w:rPr>
        <w:t>四、财政拨款收入支出决算总表</w:t>
      </w:r>
      <w:bookmarkEnd w:id="81"/>
      <w:bookmarkEnd w:id="82"/>
    </w:p>
    <w:p>
      <w:pPr>
        <w:pStyle w:val="5"/>
        <w:rPr>
          <w:rFonts w:ascii="黑体" w:hAnsi="黑体" w:eastAsia="黑体" w:cs="黑体"/>
          <w:bCs w:val="0"/>
        </w:rPr>
      </w:pPr>
      <w:bookmarkStart w:id="83" w:name="_Toc15396623"/>
      <w:bookmarkStart w:id="84" w:name="_Toc25920"/>
      <w:r>
        <w:rPr>
          <w:rFonts w:hint="eastAsia" w:ascii="黑体" w:hAnsi="黑体" w:eastAsia="黑体" w:cs="黑体"/>
          <w:bCs w:val="0"/>
        </w:rPr>
        <w:t>五、财政拨款支出决算明细表</w:t>
      </w:r>
      <w:bookmarkEnd w:id="83"/>
      <w:bookmarkEnd w:id="84"/>
      <w:bookmarkStart w:id="85" w:name="_Toc15396624"/>
    </w:p>
    <w:p>
      <w:pPr>
        <w:pStyle w:val="5"/>
        <w:rPr>
          <w:rFonts w:ascii="黑体" w:hAnsi="黑体" w:eastAsia="黑体" w:cs="黑体"/>
          <w:bCs w:val="0"/>
        </w:rPr>
      </w:pPr>
      <w:bookmarkStart w:id="86" w:name="_Toc5570"/>
      <w:r>
        <w:rPr>
          <w:rFonts w:hint="eastAsia" w:ascii="黑体" w:hAnsi="黑体" w:eastAsia="黑体" w:cs="黑体"/>
          <w:bCs w:val="0"/>
        </w:rPr>
        <w:t>六、一般公共预算财政拨款支出决算表</w:t>
      </w:r>
      <w:bookmarkEnd w:id="85"/>
      <w:bookmarkEnd w:id="86"/>
    </w:p>
    <w:p>
      <w:pPr>
        <w:pStyle w:val="5"/>
        <w:rPr>
          <w:rFonts w:ascii="黑体" w:hAnsi="黑体" w:eastAsia="黑体" w:cs="黑体"/>
          <w:bCs w:val="0"/>
        </w:rPr>
      </w:pPr>
      <w:bookmarkStart w:id="87" w:name="_Toc15396625"/>
      <w:bookmarkStart w:id="88" w:name="_Toc23388"/>
      <w:r>
        <w:rPr>
          <w:rFonts w:hint="eastAsia" w:ascii="黑体" w:hAnsi="黑体" w:eastAsia="黑体" w:cs="黑体"/>
          <w:bCs w:val="0"/>
        </w:rPr>
        <w:t>七、一般公共预算财政拨款支出决算明细表</w:t>
      </w:r>
      <w:bookmarkEnd w:id="87"/>
      <w:bookmarkEnd w:id="88"/>
    </w:p>
    <w:p>
      <w:pPr>
        <w:pStyle w:val="5"/>
        <w:rPr>
          <w:rFonts w:ascii="黑体" w:hAnsi="黑体" w:eastAsia="黑体" w:cs="黑体"/>
          <w:bCs w:val="0"/>
        </w:rPr>
      </w:pPr>
      <w:bookmarkStart w:id="89" w:name="_Toc14043"/>
      <w:bookmarkStart w:id="90" w:name="_Toc15396626"/>
      <w:r>
        <w:rPr>
          <w:rFonts w:hint="eastAsia" w:ascii="黑体" w:hAnsi="黑体" w:eastAsia="黑体" w:cs="黑体"/>
          <w:bCs w:val="0"/>
        </w:rPr>
        <w:t>八、一般公共预算财政拨款基本支出决算表</w:t>
      </w:r>
      <w:bookmarkEnd w:id="89"/>
      <w:bookmarkEnd w:id="90"/>
    </w:p>
    <w:p>
      <w:pPr>
        <w:pStyle w:val="5"/>
        <w:rPr>
          <w:rFonts w:ascii="黑体" w:hAnsi="黑体" w:eastAsia="黑体" w:cs="黑体"/>
          <w:bCs w:val="0"/>
        </w:rPr>
      </w:pPr>
      <w:bookmarkStart w:id="91" w:name="_Toc15396627"/>
      <w:bookmarkStart w:id="92" w:name="_Toc19045"/>
      <w:r>
        <w:rPr>
          <w:rFonts w:hint="eastAsia" w:ascii="黑体" w:hAnsi="黑体" w:eastAsia="黑体" w:cs="黑体"/>
          <w:bCs w:val="0"/>
        </w:rPr>
        <w:t>九、一般公共预算财政拨款项目支出决算表</w:t>
      </w:r>
      <w:bookmarkEnd w:id="91"/>
      <w:bookmarkEnd w:id="92"/>
    </w:p>
    <w:p>
      <w:pPr>
        <w:pStyle w:val="5"/>
        <w:rPr>
          <w:rFonts w:ascii="黑体" w:hAnsi="黑体" w:eastAsia="黑体" w:cs="黑体"/>
          <w:bCs w:val="0"/>
        </w:rPr>
      </w:pPr>
      <w:bookmarkStart w:id="93" w:name="_Toc23782"/>
      <w:bookmarkStart w:id="94" w:name="_Toc15396628"/>
      <w:r>
        <w:rPr>
          <w:rFonts w:hint="eastAsia" w:ascii="黑体" w:hAnsi="黑体" w:eastAsia="黑体" w:cs="黑体"/>
          <w:bCs w:val="0"/>
        </w:rPr>
        <w:t>十、一般公共预算财政拨款“三公”经费支出决算表</w:t>
      </w:r>
      <w:bookmarkEnd w:id="93"/>
      <w:bookmarkEnd w:id="94"/>
    </w:p>
    <w:p>
      <w:pPr>
        <w:pStyle w:val="5"/>
        <w:rPr>
          <w:rFonts w:ascii="黑体" w:hAnsi="黑体" w:eastAsia="黑体" w:cs="黑体"/>
          <w:bCs w:val="0"/>
        </w:rPr>
      </w:pPr>
      <w:bookmarkStart w:id="95" w:name="_Toc16505"/>
      <w:bookmarkStart w:id="96" w:name="_Toc15396629"/>
      <w:r>
        <w:rPr>
          <w:rFonts w:hint="eastAsia" w:ascii="黑体" w:hAnsi="黑体" w:eastAsia="黑体" w:cs="黑体"/>
          <w:bCs w:val="0"/>
        </w:rPr>
        <w:t>十一、政府性基金预算财政拨款收入支出决算表</w:t>
      </w:r>
      <w:bookmarkEnd w:id="95"/>
      <w:bookmarkEnd w:id="96"/>
    </w:p>
    <w:p>
      <w:pPr>
        <w:pStyle w:val="5"/>
        <w:rPr>
          <w:rFonts w:ascii="黑体" w:hAnsi="黑体" w:eastAsia="黑体" w:cs="黑体"/>
          <w:bCs w:val="0"/>
        </w:rPr>
      </w:pPr>
      <w:bookmarkStart w:id="97" w:name="_Toc32044"/>
      <w:bookmarkStart w:id="98" w:name="_Toc15396630"/>
      <w:r>
        <w:rPr>
          <w:rFonts w:hint="eastAsia" w:ascii="黑体" w:hAnsi="黑体" w:eastAsia="黑体" w:cs="黑体"/>
          <w:bCs w:val="0"/>
        </w:rPr>
        <w:t>十二、政府性基金预算财政拨款“三公”经费支出决算表</w:t>
      </w:r>
      <w:bookmarkEnd w:id="97"/>
      <w:bookmarkEnd w:id="98"/>
    </w:p>
    <w:p>
      <w:pPr>
        <w:pStyle w:val="5"/>
        <w:rPr>
          <w:rFonts w:ascii="黑体" w:hAnsi="黑体" w:eastAsia="黑体" w:cs="黑体"/>
          <w:bCs w:val="0"/>
        </w:rPr>
      </w:pPr>
      <w:bookmarkStart w:id="99" w:name="_Toc9916"/>
      <w:bookmarkStart w:id="100" w:name="_Toc15396631"/>
      <w:r>
        <w:rPr>
          <w:rFonts w:hint="eastAsia" w:ascii="黑体" w:hAnsi="黑体" w:eastAsia="黑体" w:cs="黑体"/>
          <w:bCs w:val="0"/>
        </w:rPr>
        <w:t>十三、国有资本经营预算财政拨款收入支出决算表</w:t>
      </w:r>
      <w:bookmarkEnd w:id="99"/>
      <w:bookmarkEnd w:id="100"/>
    </w:p>
    <w:p>
      <w:pPr>
        <w:rPr>
          <w:rFonts w:ascii="黑体" w:hAnsi="黑体" w:eastAsia="黑体" w:cs="黑体"/>
          <w:b/>
          <w:sz w:val="32"/>
          <w:szCs w:val="32"/>
        </w:rPr>
      </w:pPr>
      <w:r>
        <w:rPr>
          <w:rFonts w:hint="eastAsia" w:ascii="黑体" w:hAnsi="黑体" w:eastAsia="黑体" w:cs="黑体"/>
          <w:b/>
          <w:sz w:val="32"/>
          <w:szCs w:val="32"/>
        </w:rPr>
        <w:t>十四、国有资本经营预算财政拨款支出决算表</w:t>
      </w:r>
    </w:p>
    <w:sectPr>
      <w:footerReference r:id="rId7" w:type="default"/>
      <w:pgSz w:w="11906" w:h="16838"/>
      <w:pgMar w:top="1440" w:right="1800" w:bottom="1383"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zg2OGE5Njk3N2U0YmZjODIxNzAzMGM2MTE2Y2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174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C6B87"/>
    <w:rsid w:val="001D22D7"/>
    <w:rsid w:val="001D7531"/>
    <w:rsid w:val="001E2CD6"/>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A66"/>
    <w:rsid w:val="002D5A6E"/>
    <w:rsid w:val="002D6D05"/>
    <w:rsid w:val="002F1818"/>
    <w:rsid w:val="002F567B"/>
    <w:rsid w:val="003216A9"/>
    <w:rsid w:val="00333249"/>
    <w:rsid w:val="00335A74"/>
    <w:rsid w:val="00352F94"/>
    <w:rsid w:val="0036561B"/>
    <w:rsid w:val="0037013F"/>
    <w:rsid w:val="00380C92"/>
    <w:rsid w:val="003A484F"/>
    <w:rsid w:val="003A4883"/>
    <w:rsid w:val="003B0BE0"/>
    <w:rsid w:val="003B0C1B"/>
    <w:rsid w:val="003B688C"/>
    <w:rsid w:val="003C0291"/>
    <w:rsid w:val="003C1844"/>
    <w:rsid w:val="003C39AE"/>
    <w:rsid w:val="003C7B60"/>
    <w:rsid w:val="003D0C0F"/>
    <w:rsid w:val="003D1FB2"/>
    <w:rsid w:val="003D530C"/>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0C8C"/>
    <w:rsid w:val="005664BB"/>
    <w:rsid w:val="00566FFA"/>
    <w:rsid w:val="0057481D"/>
    <w:rsid w:val="0058486E"/>
    <w:rsid w:val="00585B33"/>
    <w:rsid w:val="0059014D"/>
    <w:rsid w:val="005B5C64"/>
    <w:rsid w:val="005C5337"/>
    <w:rsid w:val="005C6BD0"/>
    <w:rsid w:val="005D1C8B"/>
    <w:rsid w:val="005D468D"/>
    <w:rsid w:val="005D5CED"/>
    <w:rsid w:val="005E29EB"/>
    <w:rsid w:val="005F1A4C"/>
    <w:rsid w:val="00605688"/>
    <w:rsid w:val="006070AF"/>
    <w:rsid w:val="00607E6C"/>
    <w:rsid w:val="006101B1"/>
    <w:rsid w:val="00614E44"/>
    <w:rsid w:val="0062270A"/>
    <w:rsid w:val="00622830"/>
    <w:rsid w:val="00623DA0"/>
    <w:rsid w:val="00625739"/>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0355"/>
    <w:rsid w:val="007127B7"/>
    <w:rsid w:val="00715663"/>
    <w:rsid w:val="0071798E"/>
    <w:rsid w:val="0073361F"/>
    <w:rsid w:val="007416B6"/>
    <w:rsid w:val="00746F48"/>
    <w:rsid w:val="0075404D"/>
    <w:rsid w:val="0075736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377F"/>
    <w:rsid w:val="007F55FC"/>
    <w:rsid w:val="007F5665"/>
    <w:rsid w:val="00800112"/>
    <w:rsid w:val="00813348"/>
    <w:rsid w:val="00823F6F"/>
    <w:rsid w:val="008253BB"/>
    <w:rsid w:val="0083706E"/>
    <w:rsid w:val="008408F6"/>
    <w:rsid w:val="008423A5"/>
    <w:rsid w:val="008464A0"/>
    <w:rsid w:val="00850625"/>
    <w:rsid w:val="00853718"/>
    <w:rsid w:val="00855221"/>
    <w:rsid w:val="00857AEB"/>
    <w:rsid w:val="00860645"/>
    <w:rsid w:val="00871F71"/>
    <w:rsid w:val="00872FD8"/>
    <w:rsid w:val="00885AF4"/>
    <w:rsid w:val="008921C2"/>
    <w:rsid w:val="008939CD"/>
    <w:rsid w:val="008B768C"/>
    <w:rsid w:val="008C4DB1"/>
    <w:rsid w:val="008C4EAF"/>
    <w:rsid w:val="008C5176"/>
    <w:rsid w:val="008C7FD0"/>
    <w:rsid w:val="008E1DE7"/>
    <w:rsid w:val="008E707C"/>
    <w:rsid w:val="008F1603"/>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988"/>
    <w:rsid w:val="009931C3"/>
    <w:rsid w:val="009B2C43"/>
    <w:rsid w:val="009B4EAE"/>
    <w:rsid w:val="009B7573"/>
    <w:rsid w:val="009C22F4"/>
    <w:rsid w:val="009C2A4B"/>
    <w:rsid w:val="009C2E98"/>
    <w:rsid w:val="009D3447"/>
    <w:rsid w:val="009D4711"/>
    <w:rsid w:val="009F1185"/>
    <w:rsid w:val="009F18CD"/>
    <w:rsid w:val="009F2A13"/>
    <w:rsid w:val="009F7527"/>
    <w:rsid w:val="00A010DB"/>
    <w:rsid w:val="00A048A0"/>
    <w:rsid w:val="00A04EB0"/>
    <w:rsid w:val="00A13CC1"/>
    <w:rsid w:val="00A16847"/>
    <w:rsid w:val="00A237D8"/>
    <w:rsid w:val="00A268C4"/>
    <w:rsid w:val="00A307CD"/>
    <w:rsid w:val="00A331C8"/>
    <w:rsid w:val="00A36034"/>
    <w:rsid w:val="00A40A00"/>
    <w:rsid w:val="00A4142F"/>
    <w:rsid w:val="00A422EB"/>
    <w:rsid w:val="00A45BB7"/>
    <w:rsid w:val="00A56DF2"/>
    <w:rsid w:val="00A56E6E"/>
    <w:rsid w:val="00A67AB5"/>
    <w:rsid w:val="00A733B2"/>
    <w:rsid w:val="00A741C2"/>
    <w:rsid w:val="00A75EAA"/>
    <w:rsid w:val="00A84616"/>
    <w:rsid w:val="00A91760"/>
    <w:rsid w:val="00A93B00"/>
    <w:rsid w:val="00A93C21"/>
    <w:rsid w:val="00A9582A"/>
    <w:rsid w:val="00AA0597"/>
    <w:rsid w:val="00AA0DC2"/>
    <w:rsid w:val="00AA0FF4"/>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744"/>
    <w:rsid w:val="00BB4DF0"/>
    <w:rsid w:val="00BC289F"/>
    <w:rsid w:val="00BC2D50"/>
    <w:rsid w:val="00BC5361"/>
    <w:rsid w:val="00BC5460"/>
    <w:rsid w:val="00BC6B50"/>
    <w:rsid w:val="00BD0E25"/>
    <w:rsid w:val="00BF5BD6"/>
    <w:rsid w:val="00C03E31"/>
    <w:rsid w:val="00C33E72"/>
    <w:rsid w:val="00C354B2"/>
    <w:rsid w:val="00C35554"/>
    <w:rsid w:val="00C373F0"/>
    <w:rsid w:val="00C42709"/>
    <w:rsid w:val="00C533CC"/>
    <w:rsid w:val="00C5751C"/>
    <w:rsid w:val="00C61BFC"/>
    <w:rsid w:val="00C62B85"/>
    <w:rsid w:val="00C62DD2"/>
    <w:rsid w:val="00C65438"/>
    <w:rsid w:val="00C87FD8"/>
    <w:rsid w:val="00C91381"/>
    <w:rsid w:val="00C91CBB"/>
    <w:rsid w:val="00CA607F"/>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5E9B"/>
    <w:rsid w:val="00DC410D"/>
    <w:rsid w:val="00DC5A81"/>
    <w:rsid w:val="00DC68CA"/>
    <w:rsid w:val="00DC7CBA"/>
    <w:rsid w:val="00DD73B7"/>
    <w:rsid w:val="00DE6B5E"/>
    <w:rsid w:val="00DF28BC"/>
    <w:rsid w:val="00DF34B9"/>
    <w:rsid w:val="00E01053"/>
    <w:rsid w:val="00E07ACF"/>
    <w:rsid w:val="00E22230"/>
    <w:rsid w:val="00E331A1"/>
    <w:rsid w:val="00E33202"/>
    <w:rsid w:val="00E336A9"/>
    <w:rsid w:val="00E472B1"/>
    <w:rsid w:val="00E50624"/>
    <w:rsid w:val="00E568DF"/>
    <w:rsid w:val="00E64269"/>
    <w:rsid w:val="00E82267"/>
    <w:rsid w:val="00E853CE"/>
    <w:rsid w:val="00E867B6"/>
    <w:rsid w:val="00EA010F"/>
    <w:rsid w:val="00EB2819"/>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74BB"/>
    <w:rsid w:val="00F754A1"/>
    <w:rsid w:val="00F81FD9"/>
    <w:rsid w:val="00F841AA"/>
    <w:rsid w:val="00F84A94"/>
    <w:rsid w:val="00F87E96"/>
    <w:rsid w:val="00FA23E8"/>
    <w:rsid w:val="00FB7BE0"/>
    <w:rsid w:val="00FD3CC1"/>
    <w:rsid w:val="00FF1E02"/>
    <w:rsid w:val="00FF30B4"/>
    <w:rsid w:val="01405C46"/>
    <w:rsid w:val="015C1AB2"/>
    <w:rsid w:val="01B82FA7"/>
    <w:rsid w:val="01D96C22"/>
    <w:rsid w:val="01DC77F8"/>
    <w:rsid w:val="02F84493"/>
    <w:rsid w:val="02FE6E5A"/>
    <w:rsid w:val="03253AFD"/>
    <w:rsid w:val="03256AED"/>
    <w:rsid w:val="045C1D31"/>
    <w:rsid w:val="05677521"/>
    <w:rsid w:val="060E41DB"/>
    <w:rsid w:val="06812407"/>
    <w:rsid w:val="06D97352"/>
    <w:rsid w:val="074757AD"/>
    <w:rsid w:val="07B05960"/>
    <w:rsid w:val="07B2269D"/>
    <w:rsid w:val="07CA446B"/>
    <w:rsid w:val="09191DCA"/>
    <w:rsid w:val="09526C07"/>
    <w:rsid w:val="097F7444"/>
    <w:rsid w:val="09995076"/>
    <w:rsid w:val="0A2032A3"/>
    <w:rsid w:val="0A2543E3"/>
    <w:rsid w:val="0A6A7872"/>
    <w:rsid w:val="0A7D1B78"/>
    <w:rsid w:val="0A8D2950"/>
    <w:rsid w:val="0AE9345B"/>
    <w:rsid w:val="0AF53DB5"/>
    <w:rsid w:val="0B69457F"/>
    <w:rsid w:val="0B8A37D8"/>
    <w:rsid w:val="0CAF61E6"/>
    <w:rsid w:val="0CEF0CD8"/>
    <w:rsid w:val="0D445B34"/>
    <w:rsid w:val="0D4B4161"/>
    <w:rsid w:val="0DBB3B3A"/>
    <w:rsid w:val="0E693043"/>
    <w:rsid w:val="0EB43F87"/>
    <w:rsid w:val="0ECD05EC"/>
    <w:rsid w:val="0EE478F4"/>
    <w:rsid w:val="0EF822C3"/>
    <w:rsid w:val="0F4820E9"/>
    <w:rsid w:val="0F9A3F0B"/>
    <w:rsid w:val="0FED14FF"/>
    <w:rsid w:val="10C055FF"/>
    <w:rsid w:val="10E02E12"/>
    <w:rsid w:val="10E42944"/>
    <w:rsid w:val="118107EC"/>
    <w:rsid w:val="11946D05"/>
    <w:rsid w:val="11DD6519"/>
    <w:rsid w:val="11EA27DD"/>
    <w:rsid w:val="11FF551A"/>
    <w:rsid w:val="12766D60"/>
    <w:rsid w:val="12B10F0A"/>
    <w:rsid w:val="1319256F"/>
    <w:rsid w:val="14050425"/>
    <w:rsid w:val="14222B74"/>
    <w:rsid w:val="14C377DF"/>
    <w:rsid w:val="14E338E5"/>
    <w:rsid w:val="151B2D31"/>
    <w:rsid w:val="16BB723D"/>
    <w:rsid w:val="16BC1812"/>
    <w:rsid w:val="16C8040E"/>
    <w:rsid w:val="16E62C33"/>
    <w:rsid w:val="17770599"/>
    <w:rsid w:val="17E00B5F"/>
    <w:rsid w:val="18015F3F"/>
    <w:rsid w:val="1834712E"/>
    <w:rsid w:val="18A1557C"/>
    <w:rsid w:val="18FA4CC0"/>
    <w:rsid w:val="191403F0"/>
    <w:rsid w:val="19257F5C"/>
    <w:rsid w:val="19603A01"/>
    <w:rsid w:val="19A14650"/>
    <w:rsid w:val="19A846E9"/>
    <w:rsid w:val="1AE7531F"/>
    <w:rsid w:val="1BE8440E"/>
    <w:rsid w:val="1C0C673C"/>
    <w:rsid w:val="1C1A5657"/>
    <w:rsid w:val="1C1E6826"/>
    <w:rsid w:val="1C6101C2"/>
    <w:rsid w:val="1C8E406A"/>
    <w:rsid w:val="1D155CEE"/>
    <w:rsid w:val="1D210EF3"/>
    <w:rsid w:val="1D431671"/>
    <w:rsid w:val="1E6804A0"/>
    <w:rsid w:val="1F6405E8"/>
    <w:rsid w:val="1F9A61DE"/>
    <w:rsid w:val="1FC654C7"/>
    <w:rsid w:val="1FD97310"/>
    <w:rsid w:val="205B41FE"/>
    <w:rsid w:val="20691B7F"/>
    <w:rsid w:val="207B2334"/>
    <w:rsid w:val="20DA787E"/>
    <w:rsid w:val="20F57F95"/>
    <w:rsid w:val="21664343"/>
    <w:rsid w:val="219F72DD"/>
    <w:rsid w:val="2298179E"/>
    <w:rsid w:val="22C80936"/>
    <w:rsid w:val="230028E2"/>
    <w:rsid w:val="231548CA"/>
    <w:rsid w:val="231F1821"/>
    <w:rsid w:val="233314C7"/>
    <w:rsid w:val="2337131B"/>
    <w:rsid w:val="240371BF"/>
    <w:rsid w:val="241E307D"/>
    <w:rsid w:val="24B32756"/>
    <w:rsid w:val="2513511A"/>
    <w:rsid w:val="25C741E6"/>
    <w:rsid w:val="2603007A"/>
    <w:rsid w:val="26D06F00"/>
    <w:rsid w:val="26F471BF"/>
    <w:rsid w:val="274E5F81"/>
    <w:rsid w:val="274F0899"/>
    <w:rsid w:val="276F27B6"/>
    <w:rsid w:val="27842671"/>
    <w:rsid w:val="27EA58A7"/>
    <w:rsid w:val="282D7BAA"/>
    <w:rsid w:val="283E6EDA"/>
    <w:rsid w:val="29707805"/>
    <w:rsid w:val="297B7724"/>
    <w:rsid w:val="29FD04D3"/>
    <w:rsid w:val="2A0728FF"/>
    <w:rsid w:val="2ABE7A3E"/>
    <w:rsid w:val="2AC31382"/>
    <w:rsid w:val="2B54647E"/>
    <w:rsid w:val="2B913928"/>
    <w:rsid w:val="2C4E2AFD"/>
    <w:rsid w:val="2D0143E4"/>
    <w:rsid w:val="2E7E6DA4"/>
    <w:rsid w:val="2E9A7791"/>
    <w:rsid w:val="2EFA178C"/>
    <w:rsid w:val="303A1D50"/>
    <w:rsid w:val="303E093C"/>
    <w:rsid w:val="30B46D73"/>
    <w:rsid w:val="319F7F4E"/>
    <w:rsid w:val="327B0ED2"/>
    <w:rsid w:val="33003256"/>
    <w:rsid w:val="33216534"/>
    <w:rsid w:val="33657808"/>
    <w:rsid w:val="338163B7"/>
    <w:rsid w:val="338F00D9"/>
    <w:rsid w:val="34696909"/>
    <w:rsid w:val="355506C2"/>
    <w:rsid w:val="35566799"/>
    <w:rsid w:val="35961DD2"/>
    <w:rsid w:val="35A8316D"/>
    <w:rsid w:val="35ED3757"/>
    <w:rsid w:val="360C0C09"/>
    <w:rsid w:val="37751639"/>
    <w:rsid w:val="38C72DDF"/>
    <w:rsid w:val="3922196A"/>
    <w:rsid w:val="395F496C"/>
    <w:rsid w:val="397A617E"/>
    <w:rsid w:val="39AE70AB"/>
    <w:rsid w:val="39F5707E"/>
    <w:rsid w:val="3A95134C"/>
    <w:rsid w:val="3AF0216A"/>
    <w:rsid w:val="3C0C0783"/>
    <w:rsid w:val="3CAA4150"/>
    <w:rsid w:val="3EC3259E"/>
    <w:rsid w:val="3ED03127"/>
    <w:rsid w:val="3F9A199D"/>
    <w:rsid w:val="3F9F3A96"/>
    <w:rsid w:val="3FA17103"/>
    <w:rsid w:val="3FB422EA"/>
    <w:rsid w:val="40552625"/>
    <w:rsid w:val="40604F5C"/>
    <w:rsid w:val="41ED49D8"/>
    <w:rsid w:val="420B7071"/>
    <w:rsid w:val="42335E67"/>
    <w:rsid w:val="425B7BF2"/>
    <w:rsid w:val="42D62EAF"/>
    <w:rsid w:val="438201E7"/>
    <w:rsid w:val="43E41555"/>
    <w:rsid w:val="44401387"/>
    <w:rsid w:val="44821EA5"/>
    <w:rsid w:val="4486238E"/>
    <w:rsid w:val="44B26298"/>
    <w:rsid w:val="44CA0C21"/>
    <w:rsid w:val="450D48BE"/>
    <w:rsid w:val="450F18EC"/>
    <w:rsid w:val="45DF65BD"/>
    <w:rsid w:val="46665873"/>
    <w:rsid w:val="468A37AF"/>
    <w:rsid w:val="46F25071"/>
    <w:rsid w:val="47081233"/>
    <w:rsid w:val="47194528"/>
    <w:rsid w:val="475A473F"/>
    <w:rsid w:val="47694067"/>
    <w:rsid w:val="47AD55AE"/>
    <w:rsid w:val="47C23D1B"/>
    <w:rsid w:val="493C27E9"/>
    <w:rsid w:val="496F39ED"/>
    <w:rsid w:val="49BC64FE"/>
    <w:rsid w:val="49FF41D3"/>
    <w:rsid w:val="4B0829F8"/>
    <w:rsid w:val="4B3A10BC"/>
    <w:rsid w:val="4BE068DB"/>
    <w:rsid w:val="4BF6002B"/>
    <w:rsid w:val="4C375791"/>
    <w:rsid w:val="4C765865"/>
    <w:rsid w:val="4C9767DB"/>
    <w:rsid w:val="4CC1104E"/>
    <w:rsid w:val="4DA62712"/>
    <w:rsid w:val="4E013DEC"/>
    <w:rsid w:val="4E0D2791"/>
    <w:rsid w:val="4EBA4B6B"/>
    <w:rsid w:val="4ECE2238"/>
    <w:rsid w:val="50012F2D"/>
    <w:rsid w:val="50F204E0"/>
    <w:rsid w:val="51DB4B86"/>
    <w:rsid w:val="51F2791E"/>
    <w:rsid w:val="52736A24"/>
    <w:rsid w:val="529453FF"/>
    <w:rsid w:val="52CA0C50"/>
    <w:rsid w:val="550C718D"/>
    <w:rsid w:val="55333C3E"/>
    <w:rsid w:val="556048E1"/>
    <w:rsid w:val="566C4BDA"/>
    <w:rsid w:val="56CE4A87"/>
    <w:rsid w:val="58216D91"/>
    <w:rsid w:val="58B55FDB"/>
    <w:rsid w:val="5A22624F"/>
    <w:rsid w:val="5AF61C41"/>
    <w:rsid w:val="5B47282D"/>
    <w:rsid w:val="5C9108EC"/>
    <w:rsid w:val="5CE704FB"/>
    <w:rsid w:val="5D5372BE"/>
    <w:rsid w:val="5D5D50E4"/>
    <w:rsid w:val="5D850596"/>
    <w:rsid w:val="5D9B4391"/>
    <w:rsid w:val="5DB93D9B"/>
    <w:rsid w:val="5DF93FDB"/>
    <w:rsid w:val="5E194AEC"/>
    <w:rsid w:val="5E3C677A"/>
    <w:rsid w:val="5F1A4D0E"/>
    <w:rsid w:val="5F9B311B"/>
    <w:rsid w:val="5FDB56A6"/>
    <w:rsid w:val="5FF73573"/>
    <w:rsid w:val="60204FD1"/>
    <w:rsid w:val="60E0472F"/>
    <w:rsid w:val="61201EA8"/>
    <w:rsid w:val="613D0762"/>
    <w:rsid w:val="6162474A"/>
    <w:rsid w:val="61927F74"/>
    <w:rsid w:val="6247695E"/>
    <w:rsid w:val="63127FA5"/>
    <w:rsid w:val="6377665C"/>
    <w:rsid w:val="64621BB9"/>
    <w:rsid w:val="64CA39A1"/>
    <w:rsid w:val="65486CB5"/>
    <w:rsid w:val="657F3B1C"/>
    <w:rsid w:val="66391F1D"/>
    <w:rsid w:val="667C005C"/>
    <w:rsid w:val="667C4275"/>
    <w:rsid w:val="66B477F6"/>
    <w:rsid w:val="673E3563"/>
    <w:rsid w:val="6775042B"/>
    <w:rsid w:val="679C6C08"/>
    <w:rsid w:val="67FB5549"/>
    <w:rsid w:val="68294653"/>
    <w:rsid w:val="68851CC2"/>
    <w:rsid w:val="697D65C5"/>
    <w:rsid w:val="6A303D00"/>
    <w:rsid w:val="6B1B2333"/>
    <w:rsid w:val="6B3E7DF1"/>
    <w:rsid w:val="6BAC2A36"/>
    <w:rsid w:val="6BEA6052"/>
    <w:rsid w:val="6C4A05C8"/>
    <w:rsid w:val="6C635F46"/>
    <w:rsid w:val="6C6C7D5A"/>
    <w:rsid w:val="6D585C07"/>
    <w:rsid w:val="6DF70DF9"/>
    <w:rsid w:val="6E3B36DC"/>
    <w:rsid w:val="6E601456"/>
    <w:rsid w:val="6EDB1A70"/>
    <w:rsid w:val="708144AD"/>
    <w:rsid w:val="70C20D61"/>
    <w:rsid w:val="70F83EB3"/>
    <w:rsid w:val="71774D8A"/>
    <w:rsid w:val="71A73AE2"/>
    <w:rsid w:val="72706893"/>
    <w:rsid w:val="72734D90"/>
    <w:rsid w:val="72804FAC"/>
    <w:rsid w:val="72AB1347"/>
    <w:rsid w:val="73EB05CF"/>
    <w:rsid w:val="74561EEC"/>
    <w:rsid w:val="746D7236"/>
    <w:rsid w:val="74D32754"/>
    <w:rsid w:val="751452AC"/>
    <w:rsid w:val="757A0475"/>
    <w:rsid w:val="75814F70"/>
    <w:rsid w:val="766B1435"/>
    <w:rsid w:val="77AD393E"/>
    <w:rsid w:val="780B7492"/>
    <w:rsid w:val="781F6C6B"/>
    <w:rsid w:val="78375A8C"/>
    <w:rsid w:val="7945638E"/>
    <w:rsid w:val="79E7B28D"/>
    <w:rsid w:val="7A49604F"/>
    <w:rsid w:val="7AB70472"/>
    <w:rsid w:val="7AF02F1C"/>
    <w:rsid w:val="7B1C1F73"/>
    <w:rsid w:val="7BBF3030"/>
    <w:rsid w:val="7CA64619"/>
    <w:rsid w:val="7D7358BD"/>
    <w:rsid w:val="7DE93DD1"/>
    <w:rsid w:val="7E181304"/>
    <w:rsid w:val="7E4B0384"/>
    <w:rsid w:val="7F2E23E3"/>
    <w:rsid w:val="7F3E014D"/>
    <w:rsid w:val="7F7D1ACD"/>
    <w:rsid w:val="7F9F20EE"/>
    <w:rsid w:val="7FB67C63"/>
    <w:rsid w:val="7FEA3E31"/>
    <w:rsid w:val="7FEF6C4F"/>
    <w:rsid w:val="9E3A10E2"/>
    <w:rsid w:val="CFEF6EF0"/>
    <w:rsid w:val="D9EE56F3"/>
    <w:rsid w:val="DF7F482E"/>
    <w:rsid w:val="EFDCE58B"/>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Body Text First Indent"/>
    <w:basedOn w:val="2"/>
    <w:qFormat/>
    <w:uiPriority w:val="0"/>
    <w:pPr>
      <w:spacing w:line="500" w:lineRule="exact"/>
      <w:ind w:firstLine="420"/>
    </w:pPr>
    <w:rPr>
      <w:rFonts w:eastAsia="宋体"/>
      <w:sz w:val="28"/>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4"/>
    <w:qFormat/>
    <w:uiPriority w:val="9"/>
    <w:rPr>
      <w:rFonts w:ascii="Times New Roman" w:hAnsi="Times New Roman"/>
      <w:b/>
      <w:bCs/>
      <w:kern w:val="44"/>
      <w:sz w:val="44"/>
      <w:szCs w:val="44"/>
    </w:rPr>
  </w:style>
  <w:style w:type="character" w:customStyle="1" w:styleId="26">
    <w:name w:val="标题 2 字符"/>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6"/>
    <w:qFormat/>
    <w:uiPriority w:val="9"/>
    <w:rPr>
      <w:rFonts w:ascii="Times New Roman" w:hAnsi="Times New Roman"/>
      <w:b/>
      <w:bCs/>
      <w:kern w:val="2"/>
      <w:sz w:val="32"/>
      <w:szCs w:val="32"/>
    </w:rPr>
  </w:style>
  <w:style w:type="paragraph" w:customStyle="1" w:styleId="30">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media/image1.emf"/><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021&#24180;&#20915;&#31639;&#20844;&#24320;\&#20915;&#31639;&#20844;&#24320;&#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1&#24180;&#20915;&#31639;&#20844;&#24320;\&#20915;&#31639;&#20844;&#24320;&#22270;&#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1&#24180;&#20915;&#31639;&#20844;&#24320;\&#20915;&#31639;&#20844;&#24320;&#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1&#24180;&#20915;&#31639;&#20844;&#24320;\&#20915;&#31639;&#20844;&#24320;&#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1851851851852"/>
          <c:y val="0.0263157894736842"/>
        </c:manualLayout>
      </c:layout>
      <c:overlay val="false"/>
      <c:txPr>
        <a:bodyPr rot="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title>
    <c:autoTitleDeleted val="false"/>
    <c:plotArea>
      <c:layout>
        <c:manualLayout>
          <c:layoutTarget val="inner"/>
          <c:xMode val="edge"/>
          <c:yMode val="edge"/>
          <c:x val="0.1545"/>
          <c:y val="0.21"/>
          <c:w val="0.82125"/>
          <c:h val="0.6225"/>
        </c:manualLayout>
      </c:layout>
      <c:barChart>
        <c:barDir val="col"/>
        <c:grouping val="stacked"/>
        <c:varyColors val="false"/>
        <c:ser>
          <c:idx val="0"/>
          <c:order val="0"/>
          <c:tx>
            <c:strRef>
              <c:f>[决算公开图表.xls]Sheet1!$A$1</c:f>
              <c:strCache>
                <c:ptCount val="1"/>
                <c:pt idx="0">
                  <c:v>收、支决算总计变动情况图</c:v>
                </c:pt>
              </c:strCache>
            </c:strRef>
          </c:tx>
          <c:spPr>
            <a:solidFill>
              <a:srgbClr val="0066CC">
                <a:alpha val="100000"/>
              </a:srgbClr>
            </a:solidFill>
            <a:ln w="12700">
              <a:solidFill>
                <a:srgbClr val="000000">
                  <a:alpha val="100000"/>
                </a:srgbClr>
              </a:solidFill>
              <a:prstDash val="solid"/>
            </a:ln>
          </c:spPr>
          <c:invertIfNegative val="false"/>
          <c:dPt>
            <c:idx val="1"/>
            <c:invertIfNegative val="false"/>
            <c:bubble3D val="false"/>
            <c:spPr>
              <a:solidFill>
                <a:srgbClr val="003366">
                  <a:alpha val="100000"/>
                </a:srgbClr>
              </a:solidFill>
              <a:ln w="3175">
                <a:solidFill>
                  <a:srgbClr val="000000">
                    <a:alpha val="100000"/>
                  </a:srgbClr>
                </a:solidFill>
                <a:prstDash val="solid"/>
              </a:ln>
            </c:spPr>
          </c:dPt>
          <c:dPt>
            <c:idx val="2"/>
            <c:invertIfNegative val="false"/>
            <c:bubble3D val="false"/>
            <c:spPr>
              <a:solidFill>
                <a:srgbClr val="800000">
                  <a:alpha val="100000"/>
                </a:srgbClr>
              </a:solidFill>
              <a:ln w="3175">
                <a:solidFill>
                  <a:srgbClr val="000000">
                    <a:alpha val="100000"/>
                  </a:srgbClr>
                </a:solidFill>
                <a:prstDash val="solid"/>
              </a:ln>
            </c:spPr>
          </c:dPt>
          <c:dLbls>
            <c:dLbl>
              <c:idx val="0"/>
              <c:delete val="true"/>
            </c:dLbl>
            <c:dLbl>
              <c:idx val="1"/>
              <c:layout>
                <c:manualLayout>
                  <c:x val="-0.00236406619385343"/>
                  <c:y val="-0.37593984962406"/>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709219858156028"/>
                  <c:y val="-0.383458646616541"/>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[决算公开图表.xls]Sheet1!$A$2:$A$4</c:f>
              <c:strCache>
                <c:ptCount val="3"/>
                <c:pt idx="1">
                  <c:v>2020年</c:v>
                </c:pt>
                <c:pt idx="2">
                  <c:v>2021年</c:v>
                </c:pt>
              </c:strCache>
            </c:strRef>
          </c:cat>
          <c:val>
            <c:numRef>
              <c:f>[决算公开图表.xls]Sheet1!$B$2:$B$4</c:f>
              <c:numCache>
                <c:formatCode>General</c:formatCode>
                <c:ptCount val="3"/>
                <c:pt idx="0">
                  <c:v>0</c:v>
                </c:pt>
                <c:pt idx="1">
                  <c:v>14555.4</c:v>
                </c:pt>
                <c:pt idx="2">
                  <c:v>14584.29</c:v>
                </c:pt>
              </c:numCache>
            </c:numRef>
          </c:val>
        </c:ser>
        <c:dLbls>
          <c:showLegendKey val="false"/>
          <c:showVal val="false"/>
          <c:showCatName val="false"/>
          <c:showSerName val="false"/>
          <c:showPercent val="false"/>
          <c:showBubbleSize val="false"/>
        </c:dLbls>
        <c:gapWidth val="150"/>
        <c:overlap val="100"/>
        <c:axId val="136112384"/>
        <c:axId val="136359936"/>
      </c:barChart>
      <c:catAx>
        <c:axId val="136112384"/>
        <c:scaling>
          <c:orientation val="minMax"/>
        </c:scaling>
        <c:delete val="false"/>
        <c:axPos val="b"/>
        <c:numFmt formatCode="General" sourceLinked="false"/>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36359936"/>
        <c:crosses val="autoZero"/>
        <c:auto val="true"/>
        <c:lblAlgn val="ctr"/>
        <c:lblOffset val="100"/>
        <c:noMultiLvlLbl val="false"/>
      </c:catAx>
      <c:valAx>
        <c:axId val="136359936"/>
        <c:scaling>
          <c:orientation val="minMax"/>
        </c:scaling>
        <c:delete val="false"/>
        <c:axPos val="l"/>
        <c:majorGridlines>
          <c:spPr>
            <a:ln w="3175" cap="flat" cmpd="sng" algn="ctr">
              <a:solidFill>
                <a:srgbClr val="000000">
                  <a:alpha val="100000"/>
                </a:srgbClr>
              </a:solidFill>
              <a:prstDash val="solid"/>
              <a:round/>
            </a:ln>
          </c:spPr>
        </c:majorGridlines>
        <c:numFmt formatCode="General" sourceLinked="false"/>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6112384"/>
        <c:crosses val="autoZero"/>
        <c:crossBetween val="between"/>
        <c:majorUnit val="2000"/>
      </c:valAx>
      <c:spPr>
        <a:solidFill>
          <a:srgbClr val="C0C0C0">
            <a:alpha val="100000"/>
          </a:srgbClr>
        </a:solidFill>
        <a:ln w="12700">
          <a:solidFill>
            <a:srgbClr val="808080">
              <a:alpha val="100000"/>
            </a:srgbClr>
          </a:solidFill>
          <a:prstDash val="solid"/>
        </a:ln>
      </c:spPr>
    </c:plotArea>
    <c:plotVisOnly val="true"/>
    <c:dispBlanksAs val="gap"/>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w="3175">
          <a:noFill/>
        </a:ln>
      </c:spPr>
      <c:txPr>
        <a:bodyPr rot="0" spcFirstLastPara="0" vertOverflow="ellipsis" vert="horz" wrap="square"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title>
    <c:autoTitleDeleted val="false"/>
    <c:plotArea>
      <c:layout/>
      <c:pieChart>
        <c:varyColors val="true"/>
        <c:ser>
          <c:idx val="0"/>
          <c:order val="0"/>
          <c:tx>
            <c:strRef>
              <c:f>[决算公开图表.xls]Sheet1!$B$23</c:f>
              <c:strCache>
                <c:ptCount val="1"/>
                <c:pt idx="0">
                  <c:v>收入决算结构图</c:v>
                </c:pt>
              </c:strCache>
            </c:strRef>
          </c:tx>
          <c:spPr>
            <a:solidFill>
              <a:srgbClr val="9999FF">
                <a:alpha val="100000"/>
              </a:srgbClr>
            </a:solidFill>
            <a:ln w="12700">
              <a:solidFill>
                <a:srgbClr val="000000">
                  <a:alpha val="100000"/>
                </a:srgbClr>
              </a:solidFill>
              <a:prstDash val="solid"/>
            </a:ln>
          </c:spPr>
          <c:explosion val="0"/>
          <c:dPt>
            <c:idx val="0"/>
            <c:bubble3D val="false"/>
            <c:spPr>
              <a:solidFill>
                <a:srgbClr val="003366">
                  <a:alpha val="100000"/>
                </a:srgbClr>
              </a:solidFill>
              <a:ln w="3175">
                <a:solidFill>
                  <a:srgbClr val="000000">
                    <a:alpha val="100000"/>
                  </a:srgbClr>
                </a:solidFill>
                <a:prstDash val="solid"/>
              </a:ln>
            </c:spPr>
          </c:dPt>
          <c:dPt>
            <c:idx val="1"/>
            <c:bubble3D val="false"/>
            <c:spPr>
              <a:solidFill>
                <a:srgbClr val="993366">
                  <a:alpha val="100000"/>
                </a:srgbClr>
              </a:solidFill>
              <a:ln w="12700">
                <a:solidFill>
                  <a:srgbClr val="000000">
                    <a:alpha val="100000"/>
                  </a:srgbClr>
                </a:solidFill>
                <a:prstDash val="solid"/>
              </a:ln>
            </c:spPr>
          </c:dPt>
          <c:dPt>
            <c:idx val="2"/>
            <c:bubble3D val="false"/>
            <c:spPr>
              <a:solidFill>
                <a:srgbClr val="FFFFCC">
                  <a:alpha val="100000"/>
                </a:srgbClr>
              </a:solidFill>
              <a:ln w="12700">
                <a:solidFill>
                  <a:srgbClr val="000000">
                    <a:alpha val="100000"/>
                  </a:srgbClr>
                </a:solidFill>
                <a:prstDash val="solid"/>
              </a:ln>
            </c:spPr>
          </c:dPt>
          <c:dLbls>
            <c:spPr>
              <a:noFill/>
              <a:ln w="3175">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000000">
                          <a:alpha val="100000"/>
                        </a:srgbClr>
                      </a:solidFill>
                      <a:prstDash val="solid"/>
                      <a:round/>
                    </a:ln>
                  </c:spPr>
                </c15:leaderLines>
              </c:ext>
            </c:extLst>
          </c:dLbls>
          <c:cat>
            <c:strRef>
              <c:f>[决算公开图表.xls]Sheet1!$A$24:$A$26</c:f>
              <c:strCache>
                <c:ptCount val="3"/>
                <c:pt idx="0">
                  <c:v>一般公共预算拨款收入</c:v>
                </c:pt>
                <c:pt idx="1">
                  <c:v>事业收入</c:v>
                </c:pt>
                <c:pt idx="2">
                  <c:v>其他收入</c:v>
                </c:pt>
              </c:strCache>
            </c:strRef>
          </c:cat>
          <c:val>
            <c:numRef>
              <c:f>[决算公开图表.xls]Sheet1!$B$24:$B$26</c:f>
              <c:numCache>
                <c:formatCode>General</c:formatCode>
                <c:ptCount val="3"/>
                <c:pt idx="0">
                  <c:v>11878.45</c:v>
                </c:pt>
                <c:pt idx="1">
                  <c:v>2593.67</c:v>
                </c:pt>
                <c:pt idx="2">
                  <c:v>61.91</c:v>
                </c:pt>
              </c:numCache>
            </c:numRef>
          </c:val>
        </c:ser>
        <c:dLbls>
          <c:showLegendKey val="false"/>
          <c:showVal val="false"/>
          <c:showCatName val="false"/>
          <c:showSerName val="false"/>
          <c:showPercent val="false"/>
          <c:showBubbleSize val="false"/>
          <c:showLeaderLines val="true"/>
        </c:dLbls>
        <c:firstSliceAng val="0"/>
      </c:pieChart>
      <c:spPr>
        <a:noFill/>
        <a:ln w="3175">
          <a:noFill/>
        </a:ln>
      </c:spPr>
    </c:plotArea>
    <c:legend>
      <c:legendPos val="b"/>
      <c:layout>
        <c:manualLayout>
          <c:xMode val="edge"/>
          <c:yMode val="edge"/>
          <c:x val="0.04575"/>
          <c:y val="0.87675"/>
          <c:w val="0.9035"/>
          <c:h val="0.105"/>
        </c:manualLayout>
      </c:layout>
      <c:overlay val="false"/>
      <c:spPr>
        <a:solidFill>
          <a:srgbClr val="FFFFFF">
            <a:alpha val="100000"/>
          </a:srgbClr>
        </a:solidFill>
        <a:ln w="3175">
          <a:solidFill>
            <a:srgbClr val="000000">
              <a:alpha val="100000"/>
            </a:srgbClr>
          </a:solidFill>
          <a:prstDash val="solid"/>
        </a:ln>
      </c:spPr>
      <c:txPr>
        <a:bodyPr rot="0" spcFirstLastPara="0" vertOverflow="ellipsis" vert="horz" wrap="square"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323694444444444"/>
          <c:y val="0.212986111111111"/>
          <c:w val="0.352611111111111"/>
          <c:h val="0.587685185185185"/>
        </c:manualLayout>
      </c:layout>
      <c:pieChart>
        <c:varyColors val="true"/>
        <c:ser>
          <c:idx val="0"/>
          <c:order val="0"/>
          <c:tx>
            <c:strRef>
              <c:f>[决算公开图表.xls]Sheet1!$B$88</c:f>
              <c:strCache>
                <c:ptCount val="1"/>
                <c:pt idx="0">
                  <c:v>一般公共预算财政拨款支出决算结构</c:v>
                </c:pt>
              </c:strCache>
            </c:strRef>
          </c:tx>
          <c:spPr>
            <a:solidFill>
              <a:schemeClr val="accent1">
                <a:lumMod val="75000"/>
              </a:schemeClr>
            </a:solidFill>
          </c:spPr>
          <c:explosion val="0"/>
          <c:dPt>
            <c:idx val="0"/>
            <c:bubble3D val="false"/>
            <c:spPr>
              <a:solidFill>
                <a:schemeClr val="accent1">
                  <a:lumMod val="50000"/>
                </a:schemeClr>
              </a:solidFill>
              <a:ln w="19050">
                <a:solidFill>
                  <a:schemeClr val="lt1"/>
                </a:solidFill>
              </a:ln>
              <a:effectLst/>
            </c:spPr>
          </c:dPt>
          <c:dPt>
            <c:idx val="1"/>
            <c:bubble3D val="false"/>
            <c:spPr>
              <a:gradFill>
                <a:gsLst>
                  <a:gs pos="0">
                    <a:srgbClr val="14CD68"/>
                  </a:gs>
                  <a:gs pos="100000">
                    <a:srgbClr val="0B6E38"/>
                  </a:gs>
                </a:gsLst>
                <a:lin ang="5400000" scaled="false"/>
              </a:gradFill>
              <a:ln w="19050">
                <a:solidFill>
                  <a:schemeClr val="lt1"/>
                </a:solidFill>
              </a:ln>
              <a:effectLst/>
            </c:spPr>
          </c:dPt>
          <c:dPt>
            <c:idx val="2"/>
            <c:bubble3D val="false"/>
            <c:spPr>
              <a:gradFill>
                <a:gsLst>
                  <a:gs pos="0">
                    <a:srgbClr val="FE4444"/>
                  </a:gs>
                  <a:gs pos="100000">
                    <a:srgbClr val="832B2B"/>
                  </a:gs>
                </a:gsLst>
                <a:lin ang="5400000" scaled="false"/>
              </a:gradFill>
              <a:ln w="19050">
                <a:solidFill>
                  <a:schemeClr val="lt1"/>
                </a:solidFill>
              </a:ln>
              <a:effectLst/>
            </c:spPr>
          </c:dPt>
          <c:dLbls>
            <c:dLbl>
              <c:idx val="0"/>
              <c:layout>
                <c:manualLayout>
                  <c:x val="-0.184340020981617"/>
                  <c:y val="-0.077693384264924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627065379989463"/>
                  <c:y val="0.0223081433096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18550874029326"/>
                  <c:y val="0.036197048288188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[决算公开图表.xls]Sheet1!$A$89:$A$91</c:f>
              <c:strCache>
                <c:ptCount val="3"/>
                <c:pt idx="0">
                  <c:v>教育支出（类）</c:v>
                </c:pt>
                <c:pt idx="1">
                  <c:v>社会保障和就业（类）</c:v>
                </c:pt>
                <c:pt idx="2">
                  <c:v>卫生健康支出（类）</c:v>
                </c:pt>
              </c:strCache>
            </c:strRef>
          </c:cat>
          <c:val>
            <c:numRef>
              <c:f>[决算公开图表.xls]Sheet1!$B$89:$B$91</c:f>
              <c:numCache>
                <c:formatCode>General</c:formatCode>
                <c:ptCount val="3"/>
                <c:pt idx="0">
                  <c:v>11866.75</c:v>
                </c:pt>
                <c:pt idx="1">
                  <c:v>9.79</c:v>
                </c:pt>
                <c:pt idx="2">
                  <c:v>1.91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119861111111111"/>
          <c:y val="0.88819444444444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3175" cap="flat" cmpd="sng" algn="ctr">
      <a:solidFill>
        <a:srgbClr val="000000"/>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323694444444444"/>
          <c:y val="0.223402777777778"/>
          <c:w val="0.352611111111111"/>
          <c:h val="0.587685185185185"/>
        </c:manualLayout>
      </c:layout>
      <c:pieChart>
        <c:varyColors val="true"/>
        <c:ser>
          <c:idx val="0"/>
          <c:order val="0"/>
          <c:tx>
            <c:strRef>
              <c:f>[决算公开图表.xls]Sheet1!$B$106</c:f>
              <c:strCache>
                <c:ptCount val="1"/>
                <c:pt idx="0">
                  <c:v>“三公”经费财政拨款支出结构</c:v>
                </c:pt>
              </c:strCache>
            </c:strRef>
          </c:tx>
          <c:spPr>
            <a:solidFill>
              <a:schemeClr val="accent1">
                <a:lumMod val="50000"/>
              </a:schemeClr>
            </a:solidFill>
          </c:spPr>
          <c:explosion val="0"/>
          <c:dPt>
            <c:idx val="0"/>
            <c:bubble3D val="false"/>
            <c:spPr>
              <a:solidFill>
                <a:schemeClr val="accent1">
                  <a:lumMod val="50000"/>
                </a:schemeClr>
              </a:solidFill>
              <a:ln w="19050">
                <a:solidFill>
                  <a:schemeClr val="lt1"/>
                </a:solidFill>
              </a:ln>
              <a:effectLst/>
            </c:spPr>
          </c:dPt>
          <c:dPt>
            <c:idx val="1"/>
            <c:bubble3D val="false"/>
            <c:spPr>
              <a:solidFill>
                <a:schemeClr val="accent1">
                  <a:lumMod val="50000"/>
                </a:schemeClr>
              </a:solidFill>
              <a:ln w="19050">
                <a:solidFill>
                  <a:schemeClr val="lt1"/>
                </a:solidFill>
              </a:ln>
              <a:effectLst/>
            </c:spPr>
          </c:dPt>
          <c:dPt>
            <c:idx val="2"/>
            <c:bubble3D val="false"/>
            <c:spPr>
              <a:solidFill>
                <a:schemeClr val="accent1">
                  <a:lumMod val="50000"/>
                </a:schemeClr>
              </a:solidFill>
              <a:ln w="19050">
                <a:solidFill>
                  <a:schemeClr val="lt1"/>
                </a:solidFill>
              </a:ln>
              <a:effectLst/>
            </c:spPr>
          </c:dPt>
          <c:dLbls>
            <c:dLbl>
              <c:idx val="0"/>
              <c:delete val="true"/>
            </c:dLbl>
            <c:dLbl>
              <c:idx val="1"/>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2"/>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[决算公开图表.xls]Sheet1!$A$107:$A$109</c:f>
              <c:strCache>
                <c:ptCount val="3"/>
                <c:pt idx="0">
                  <c:v>因公出国（境）经费</c:v>
                </c:pt>
                <c:pt idx="1">
                  <c:v>公务用车购置及运行维护费</c:v>
                </c:pt>
                <c:pt idx="2">
                  <c:v>公务接待费</c:v>
                </c:pt>
              </c:strCache>
            </c:strRef>
          </c:cat>
          <c:val>
            <c:numRef>
              <c:f>[决算公开图表.xls]Sheet1!$B$107:$B$109</c:f>
              <c:numCache>
                <c:formatCode>General</c:formatCode>
                <c:ptCount val="3"/>
                <c:pt idx="0">
                  <c:v>0</c:v>
                </c:pt>
                <c:pt idx="1">
                  <c:v>17.8</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fals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14155</Words>
  <Characters>15626</Characters>
  <Lines>139</Lines>
  <Paragraphs>39</Paragraphs>
  <TotalTime>4</TotalTime>
  <ScaleCrop>false</ScaleCrop>
  <LinksUpToDate>false</LinksUpToDate>
  <CharactersWithSpaces>15878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2022-08-07T18:23:00Z</cp:lastPrinted>
  <dcterms:modified xsi:type="dcterms:W3CDTF">2023-09-19T10:51:07Z</dcterms:modified>
  <dc:title>四川省***</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07807582E557472790AFB6E244D3791F_13</vt:lpwstr>
  </property>
</Properties>
</file>