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ascii="方正小标宋简体" w:hAnsi="方正小标宋简体" w:eastAsia="方正小标宋简体" w:cs="方正小标宋简体"/>
        </w:rPr>
      </w:pPr>
      <w:bookmarkStart w:id="0" w:name="_Toc71383206"/>
      <w:r>
        <w:rPr>
          <w:rFonts w:hint="eastAsia" w:ascii="方正小标宋简体" w:hAnsi="方正小标宋简体" w:eastAsia="方正小标宋简体" w:cs="方正小标宋简体"/>
        </w:rPr>
        <w:t>2023年1-5月四川电子商务</w:t>
      </w:r>
      <w:bookmarkEnd w:id="0"/>
      <w:r>
        <w:rPr>
          <w:rFonts w:hint="eastAsia" w:ascii="方正小标宋简体" w:hAnsi="方正小标宋简体" w:eastAsia="方正小标宋简体" w:cs="方正小标宋简体"/>
        </w:rPr>
        <w:t>运行情况</w:t>
      </w:r>
    </w:p>
    <w:p>
      <w:pPr>
        <w:pStyle w:val="6"/>
        <w:spacing w:before="156" w:after="156" w:line="580" w:lineRule="exact"/>
        <w:ind w:left="480" w:right="480"/>
      </w:pPr>
      <w:r>
        <w:t>表</w:t>
      </w:r>
      <w:r>
        <w:rPr>
          <w:rFonts w:hint="eastAsia"/>
        </w:rPr>
        <w:t>1</w:t>
      </w:r>
      <w:r>
        <w:tab/>
      </w:r>
      <w:r>
        <w:rPr>
          <w:rFonts w:hint="eastAsia"/>
        </w:rPr>
        <w:t>四川</w:t>
      </w:r>
      <w:r>
        <w:t>2023年1-5月</w:t>
      </w:r>
      <w:r>
        <w:rPr>
          <w:rFonts w:hint="eastAsia"/>
        </w:rPr>
        <w:t>电子商务主要交易指标及同比增速</w:t>
      </w:r>
    </w:p>
    <w:tbl>
      <w:tblPr>
        <w:tblStyle w:val="13"/>
        <w:tblW w:w="5000" w:type="pct"/>
        <w:tblCellSpacing w:w="20" w:type="dxa"/>
        <w:tblInd w:w="0" w:type="dxa"/>
        <w:tblBorders>
          <w:top w:val="outset" w:color="DEEAF6" w:themeColor="accent1" w:themeTint="33" w:sz="6" w:space="0"/>
          <w:left w:val="outset" w:color="DEEAF6" w:themeColor="accent1" w:themeTint="33" w:sz="6" w:space="0"/>
          <w:bottom w:val="outset" w:color="DEEAF6" w:themeColor="accent1" w:themeTint="33" w:sz="6" w:space="0"/>
          <w:right w:val="outset" w:color="DEEAF6" w:themeColor="accent1" w:themeTint="33" w:sz="6" w:space="0"/>
          <w:insideH w:val="outset" w:color="DEEAF6" w:themeColor="accent1" w:themeTint="33" w:sz="6" w:space="0"/>
          <w:insideV w:val="outset" w:color="DEEAF6" w:themeColor="accent1" w:themeTint="33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3"/>
        <w:gridCol w:w="2998"/>
        <w:gridCol w:w="2341"/>
      </w:tblGrid>
      <w:tr>
        <w:tblPrEx>
          <w:tblBorders>
            <w:top w:val="outset" w:color="DEEAF6" w:themeColor="accent1" w:themeTint="33" w:sz="6" w:space="0"/>
            <w:left w:val="outset" w:color="DEEAF6" w:themeColor="accent1" w:themeTint="33" w:sz="6" w:space="0"/>
            <w:bottom w:val="outset" w:color="DEEAF6" w:themeColor="accent1" w:themeTint="33" w:sz="6" w:space="0"/>
            <w:right w:val="outset" w:color="DEEAF6" w:themeColor="accent1" w:themeTint="33" w:sz="6" w:space="0"/>
            <w:insideH w:val="outset" w:color="DEEAF6" w:themeColor="accent1" w:themeTint="33" w:sz="6" w:space="0"/>
            <w:insideV w:val="outset" w:color="DEEAF6" w:themeColor="accent1" w:themeTint="33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20" w:type="dxa"/>
        </w:trPr>
        <w:tc>
          <w:tcPr>
            <w:tcW w:w="1873" w:type="pct"/>
            <w:shd w:val="clear" w:color="auto" w:fill="377FB3"/>
            <w:vAlign w:val="top"/>
          </w:tcPr>
          <w:p>
            <w:pPr>
              <w:wordWrap/>
              <w:adjustRightInd w:val="0"/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713" w:type="pct"/>
            <w:shd w:val="clear" w:color="auto" w:fill="377FB3"/>
            <w:vAlign w:val="top"/>
          </w:tcPr>
          <w:p>
            <w:pPr>
              <w:wordWrap/>
              <w:adjustRightInd w:val="0"/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指标体量（亿元）</w:t>
            </w:r>
          </w:p>
        </w:tc>
        <w:tc>
          <w:tcPr>
            <w:tcW w:w="1321" w:type="pct"/>
            <w:shd w:val="clear" w:color="auto" w:fill="377FB3"/>
            <w:vAlign w:val="top"/>
          </w:tcPr>
          <w:p>
            <w:pPr>
              <w:wordWrap/>
              <w:adjustRightInd w:val="0"/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同比增速（%）</w:t>
            </w:r>
          </w:p>
        </w:tc>
      </w:tr>
      <w:tr>
        <w:tblPrEx>
          <w:tblBorders>
            <w:top w:val="outset" w:color="DEEAF6" w:themeColor="accent1" w:themeTint="33" w:sz="6" w:space="0"/>
            <w:left w:val="outset" w:color="DEEAF6" w:themeColor="accent1" w:themeTint="33" w:sz="6" w:space="0"/>
            <w:bottom w:val="outset" w:color="DEEAF6" w:themeColor="accent1" w:themeTint="33" w:sz="6" w:space="0"/>
            <w:right w:val="outset" w:color="DEEAF6" w:themeColor="accent1" w:themeTint="33" w:sz="6" w:space="0"/>
            <w:insideH w:val="outset" w:color="DEEAF6" w:themeColor="accent1" w:themeTint="33" w:sz="6" w:space="0"/>
            <w:insideV w:val="outset" w:color="DEEAF6" w:themeColor="accent1" w:themeTint="33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20" w:type="dxa"/>
        </w:trPr>
        <w:tc>
          <w:tcPr>
            <w:tcW w:w="1873" w:type="pct"/>
            <w:vAlign w:val="top"/>
          </w:tcPr>
          <w:p>
            <w:pPr>
              <w:adjustRightInd w:val="0"/>
            </w:pPr>
            <w:r>
              <w:rPr>
                <w:rFonts w:hint="eastAsia"/>
              </w:rPr>
              <w:t>网络交易额</w:t>
            </w:r>
          </w:p>
        </w:tc>
        <w:tc>
          <w:tcPr>
            <w:tcW w:w="1713" w:type="pct"/>
            <w:vAlign w:val="top"/>
          </w:tcPr>
          <w:p>
            <w:pPr>
              <w:adjustRightInd w:val="0"/>
            </w:pPr>
            <w:r>
              <w:t>19,898.9</w:t>
            </w:r>
          </w:p>
        </w:tc>
        <w:tc>
          <w:tcPr>
            <w:tcW w:w="1321" w:type="pct"/>
            <w:vAlign w:val="top"/>
          </w:tcPr>
          <w:p>
            <w:pPr>
              <w:adjustRightInd w:val="0"/>
            </w:pPr>
            <w:r>
              <w:t>17.2</w:t>
            </w:r>
          </w:p>
        </w:tc>
      </w:tr>
      <w:tr>
        <w:tblPrEx>
          <w:tblBorders>
            <w:top w:val="outset" w:color="DEEAF6" w:themeColor="accent1" w:themeTint="33" w:sz="6" w:space="0"/>
            <w:left w:val="outset" w:color="DEEAF6" w:themeColor="accent1" w:themeTint="33" w:sz="6" w:space="0"/>
            <w:bottom w:val="outset" w:color="DEEAF6" w:themeColor="accent1" w:themeTint="33" w:sz="6" w:space="0"/>
            <w:right w:val="outset" w:color="DEEAF6" w:themeColor="accent1" w:themeTint="33" w:sz="6" w:space="0"/>
            <w:insideH w:val="outset" w:color="DEEAF6" w:themeColor="accent1" w:themeTint="33" w:sz="6" w:space="0"/>
            <w:insideV w:val="outset" w:color="DEEAF6" w:themeColor="accent1" w:themeTint="33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20" w:type="dxa"/>
        </w:trPr>
        <w:tc>
          <w:tcPr>
            <w:tcW w:w="1873" w:type="pct"/>
            <w:vAlign w:val="top"/>
          </w:tcPr>
          <w:p>
            <w:pPr>
              <w:adjustRightInd w:val="0"/>
            </w:pPr>
            <w:r>
              <w:rPr>
                <w:rFonts w:hint="eastAsia"/>
              </w:rPr>
              <w:t>网络零售额</w:t>
            </w:r>
          </w:p>
        </w:tc>
        <w:tc>
          <w:tcPr>
            <w:tcW w:w="1713" w:type="pct"/>
            <w:vAlign w:val="top"/>
          </w:tcPr>
          <w:p>
            <w:pPr>
              <w:adjustRightInd w:val="0"/>
            </w:pPr>
            <w:r>
              <w:t>3,481.9</w:t>
            </w:r>
          </w:p>
        </w:tc>
        <w:tc>
          <w:tcPr>
            <w:tcW w:w="1321" w:type="pct"/>
            <w:vAlign w:val="top"/>
          </w:tcPr>
          <w:p>
            <w:pPr>
              <w:adjustRightInd w:val="0"/>
            </w:pPr>
            <w:r>
              <w:t>20.7</w:t>
            </w:r>
          </w:p>
        </w:tc>
      </w:tr>
      <w:tr>
        <w:tblPrEx>
          <w:tblBorders>
            <w:top w:val="outset" w:color="DEEAF6" w:themeColor="accent1" w:themeTint="33" w:sz="6" w:space="0"/>
            <w:left w:val="outset" w:color="DEEAF6" w:themeColor="accent1" w:themeTint="33" w:sz="6" w:space="0"/>
            <w:bottom w:val="outset" w:color="DEEAF6" w:themeColor="accent1" w:themeTint="33" w:sz="6" w:space="0"/>
            <w:right w:val="outset" w:color="DEEAF6" w:themeColor="accent1" w:themeTint="33" w:sz="6" w:space="0"/>
            <w:insideH w:val="outset" w:color="DEEAF6" w:themeColor="accent1" w:themeTint="33" w:sz="6" w:space="0"/>
            <w:insideV w:val="outset" w:color="DEEAF6" w:themeColor="accent1" w:themeTint="33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20" w:type="dxa"/>
        </w:trPr>
        <w:tc>
          <w:tcPr>
            <w:tcW w:w="1873" w:type="pct"/>
            <w:vAlign w:val="top"/>
          </w:tcPr>
          <w:p>
            <w:pPr>
              <w:adjustRightInd w:val="0"/>
            </w:pPr>
            <w:r>
              <w:rPr>
                <w:rFonts w:hint="eastAsia"/>
              </w:rPr>
              <w:t>实物型网络零售额</w:t>
            </w:r>
          </w:p>
        </w:tc>
        <w:tc>
          <w:tcPr>
            <w:tcW w:w="1713" w:type="pct"/>
            <w:vAlign w:val="top"/>
          </w:tcPr>
          <w:p>
            <w:pPr>
              <w:adjustRightInd w:val="0"/>
            </w:pPr>
            <w:r>
              <w:t>2,419.7</w:t>
            </w:r>
          </w:p>
        </w:tc>
        <w:tc>
          <w:tcPr>
            <w:tcW w:w="1321" w:type="pct"/>
            <w:vAlign w:val="top"/>
          </w:tcPr>
          <w:p>
            <w:pPr>
              <w:adjustRightInd w:val="0"/>
            </w:pPr>
            <w:r>
              <w:t>17.9</w:t>
            </w:r>
          </w:p>
        </w:tc>
      </w:tr>
      <w:tr>
        <w:tblPrEx>
          <w:tblBorders>
            <w:top w:val="outset" w:color="DEEAF6" w:themeColor="accent1" w:themeTint="33" w:sz="6" w:space="0"/>
            <w:left w:val="outset" w:color="DEEAF6" w:themeColor="accent1" w:themeTint="33" w:sz="6" w:space="0"/>
            <w:bottom w:val="outset" w:color="DEEAF6" w:themeColor="accent1" w:themeTint="33" w:sz="6" w:space="0"/>
            <w:right w:val="outset" w:color="DEEAF6" w:themeColor="accent1" w:themeTint="33" w:sz="6" w:space="0"/>
            <w:insideH w:val="outset" w:color="DEEAF6" w:themeColor="accent1" w:themeTint="33" w:sz="6" w:space="0"/>
            <w:insideV w:val="outset" w:color="DEEAF6" w:themeColor="accent1" w:themeTint="33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20" w:type="dxa"/>
        </w:trPr>
        <w:tc>
          <w:tcPr>
            <w:tcW w:w="1873" w:type="pct"/>
            <w:vAlign w:val="top"/>
          </w:tcPr>
          <w:p>
            <w:pPr>
              <w:adjustRightInd w:val="0"/>
            </w:pPr>
            <w:r>
              <w:rPr>
                <w:rFonts w:hint="eastAsia"/>
              </w:rPr>
              <w:t>服务型网络零售额</w:t>
            </w:r>
          </w:p>
        </w:tc>
        <w:tc>
          <w:tcPr>
            <w:tcW w:w="1713" w:type="pct"/>
            <w:vAlign w:val="top"/>
          </w:tcPr>
          <w:p>
            <w:pPr>
              <w:adjustRightInd w:val="0"/>
            </w:pPr>
            <w:r>
              <w:t>1,062.2</w:t>
            </w:r>
          </w:p>
        </w:tc>
        <w:tc>
          <w:tcPr>
            <w:tcW w:w="1321" w:type="pct"/>
            <w:vAlign w:val="top"/>
          </w:tcPr>
          <w:p>
            <w:pPr>
              <w:adjustRightInd w:val="0"/>
            </w:pPr>
            <w:r>
              <w:t>27.7</w:t>
            </w:r>
          </w:p>
        </w:tc>
      </w:tr>
      <w:tr>
        <w:tblPrEx>
          <w:tblBorders>
            <w:top w:val="outset" w:color="DEEAF6" w:themeColor="accent1" w:themeTint="33" w:sz="6" w:space="0"/>
            <w:left w:val="outset" w:color="DEEAF6" w:themeColor="accent1" w:themeTint="33" w:sz="6" w:space="0"/>
            <w:bottom w:val="outset" w:color="DEEAF6" w:themeColor="accent1" w:themeTint="33" w:sz="6" w:space="0"/>
            <w:right w:val="outset" w:color="DEEAF6" w:themeColor="accent1" w:themeTint="33" w:sz="6" w:space="0"/>
            <w:insideH w:val="outset" w:color="DEEAF6" w:themeColor="accent1" w:themeTint="33" w:sz="6" w:space="0"/>
            <w:insideV w:val="outset" w:color="DEEAF6" w:themeColor="accent1" w:themeTint="33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20" w:type="dxa"/>
        </w:trPr>
        <w:tc>
          <w:tcPr>
            <w:tcW w:w="1873" w:type="pct"/>
            <w:vAlign w:val="top"/>
          </w:tcPr>
          <w:p>
            <w:pPr>
              <w:adjustRightInd w:val="0"/>
            </w:pPr>
            <w:r>
              <w:rPr>
                <w:rFonts w:hint="eastAsia"/>
              </w:rPr>
              <w:t>农村网络零售额</w:t>
            </w:r>
          </w:p>
        </w:tc>
        <w:tc>
          <w:tcPr>
            <w:tcW w:w="1713" w:type="pct"/>
            <w:vAlign w:val="top"/>
          </w:tcPr>
          <w:p>
            <w:pPr>
              <w:adjustRightInd w:val="0"/>
            </w:pPr>
            <w:r>
              <w:t>1,014.9</w:t>
            </w:r>
          </w:p>
        </w:tc>
        <w:tc>
          <w:tcPr>
            <w:tcW w:w="1321" w:type="pct"/>
            <w:vAlign w:val="top"/>
          </w:tcPr>
          <w:p>
            <w:pPr>
              <w:adjustRightInd w:val="0"/>
            </w:pPr>
            <w:r>
              <w:t>26.1</w:t>
            </w:r>
          </w:p>
        </w:tc>
      </w:tr>
      <w:tr>
        <w:tblPrEx>
          <w:tblBorders>
            <w:top w:val="outset" w:color="DEEAF6" w:themeColor="accent1" w:themeTint="33" w:sz="6" w:space="0"/>
            <w:left w:val="outset" w:color="DEEAF6" w:themeColor="accent1" w:themeTint="33" w:sz="6" w:space="0"/>
            <w:bottom w:val="outset" w:color="DEEAF6" w:themeColor="accent1" w:themeTint="33" w:sz="6" w:space="0"/>
            <w:right w:val="outset" w:color="DEEAF6" w:themeColor="accent1" w:themeTint="33" w:sz="6" w:space="0"/>
            <w:insideH w:val="outset" w:color="DEEAF6" w:themeColor="accent1" w:themeTint="33" w:sz="6" w:space="0"/>
            <w:insideV w:val="outset" w:color="DEEAF6" w:themeColor="accent1" w:themeTint="33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20" w:type="dxa"/>
        </w:trPr>
        <w:tc>
          <w:tcPr>
            <w:tcW w:w="1873" w:type="pct"/>
            <w:vAlign w:val="top"/>
          </w:tcPr>
          <w:p>
            <w:pPr>
              <w:adjustRightInd w:val="0"/>
            </w:pPr>
            <w:r>
              <w:rPr>
                <w:rFonts w:hint="eastAsia"/>
              </w:rPr>
              <w:t>农产品网络零售额</w:t>
            </w:r>
          </w:p>
        </w:tc>
        <w:tc>
          <w:tcPr>
            <w:tcW w:w="1713" w:type="pct"/>
            <w:vAlign w:val="top"/>
          </w:tcPr>
          <w:p>
            <w:pPr>
              <w:adjustRightInd w:val="0"/>
            </w:pPr>
            <w:r>
              <w:t>215.5</w:t>
            </w:r>
          </w:p>
        </w:tc>
        <w:tc>
          <w:tcPr>
            <w:tcW w:w="1321" w:type="pct"/>
            <w:vAlign w:val="top"/>
          </w:tcPr>
          <w:p>
            <w:pPr>
              <w:adjustRightInd w:val="0"/>
            </w:pPr>
            <w:r>
              <w:t>18.7</w:t>
            </w:r>
          </w:p>
        </w:tc>
      </w:tr>
    </w:tbl>
    <w:p>
      <w:pPr>
        <w:pStyle w:val="5"/>
        <w:numPr>
          <w:ilvl w:val="0"/>
          <w:numId w:val="0"/>
        </w:numPr>
        <w:spacing w:before="0" w:beforeLines="0" w:after="0" w:afterLines="0" w:line="580" w:lineRule="exact"/>
        <w:ind w:firstLine="640" w:firstLineChars="200"/>
        <w:jc w:val="both"/>
        <w:rPr>
          <w:rFonts w:hint="eastAsia"/>
          <w:b w:val="0"/>
          <w:bCs w:val="0"/>
          <w:szCs w:val="21"/>
          <w:lang w:val="en-US" w:eastAsia="zh-CN"/>
        </w:rPr>
      </w:pPr>
      <w:bookmarkStart w:id="71" w:name="_GoBack"/>
      <w:bookmarkEnd w:id="71"/>
      <w:bookmarkStart w:id="1" w:name="_Toc46846798"/>
      <w:bookmarkEnd w:id="1"/>
      <w:bookmarkStart w:id="2" w:name="_Toc46908085"/>
      <w:bookmarkEnd w:id="2"/>
      <w:bookmarkStart w:id="3" w:name="_Toc46845981"/>
      <w:bookmarkEnd w:id="3"/>
      <w:bookmarkStart w:id="4" w:name="_Toc46847010"/>
      <w:bookmarkEnd w:id="4"/>
      <w:bookmarkStart w:id="5" w:name="_Toc46846971"/>
      <w:bookmarkEnd w:id="5"/>
      <w:bookmarkStart w:id="6" w:name="_Toc46853958"/>
      <w:bookmarkEnd w:id="6"/>
      <w:bookmarkStart w:id="7" w:name="_Toc46758661"/>
      <w:bookmarkEnd w:id="7"/>
      <w:bookmarkStart w:id="8" w:name="_Toc46846142"/>
      <w:bookmarkEnd w:id="8"/>
      <w:bookmarkStart w:id="9" w:name="_Toc46392895"/>
      <w:bookmarkEnd w:id="9"/>
      <w:bookmarkStart w:id="10" w:name="_Toc46847279"/>
      <w:bookmarkEnd w:id="10"/>
      <w:bookmarkStart w:id="11" w:name="_Toc46847143"/>
      <w:bookmarkEnd w:id="11"/>
      <w:bookmarkStart w:id="12" w:name="_Toc46847104"/>
      <w:bookmarkEnd w:id="12"/>
      <w:bookmarkStart w:id="13" w:name="_Toc46393308"/>
      <w:bookmarkEnd w:id="13"/>
      <w:bookmarkStart w:id="14" w:name="_Toc46847049"/>
      <w:bookmarkEnd w:id="14"/>
      <w:bookmarkStart w:id="15" w:name="_Toc46846304"/>
      <w:bookmarkEnd w:id="15"/>
      <w:bookmarkStart w:id="16" w:name="_Toc46393018"/>
      <w:bookmarkEnd w:id="16"/>
      <w:bookmarkStart w:id="17" w:name="_Toc46844781"/>
      <w:bookmarkEnd w:id="17"/>
      <w:bookmarkStart w:id="18" w:name="_Toc46847604"/>
      <w:bookmarkEnd w:id="18"/>
      <w:bookmarkStart w:id="19" w:name="_Toc46853925"/>
      <w:bookmarkEnd w:id="19"/>
      <w:bookmarkStart w:id="20" w:name="_Toc46847893"/>
      <w:bookmarkEnd w:id="20"/>
      <w:bookmarkStart w:id="21" w:name="_Toc46845288"/>
      <w:bookmarkEnd w:id="21"/>
      <w:bookmarkStart w:id="22" w:name="_Toc46839448"/>
      <w:bookmarkEnd w:id="22"/>
      <w:bookmarkStart w:id="23" w:name="_Toc46846265"/>
      <w:bookmarkEnd w:id="23"/>
      <w:bookmarkStart w:id="24" w:name="_Toc46844981"/>
      <w:bookmarkEnd w:id="24"/>
      <w:bookmarkStart w:id="25" w:name="_Toc46393343"/>
      <w:bookmarkEnd w:id="25"/>
      <w:bookmarkStart w:id="26" w:name="_Toc46392586"/>
      <w:bookmarkEnd w:id="26"/>
      <w:bookmarkStart w:id="27" w:name="_Toc46416488"/>
      <w:bookmarkEnd w:id="27"/>
      <w:bookmarkStart w:id="28" w:name="_Toc46735828"/>
      <w:bookmarkEnd w:id="28"/>
      <w:bookmarkStart w:id="29" w:name="_Toc46846343"/>
      <w:bookmarkEnd w:id="29"/>
      <w:bookmarkStart w:id="30" w:name="_Toc46852494"/>
      <w:bookmarkEnd w:id="30"/>
      <w:bookmarkStart w:id="31" w:name="_Toc46758693"/>
      <w:bookmarkEnd w:id="31"/>
      <w:bookmarkStart w:id="32" w:name="_Toc46762924"/>
      <w:bookmarkEnd w:id="32"/>
      <w:bookmarkStart w:id="33" w:name="_Toc46850205"/>
      <w:bookmarkEnd w:id="33"/>
      <w:bookmarkStart w:id="34" w:name="_Toc46741021"/>
      <w:bookmarkEnd w:id="34"/>
      <w:bookmarkStart w:id="35" w:name="_Toc46853167"/>
      <w:bookmarkEnd w:id="35"/>
      <w:bookmarkStart w:id="36" w:name="_Toc46754175"/>
      <w:bookmarkEnd w:id="36"/>
      <w:bookmarkStart w:id="37" w:name="_Toc46392803"/>
      <w:bookmarkEnd w:id="37"/>
      <w:bookmarkStart w:id="38" w:name="_Toc46849936"/>
      <w:bookmarkEnd w:id="38"/>
      <w:bookmarkStart w:id="39" w:name="_Toc46847419"/>
      <w:bookmarkEnd w:id="39"/>
      <w:bookmarkStart w:id="40" w:name="_Toc46847458"/>
      <w:bookmarkEnd w:id="40"/>
      <w:bookmarkStart w:id="41" w:name="_Toc46477259"/>
      <w:bookmarkEnd w:id="41"/>
      <w:bookmarkStart w:id="42" w:name="_Toc46392738"/>
      <w:bookmarkEnd w:id="42"/>
      <w:bookmarkStart w:id="43" w:name="_Toc46846220"/>
      <w:bookmarkEnd w:id="43"/>
      <w:bookmarkStart w:id="44" w:name="_Toc46416203"/>
      <w:bookmarkEnd w:id="44"/>
      <w:bookmarkStart w:id="45" w:name="_Toc46758629"/>
      <w:bookmarkEnd w:id="45"/>
      <w:bookmarkStart w:id="46" w:name="_Toc46846376"/>
      <w:bookmarkEnd w:id="46"/>
      <w:bookmarkStart w:id="47" w:name="_Toc46392936"/>
      <w:bookmarkEnd w:id="47"/>
      <w:bookmarkStart w:id="48" w:name="_Toc46845336"/>
      <w:bookmarkEnd w:id="48"/>
      <w:bookmarkStart w:id="49" w:name="_Toc46846542"/>
      <w:bookmarkEnd w:id="49"/>
      <w:bookmarkStart w:id="50" w:name="_Toc46393236"/>
      <w:bookmarkEnd w:id="50"/>
      <w:bookmarkStart w:id="51" w:name="_Toc46393432"/>
      <w:bookmarkEnd w:id="51"/>
      <w:bookmarkStart w:id="52" w:name="_Toc46846575"/>
      <w:bookmarkEnd w:id="52"/>
      <w:bookmarkStart w:id="53" w:name="_Toc46846181"/>
      <w:bookmarkEnd w:id="53"/>
      <w:bookmarkStart w:id="54" w:name="_Toc46850374"/>
      <w:bookmarkEnd w:id="54"/>
      <w:bookmarkStart w:id="55" w:name="_Toc46393163"/>
      <w:bookmarkEnd w:id="55"/>
      <w:bookmarkStart w:id="56" w:name="_Toc46852461"/>
      <w:bookmarkEnd w:id="56"/>
      <w:bookmarkStart w:id="57" w:name="_Toc46392621"/>
      <w:bookmarkEnd w:id="57"/>
      <w:bookmarkStart w:id="58" w:name="_Toc46416365"/>
      <w:bookmarkEnd w:id="58"/>
      <w:bookmarkStart w:id="59" w:name="_Toc46754261"/>
      <w:bookmarkEnd w:id="59"/>
      <w:bookmarkStart w:id="60" w:name="_Toc46846932"/>
      <w:bookmarkEnd w:id="60"/>
      <w:bookmarkStart w:id="61" w:name="_Toc46392977"/>
      <w:bookmarkEnd w:id="61"/>
      <w:bookmarkStart w:id="62" w:name="_Toc46844584"/>
      <w:bookmarkEnd w:id="62"/>
      <w:bookmarkStart w:id="63" w:name="_Toc46754485"/>
      <w:bookmarkEnd w:id="63"/>
      <w:bookmarkStart w:id="64" w:name="_Toc46847182"/>
      <w:bookmarkEnd w:id="64"/>
      <w:bookmarkStart w:id="65" w:name="_Toc46393053"/>
      <w:bookmarkEnd w:id="65"/>
      <w:bookmarkStart w:id="66" w:name="_Toc46849969"/>
      <w:bookmarkEnd w:id="66"/>
      <w:bookmarkStart w:id="67" w:name="_Toc46392838"/>
      <w:bookmarkEnd w:id="67"/>
      <w:bookmarkStart w:id="68" w:name="_Toc46393467"/>
      <w:bookmarkEnd w:id="68"/>
      <w:bookmarkStart w:id="69" w:name="_Toc46416288"/>
      <w:bookmarkEnd w:id="69"/>
      <w:bookmarkStart w:id="70" w:name="_Toc46847794"/>
      <w:bookmarkEnd w:id="7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>—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25602B"/>
    <w:multiLevelType w:val="multilevel"/>
    <w:tmpl w:val="2F25602B"/>
    <w:lvl w:ilvl="0" w:tentative="0">
      <w:start w:val="1"/>
      <w:numFmt w:val="decimal"/>
      <w:pStyle w:val="5"/>
      <w:suff w:val="space"/>
      <w:lvlText w:val="%1."/>
      <w:lvlJc w:val="left"/>
      <w:pPr>
        <w:ind w:left="420" w:hanging="420"/>
      </w:pPr>
      <w:rPr>
        <w:rFonts w:hint="default" w:ascii="仿宋" w:hAnsi="仿宋" w:eastAsia="仿宋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6BE57313"/>
    <w:multiLevelType w:val="multilevel"/>
    <w:tmpl w:val="6BE57313"/>
    <w:lvl w:ilvl="0" w:tentative="0">
      <w:start w:val="1"/>
      <w:numFmt w:val="chineseCountingThousand"/>
      <w:pStyle w:val="4"/>
      <w:suff w:val="nothing"/>
      <w:lvlText w:val="%1、"/>
      <w:lvlJc w:val="left"/>
      <w:pPr>
        <w:ind w:left="720" w:firstLine="0"/>
      </w:pPr>
      <w:rPr>
        <w:rFonts w:hint="eastAsia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4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8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2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6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50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A1D8B"/>
    <w:rsid w:val="000867C5"/>
    <w:rsid w:val="00090DFE"/>
    <w:rsid w:val="00097819"/>
    <w:rsid w:val="000A0C9E"/>
    <w:rsid w:val="0010594E"/>
    <w:rsid w:val="001536F6"/>
    <w:rsid w:val="00186699"/>
    <w:rsid w:val="00220221"/>
    <w:rsid w:val="0024031E"/>
    <w:rsid w:val="00371F41"/>
    <w:rsid w:val="003E3909"/>
    <w:rsid w:val="00451494"/>
    <w:rsid w:val="004A4332"/>
    <w:rsid w:val="004B4F40"/>
    <w:rsid w:val="004E73DD"/>
    <w:rsid w:val="005233B1"/>
    <w:rsid w:val="00586828"/>
    <w:rsid w:val="006858DC"/>
    <w:rsid w:val="00695BB5"/>
    <w:rsid w:val="0078429F"/>
    <w:rsid w:val="008404EA"/>
    <w:rsid w:val="00843E97"/>
    <w:rsid w:val="00932A5C"/>
    <w:rsid w:val="00967771"/>
    <w:rsid w:val="009705ED"/>
    <w:rsid w:val="00996177"/>
    <w:rsid w:val="00AB62D4"/>
    <w:rsid w:val="00AE3146"/>
    <w:rsid w:val="00B12B7E"/>
    <w:rsid w:val="00B14878"/>
    <w:rsid w:val="00B51CCC"/>
    <w:rsid w:val="00BD2BF5"/>
    <w:rsid w:val="00C92A78"/>
    <w:rsid w:val="00C95C9F"/>
    <w:rsid w:val="00CE31E3"/>
    <w:rsid w:val="00CF16EF"/>
    <w:rsid w:val="00D95DFC"/>
    <w:rsid w:val="00DC1957"/>
    <w:rsid w:val="00E9151F"/>
    <w:rsid w:val="00EC537C"/>
    <w:rsid w:val="00F5027D"/>
    <w:rsid w:val="00FF33AA"/>
    <w:rsid w:val="0B5175F0"/>
    <w:rsid w:val="10B219C9"/>
    <w:rsid w:val="144774CA"/>
    <w:rsid w:val="163F02BF"/>
    <w:rsid w:val="1FDAE497"/>
    <w:rsid w:val="2EFFEDD6"/>
    <w:rsid w:val="2F673022"/>
    <w:rsid w:val="5C0A1D8B"/>
    <w:rsid w:val="5FECFE9E"/>
    <w:rsid w:val="7BFF9671"/>
    <w:rsid w:val="7F1D0398"/>
    <w:rsid w:val="97EA7F7E"/>
    <w:rsid w:val="DFEB0A1F"/>
    <w:rsid w:val="EDAFCE0A"/>
    <w:rsid w:val="EFFD8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center"/>
    </w:pPr>
    <w:rPr>
      <w:rFonts w:ascii="仿宋" w:hAnsi="仿宋" w:eastAsia="仿宋" w:cstheme="minorBidi"/>
      <w:kern w:val="2"/>
      <w:sz w:val="24"/>
      <w:szCs w:val="18"/>
      <w:lang w:val="en-US" w:eastAsia="zh-CN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0" w:after="40"/>
      <w:outlineLvl w:val="0"/>
    </w:pPr>
    <w:rPr>
      <w:b/>
      <w:kern w:val="44"/>
      <w:sz w:val="36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17" w:beforeLines="50"/>
      <w:jc w:val="left"/>
      <w:outlineLvl w:val="1"/>
    </w:pPr>
    <w:rPr>
      <w:rFonts w:ascii="Times New Roman" w:hAnsi="Times New Roman" w:cstheme="majorBidi"/>
      <w:b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numPr>
        <w:ilvl w:val="0"/>
        <w:numId w:val="2"/>
      </w:numPr>
      <w:spacing w:before="217" w:beforeLines="50" w:after="217" w:afterLines="50"/>
      <w:jc w:val="left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qFormat/>
    <w:uiPriority w:val="1"/>
    <w:pPr>
      <w:widowControl w:val="0"/>
      <w:spacing w:line="360" w:lineRule="auto"/>
      <w:jc w:val="center"/>
    </w:pPr>
    <w:rPr>
      <w:rFonts w:ascii="仿宋" w:hAnsi="仿宋" w:eastAsia="仿宋" w:cstheme="minorBidi"/>
      <w:kern w:val="2"/>
      <w:sz w:val="24"/>
      <w:szCs w:val="18"/>
      <w:lang w:val="en-US" w:eastAsia="zh-CN" w:bidi="ar-SA"/>
    </w:rPr>
  </w:style>
  <w:style w:type="paragraph" w:styleId="6">
    <w:name w:val="caption"/>
    <w:basedOn w:val="1"/>
    <w:next w:val="1"/>
    <w:unhideWhenUsed/>
    <w:qFormat/>
    <w:uiPriority w:val="35"/>
    <w:pPr>
      <w:snapToGrid w:val="0"/>
      <w:spacing w:before="217" w:beforeLines="50" w:after="217" w:afterLines="50"/>
      <w:ind w:left="640" w:leftChars="200" w:right="640" w:rightChars="200" w:firstLine="482"/>
    </w:pPr>
    <w:rPr>
      <w:rFonts w:cstheme="majorBidi"/>
      <w:b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9">
    <w:name w:val="footnote text"/>
    <w:link w:val="15"/>
    <w:semiHidden/>
    <w:unhideWhenUsed/>
    <w:qFormat/>
    <w:uiPriority w:val="99"/>
    <w:rPr>
      <w:rFonts w:asciiTheme="minorHAnsi" w:hAnsiTheme="minorHAnsi" w:eastAsiaTheme="minorEastAsia" w:cstheme="minorBidi"/>
      <w:sz w:val="20"/>
      <w:szCs w:val="20"/>
      <w:lang w:val="en-US" w:eastAsia="zh-CN" w:bidi="ar-SA"/>
    </w:rPr>
  </w:style>
  <w:style w:type="character" w:styleId="12">
    <w:name w:val="footnote reference"/>
    <w:semiHidden/>
    <w:unhideWhenUsed/>
    <w:qFormat/>
    <w:uiPriority w:val="99"/>
    <w:rPr>
      <w:vertAlign w:val="superscript"/>
    </w:rPr>
  </w:style>
  <w:style w:type="table" w:customStyle="1" w:styleId="13">
    <w:name w:val="映潮表格"/>
    <w:basedOn w:val="10"/>
    <w:qFormat/>
    <w:uiPriority w:val="99"/>
    <w:pPr>
      <w:adjustRightInd w:val="0"/>
      <w:spacing w:line="276" w:lineRule="auto"/>
    </w:pPr>
    <w:tblPr>
      <w:tblBorders>
        <w:top w:val="single" w:color="BEBEBE" w:themeColor="background1" w:themeShade="BF" w:sz="2" w:space="0"/>
        <w:left w:val="single" w:color="BEBEBE" w:themeColor="background1" w:themeShade="BF" w:sz="2" w:space="0"/>
        <w:bottom w:val="single" w:color="BEBEBE" w:themeColor="background1" w:themeShade="BF" w:sz="2" w:space="0"/>
        <w:right w:val="single" w:color="BEBEBE" w:themeColor="background1" w:themeShade="BF" w:sz="2" w:space="0"/>
        <w:insideH w:val="single" w:color="BEBEBE" w:themeColor="background1" w:themeShade="BF" w:sz="2" w:space="0"/>
        <w:insideV w:val="single" w:color="BEBEBE" w:themeColor="background1" w:themeShade="BF" w:sz="2" w:space="0"/>
      </w:tblBorders>
    </w:tblPr>
    <w:tcPr>
      <w:vAlign w:val="center"/>
    </w:tcPr>
    <w:tblStylePr w:type="firstRow">
      <w:pPr>
        <w:wordWrap/>
        <w:jc w:val="center"/>
      </w:pPr>
      <w:rPr>
        <w:rFonts w:eastAsia="仿宋"/>
        <w:b/>
        <w:i w:val="0"/>
        <w:color w:val="FFFFFF" w:themeColor="background1"/>
        <w:sz w:val="24"/>
        <w14:textFill>
          <w14:solidFill>
            <w14:schemeClr w14:val="bg1"/>
          </w14:solidFill>
        </w14:textFill>
      </w:rPr>
      <w:tcPr>
        <w:shd w:val="clear" w:color="auto" w:fill="377FB3"/>
      </w:tcPr>
    </w:tblStylePr>
  </w:style>
  <w:style w:type="character" w:customStyle="1" w:styleId="14">
    <w:name w:val="脚注文本 字符"/>
    <w:link w:val="9"/>
    <w:semiHidden/>
    <w:qFormat/>
    <w:uiPriority w:val="99"/>
    <w:rPr>
      <w:sz w:val="20"/>
      <w:szCs w:val="20"/>
    </w:rPr>
  </w:style>
  <w:style w:type="character" w:customStyle="1" w:styleId="15">
    <w:name w:val="Footnote Text Char"/>
    <w:link w:val="9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775</Words>
  <Characters>4423</Characters>
  <Lines>36</Lines>
  <Paragraphs>10</Paragraphs>
  <TotalTime>3919</TotalTime>
  <ScaleCrop>false</ScaleCrop>
  <LinksUpToDate>false</LinksUpToDate>
  <CharactersWithSpaces>5188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2021-05-11T11:19:00Z</dcterms:created>
  <dc:creator>LENOVO</dc:creator>
  <cp:lastModifiedBy>user</cp:lastModifiedBy>
  <cp:lastPrinted>2023-01-13T08:39:00Z</cp:lastPrinted>
  <dcterms:modified xsi:type="dcterms:W3CDTF">2023-08-01T14:44:53Z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1BC3D6AD36A34370953F49044A8BD9A7</vt:lpwstr>
  </property>
</Properties>
</file>