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56" w:after="156" w:line="580" w:lineRule="exact"/>
      </w:pPr>
      <w:r>
        <w:t>表</w:t>
      </w:r>
      <w:r>
        <w:rPr>
          <w:rFonts w:hint="eastAsia"/>
        </w:rPr>
        <w:t>1</w:t>
      </w:r>
      <w:r>
        <w:tab/>
      </w:r>
      <w:r>
        <w:rPr>
          <w:rFonts w:hint="eastAsia"/>
        </w:rPr>
        <w:t>四川</w:t>
      </w:r>
      <w:r>
        <w:t>2024年1-2月</w:t>
      </w:r>
      <w:r>
        <w:rPr>
          <w:rFonts w:hint="eastAsia"/>
        </w:rPr>
        <w:t>电商主要交易指标及同比增速</w:t>
      </w:r>
    </w:p>
    <w:tbl>
      <w:tblPr>
        <w:tblStyle w:val="13"/>
        <w:tblW w:w="5000" w:type="pct"/>
        <w:tblInd w:w="0" w:type="dxa"/>
        <w:tblBorders>
          <w:top w:val="single" w:color="0070C0" w:sz="2" w:space="0"/>
          <w:left w:val="single" w:color="0070C0" w:sz="2" w:space="0"/>
          <w:bottom w:val="single" w:color="0070C0" w:sz="2" w:space="0"/>
          <w:right w:val="single" w:color="0070C0" w:sz="2" w:space="0"/>
          <w:insideH w:val="single" w:color="0070C0" w:sz="2" w:space="0"/>
          <w:insideV w:val="single" w:color="0070C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3082"/>
        <w:gridCol w:w="3480"/>
      </w:tblGrid>
      <w:tr>
        <w:tblPrEx>
          <w:tblBorders>
            <w:top w:val="single" w:color="0070C0" w:sz="2" w:space="0"/>
            <w:left w:val="single" w:color="0070C0" w:sz="2" w:space="0"/>
            <w:bottom w:val="single" w:color="0070C0" w:sz="2" w:space="0"/>
            <w:right w:val="single" w:color="0070C0" w:sz="2" w:space="0"/>
            <w:insideH w:val="single" w:color="0070C0" w:sz="2" w:space="0"/>
            <w:insideV w:val="single" w:color="0070C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9" w:type="pct"/>
            <w:shd w:val="clear" w:color="auto" w:fill="377FB3"/>
            <w:vAlign w:val="center"/>
          </w:tcPr>
          <w:p>
            <w:pPr>
              <w:pStyle w:val="18"/>
              <w:wordWrap/>
              <w:adjustRightInd w:val="0"/>
              <w:jc w:val="center"/>
              <w:rPr>
                <w:b/>
                <w:i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i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指标名称</w:t>
            </w:r>
          </w:p>
        </w:tc>
        <w:tc>
          <w:tcPr>
            <w:tcW w:w="1692" w:type="pct"/>
            <w:shd w:val="clear" w:color="auto" w:fill="377FB3"/>
            <w:vAlign w:val="center"/>
          </w:tcPr>
          <w:p>
            <w:pPr>
              <w:pStyle w:val="18"/>
              <w:wordWrap/>
              <w:adjustRightInd w:val="0"/>
              <w:jc w:val="center"/>
              <w:rPr>
                <w:b/>
                <w:i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i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指标体量（亿元）</w:t>
            </w:r>
          </w:p>
        </w:tc>
        <w:tc>
          <w:tcPr>
            <w:tcW w:w="1910" w:type="pct"/>
            <w:shd w:val="clear" w:color="auto" w:fill="377FB3"/>
            <w:vAlign w:val="center"/>
          </w:tcPr>
          <w:p>
            <w:pPr>
              <w:pStyle w:val="18"/>
              <w:wordWrap/>
              <w:adjustRightInd w:val="0"/>
              <w:jc w:val="center"/>
              <w:rPr>
                <w:b/>
                <w:i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i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同比增速（%）</w:t>
            </w:r>
          </w:p>
        </w:tc>
      </w:tr>
      <w:tr>
        <w:tblPrEx>
          <w:tblBorders>
            <w:top w:val="single" w:color="0070C0" w:sz="2" w:space="0"/>
            <w:left w:val="single" w:color="0070C0" w:sz="2" w:space="0"/>
            <w:bottom w:val="single" w:color="0070C0" w:sz="2" w:space="0"/>
            <w:right w:val="single" w:color="0070C0" w:sz="2" w:space="0"/>
            <w:insideH w:val="single" w:color="0070C0" w:sz="2" w:space="0"/>
            <w:insideV w:val="single" w:color="0070C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9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rPr>
                <w:rFonts w:hint="eastAsia"/>
              </w:rPr>
              <w:t>网络交易额</w:t>
            </w:r>
          </w:p>
        </w:tc>
        <w:tc>
          <w:tcPr>
            <w:tcW w:w="1692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7,712.9</w:t>
            </w:r>
          </w:p>
        </w:tc>
        <w:tc>
          <w:tcPr>
            <w:tcW w:w="1910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6.4</w:t>
            </w:r>
          </w:p>
        </w:tc>
      </w:tr>
      <w:tr>
        <w:tblPrEx>
          <w:tblBorders>
            <w:top w:val="single" w:color="0070C0" w:sz="2" w:space="0"/>
            <w:left w:val="single" w:color="0070C0" w:sz="2" w:space="0"/>
            <w:bottom w:val="single" w:color="0070C0" w:sz="2" w:space="0"/>
            <w:right w:val="single" w:color="0070C0" w:sz="2" w:space="0"/>
            <w:insideH w:val="single" w:color="0070C0" w:sz="2" w:space="0"/>
            <w:insideV w:val="single" w:color="0070C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9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rPr>
                <w:rFonts w:hint="eastAsia"/>
              </w:rPr>
              <w:t>网络零售额</w:t>
            </w:r>
          </w:p>
        </w:tc>
        <w:tc>
          <w:tcPr>
            <w:tcW w:w="1692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1,577.4</w:t>
            </w:r>
          </w:p>
        </w:tc>
        <w:tc>
          <w:tcPr>
            <w:tcW w:w="1910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11.1</w:t>
            </w:r>
          </w:p>
        </w:tc>
      </w:tr>
      <w:tr>
        <w:tblPrEx>
          <w:tblBorders>
            <w:top w:val="single" w:color="0070C0" w:sz="2" w:space="0"/>
            <w:left w:val="single" w:color="0070C0" w:sz="2" w:space="0"/>
            <w:bottom w:val="single" w:color="0070C0" w:sz="2" w:space="0"/>
            <w:right w:val="single" w:color="0070C0" w:sz="2" w:space="0"/>
            <w:insideH w:val="single" w:color="0070C0" w:sz="2" w:space="0"/>
            <w:insideV w:val="single" w:color="0070C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9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rPr>
                <w:rFonts w:hint="eastAsia"/>
              </w:rPr>
              <w:t>实物型网络零售额</w:t>
            </w:r>
          </w:p>
        </w:tc>
        <w:tc>
          <w:tcPr>
            <w:tcW w:w="1692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1,087.4</w:t>
            </w:r>
          </w:p>
        </w:tc>
        <w:tc>
          <w:tcPr>
            <w:tcW w:w="1910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8.5</w:t>
            </w:r>
          </w:p>
        </w:tc>
      </w:tr>
      <w:tr>
        <w:tblPrEx>
          <w:tblBorders>
            <w:top w:val="single" w:color="0070C0" w:sz="2" w:space="0"/>
            <w:left w:val="single" w:color="0070C0" w:sz="2" w:space="0"/>
            <w:bottom w:val="single" w:color="0070C0" w:sz="2" w:space="0"/>
            <w:right w:val="single" w:color="0070C0" w:sz="2" w:space="0"/>
            <w:insideH w:val="single" w:color="0070C0" w:sz="2" w:space="0"/>
            <w:insideV w:val="single" w:color="0070C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9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rPr>
                <w:rFonts w:hint="eastAsia"/>
              </w:rPr>
              <w:t>服务型网络零售额</w:t>
            </w:r>
          </w:p>
        </w:tc>
        <w:tc>
          <w:tcPr>
            <w:tcW w:w="1692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489.9</w:t>
            </w:r>
          </w:p>
        </w:tc>
        <w:tc>
          <w:tcPr>
            <w:tcW w:w="1910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17.4</w:t>
            </w:r>
          </w:p>
        </w:tc>
      </w:tr>
      <w:tr>
        <w:tblPrEx>
          <w:tblBorders>
            <w:top w:val="single" w:color="0070C0" w:sz="2" w:space="0"/>
            <w:left w:val="single" w:color="0070C0" w:sz="2" w:space="0"/>
            <w:bottom w:val="single" w:color="0070C0" w:sz="2" w:space="0"/>
            <w:right w:val="single" w:color="0070C0" w:sz="2" w:space="0"/>
            <w:insideH w:val="single" w:color="0070C0" w:sz="2" w:space="0"/>
            <w:insideV w:val="single" w:color="0070C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9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rPr>
                <w:rFonts w:hint="eastAsia"/>
              </w:rPr>
              <w:t>农村网络零售额</w:t>
            </w:r>
          </w:p>
        </w:tc>
        <w:tc>
          <w:tcPr>
            <w:tcW w:w="1692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473.2</w:t>
            </w:r>
          </w:p>
        </w:tc>
        <w:tc>
          <w:tcPr>
            <w:tcW w:w="1910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14.9</w:t>
            </w:r>
          </w:p>
        </w:tc>
      </w:tr>
      <w:tr>
        <w:tblPrEx>
          <w:tblBorders>
            <w:top w:val="single" w:color="0070C0" w:sz="2" w:space="0"/>
            <w:left w:val="single" w:color="0070C0" w:sz="2" w:space="0"/>
            <w:bottom w:val="single" w:color="0070C0" w:sz="2" w:space="0"/>
            <w:right w:val="single" w:color="0070C0" w:sz="2" w:space="0"/>
            <w:insideH w:val="single" w:color="0070C0" w:sz="2" w:space="0"/>
            <w:insideV w:val="single" w:color="0070C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9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rPr>
                <w:rFonts w:hint="eastAsia"/>
              </w:rPr>
              <w:t>农产品网络零售额</w:t>
            </w:r>
          </w:p>
        </w:tc>
        <w:tc>
          <w:tcPr>
            <w:tcW w:w="1692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104.8</w:t>
            </w:r>
          </w:p>
        </w:tc>
        <w:tc>
          <w:tcPr>
            <w:tcW w:w="1910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6.7</w:t>
            </w:r>
          </w:p>
        </w:tc>
      </w:tr>
    </w:tbl>
    <w:p>
      <w:pPr>
        <w:ind w:firstLine="640"/>
        <w:rPr>
          <w:rFonts w:hint="eastAsia"/>
        </w:rPr>
      </w:pPr>
      <w:bookmarkStart w:id="0" w:name="_Toc46758693"/>
      <w:bookmarkEnd w:id="0"/>
      <w:bookmarkStart w:id="1" w:name="_Toc46845336"/>
      <w:bookmarkEnd w:id="1"/>
      <w:bookmarkStart w:id="2" w:name="_Toc46392977"/>
      <w:bookmarkEnd w:id="2"/>
      <w:bookmarkStart w:id="3" w:name="_Toc46845288"/>
      <w:bookmarkEnd w:id="3"/>
      <w:bookmarkStart w:id="4" w:name="_Toc46846376"/>
      <w:bookmarkEnd w:id="4"/>
      <w:bookmarkStart w:id="5" w:name="_Toc46846542"/>
      <w:bookmarkEnd w:id="5"/>
      <w:bookmarkStart w:id="6" w:name="_Toc46393236"/>
      <w:bookmarkEnd w:id="6"/>
      <w:bookmarkStart w:id="7" w:name="_Toc46846220"/>
      <w:bookmarkEnd w:id="7"/>
      <w:bookmarkStart w:id="8" w:name="_Toc46850205"/>
      <w:bookmarkEnd w:id="8"/>
      <w:bookmarkStart w:id="9" w:name="_Toc46847182"/>
      <w:bookmarkEnd w:id="9"/>
      <w:bookmarkStart w:id="10" w:name="_Toc46754175"/>
      <w:bookmarkEnd w:id="10"/>
      <w:bookmarkStart w:id="11" w:name="_Toc46847893"/>
      <w:bookmarkEnd w:id="11"/>
      <w:bookmarkStart w:id="12" w:name="_Toc46741021"/>
      <w:bookmarkEnd w:id="12"/>
      <w:bookmarkStart w:id="13" w:name="_Toc46845981"/>
      <w:bookmarkEnd w:id="13"/>
      <w:bookmarkStart w:id="14" w:name="_Toc46392803"/>
      <w:bookmarkEnd w:id="14"/>
      <w:bookmarkStart w:id="15" w:name="_Toc46477259"/>
      <w:bookmarkEnd w:id="15"/>
      <w:bookmarkStart w:id="16" w:name="_Toc46762924"/>
      <w:bookmarkEnd w:id="16"/>
      <w:bookmarkStart w:id="17" w:name="_Toc46850374"/>
      <w:bookmarkEnd w:id="17"/>
      <w:bookmarkStart w:id="18" w:name="_Toc46846265"/>
      <w:bookmarkEnd w:id="18"/>
      <w:bookmarkStart w:id="19" w:name="_Toc46392621"/>
      <w:bookmarkEnd w:id="19"/>
      <w:bookmarkStart w:id="20" w:name="_Toc46844981"/>
      <w:bookmarkEnd w:id="20"/>
      <w:bookmarkStart w:id="21" w:name="_Toc46849969"/>
      <w:bookmarkEnd w:id="21"/>
      <w:bookmarkStart w:id="22" w:name="_Toc46847794"/>
      <w:bookmarkEnd w:id="22"/>
      <w:bookmarkStart w:id="23" w:name="_Toc46393467"/>
      <w:bookmarkEnd w:id="23"/>
      <w:bookmarkStart w:id="24" w:name="_Toc46846971"/>
      <w:bookmarkEnd w:id="24"/>
      <w:bookmarkStart w:id="25" w:name="_Toc46846932"/>
      <w:bookmarkEnd w:id="25"/>
      <w:bookmarkStart w:id="26" w:name="_Toc46416288"/>
      <w:bookmarkEnd w:id="26"/>
      <w:bookmarkStart w:id="27" w:name="_Toc46754261"/>
      <w:bookmarkEnd w:id="27"/>
      <w:bookmarkStart w:id="28" w:name="_Toc46392936"/>
      <w:bookmarkEnd w:id="28"/>
      <w:bookmarkStart w:id="29" w:name="_Toc46735828"/>
      <w:bookmarkEnd w:id="29"/>
      <w:bookmarkStart w:id="30" w:name="_Toc46416488"/>
      <w:bookmarkEnd w:id="30"/>
      <w:bookmarkStart w:id="31" w:name="_Toc46852494"/>
      <w:bookmarkEnd w:id="31"/>
      <w:bookmarkStart w:id="32" w:name="_Toc46393308"/>
      <w:bookmarkEnd w:id="32"/>
      <w:bookmarkStart w:id="33" w:name="_Toc46393018"/>
      <w:bookmarkEnd w:id="33"/>
      <w:bookmarkStart w:id="34" w:name="_Toc46392586"/>
      <w:bookmarkEnd w:id="34"/>
      <w:bookmarkStart w:id="35" w:name="_Toc46847010"/>
      <w:bookmarkEnd w:id="35"/>
      <w:bookmarkStart w:id="36" w:name="_Toc46846575"/>
      <w:bookmarkEnd w:id="36"/>
      <w:bookmarkStart w:id="37" w:name="_Toc46847458"/>
      <w:bookmarkEnd w:id="37"/>
      <w:bookmarkStart w:id="38" w:name="_Toc46853167"/>
      <w:bookmarkEnd w:id="38"/>
      <w:bookmarkStart w:id="39" w:name="_Toc46844584"/>
      <w:bookmarkEnd w:id="39"/>
      <w:bookmarkStart w:id="40" w:name="_Toc46847419"/>
      <w:bookmarkEnd w:id="40"/>
      <w:bookmarkStart w:id="41" w:name="_Toc46416203"/>
      <w:bookmarkEnd w:id="41"/>
      <w:bookmarkStart w:id="42" w:name="_Toc46758661"/>
      <w:bookmarkEnd w:id="42"/>
      <w:bookmarkStart w:id="43" w:name="_Toc46853925"/>
      <w:bookmarkEnd w:id="43"/>
      <w:bookmarkStart w:id="44" w:name="_Toc46846142"/>
      <w:bookmarkEnd w:id="44"/>
      <w:bookmarkStart w:id="45" w:name="_Toc46846798"/>
      <w:bookmarkEnd w:id="45"/>
      <w:bookmarkStart w:id="46" w:name="_Toc46846343"/>
      <w:bookmarkEnd w:id="46"/>
      <w:bookmarkStart w:id="47" w:name="_Toc46852461"/>
      <w:bookmarkEnd w:id="47"/>
      <w:bookmarkStart w:id="48" w:name="_Toc46847279"/>
      <w:bookmarkEnd w:id="48"/>
      <w:bookmarkStart w:id="49" w:name="_Toc46758629"/>
      <w:bookmarkEnd w:id="49"/>
      <w:bookmarkStart w:id="50" w:name="_Toc46416365"/>
      <w:bookmarkEnd w:id="50"/>
      <w:bookmarkStart w:id="51" w:name="_Toc46392738"/>
      <w:bookmarkEnd w:id="51"/>
      <w:bookmarkStart w:id="52" w:name="_Toc46393343"/>
      <w:bookmarkEnd w:id="52"/>
      <w:bookmarkStart w:id="53" w:name="_Toc46847104"/>
      <w:bookmarkEnd w:id="53"/>
      <w:bookmarkStart w:id="54" w:name="_Toc46393163"/>
      <w:bookmarkEnd w:id="54"/>
      <w:bookmarkStart w:id="55" w:name="_Toc46844781"/>
      <w:bookmarkEnd w:id="55"/>
      <w:bookmarkStart w:id="56" w:name="_Toc46847604"/>
      <w:bookmarkEnd w:id="56"/>
      <w:bookmarkStart w:id="57" w:name="_Toc46908085"/>
      <w:bookmarkEnd w:id="57"/>
      <w:bookmarkStart w:id="58" w:name="_Toc46393432"/>
      <w:bookmarkEnd w:id="58"/>
      <w:bookmarkStart w:id="59" w:name="_Toc46839448"/>
      <w:bookmarkEnd w:id="59"/>
      <w:bookmarkStart w:id="60" w:name="_Toc46754485"/>
      <w:bookmarkEnd w:id="60"/>
      <w:bookmarkStart w:id="61" w:name="_Toc46853958"/>
      <w:bookmarkEnd w:id="61"/>
      <w:bookmarkStart w:id="62" w:name="_Toc46847049"/>
      <w:bookmarkEnd w:id="62"/>
      <w:bookmarkStart w:id="63" w:name="_Toc46392895"/>
      <w:bookmarkEnd w:id="63"/>
      <w:bookmarkStart w:id="64" w:name="_Toc46393053"/>
      <w:bookmarkEnd w:id="64"/>
      <w:bookmarkStart w:id="65" w:name="_Toc46846181"/>
      <w:bookmarkEnd w:id="65"/>
      <w:bookmarkStart w:id="66" w:name="_Toc46849936"/>
      <w:bookmarkEnd w:id="66"/>
      <w:bookmarkStart w:id="67" w:name="_Toc46846304"/>
      <w:bookmarkEnd w:id="67"/>
      <w:bookmarkStart w:id="68" w:name="_Toc46392838"/>
      <w:bookmarkEnd w:id="68"/>
      <w:bookmarkStart w:id="69" w:name="_Toc46847143"/>
      <w:bookmarkEnd w:id="69"/>
    </w:p>
    <w:p>
      <w:pPr>
        <w:ind w:left="0" w:leftChars="0" w:firstLine="0" w:firstLineChars="0"/>
        <w:rPr>
          <w:rFonts w:hint="eastAsia" w:eastAsia="方正仿宋_GBK"/>
          <w:lang w:eastAsia="zh-CN"/>
        </w:rPr>
      </w:pPr>
      <w:bookmarkStart w:id="70" w:name="_GoBack"/>
      <w:bookmarkEnd w:id="7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588" w:bottom="1871" w:left="1588" w:header="624" w:footer="624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3745019"/>
      <w:docPartObj>
        <w:docPartGallery w:val="autotext"/>
      </w:docPartObj>
    </w:sdtPr>
    <w:sdtContent>
      <w:p>
        <w:pPr>
          <w:pStyle w:val="7"/>
        </w:pPr>
        <w:r>
          <w:t>—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6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5602B"/>
    <w:multiLevelType w:val="multilevel"/>
    <w:tmpl w:val="2F25602B"/>
    <w:lvl w:ilvl="0" w:tentative="0">
      <w:start w:val="1"/>
      <w:numFmt w:val="decimal"/>
      <w:pStyle w:val="5"/>
      <w:suff w:val="space"/>
      <w:lvlText w:val="%1."/>
      <w:lvlJc w:val="left"/>
      <w:pPr>
        <w:ind w:left="420" w:hanging="420"/>
      </w:pPr>
      <w:rPr>
        <w:rFonts w:hint="default" w:ascii="仿宋" w:hAnsi="仿宋" w:eastAsia="仿宋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6BE57313"/>
    <w:multiLevelType w:val="multilevel"/>
    <w:tmpl w:val="6BE57313"/>
    <w:lvl w:ilvl="0" w:tentative="0">
      <w:start w:val="1"/>
      <w:numFmt w:val="chineseCountingThousand"/>
      <w:pStyle w:val="4"/>
      <w:suff w:val="nothing"/>
      <w:lvlText w:val="%1、"/>
      <w:lvlJc w:val="left"/>
      <w:pPr>
        <w:ind w:left="0" w:firstLine="0"/>
      </w:pPr>
      <w:rPr>
        <w:rFonts w:hint="eastAsia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A1D8B"/>
    <w:rsid w:val="0004035D"/>
    <w:rsid w:val="000867C5"/>
    <w:rsid w:val="00090DFE"/>
    <w:rsid w:val="00097819"/>
    <w:rsid w:val="000A0C9E"/>
    <w:rsid w:val="0010594E"/>
    <w:rsid w:val="001536F6"/>
    <w:rsid w:val="0018612F"/>
    <w:rsid w:val="00186699"/>
    <w:rsid w:val="001C1367"/>
    <w:rsid w:val="00220221"/>
    <w:rsid w:val="00226322"/>
    <w:rsid w:val="0024031E"/>
    <w:rsid w:val="00371F41"/>
    <w:rsid w:val="003A7FFC"/>
    <w:rsid w:val="003E3909"/>
    <w:rsid w:val="004276CB"/>
    <w:rsid w:val="00451494"/>
    <w:rsid w:val="004A4332"/>
    <w:rsid w:val="004B4F40"/>
    <w:rsid w:val="004D7F77"/>
    <w:rsid w:val="004E3339"/>
    <w:rsid w:val="004E73DD"/>
    <w:rsid w:val="005233B1"/>
    <w:rsid w:val="00557068"/>
    <w:rsid w:val="00586828"/>
    <w:rsid w:val="006210C5"/>
    <w:rsid w:val="006858DC"/>
    <w:rsid w:val="00695BB5"/>
    <w:rsid w:val="0071728B"/>
    <w:rsid w:val="0078429F"/>
    <w:rsid w:val="007E32CA"/>
    <w:rsid w:val="008404EA"/>
    <w:rsid w:val="00843E97"/>
    <w:rsid w:val="009077EC"/>
    <w:rsid w:val="00932A5C"/>
    <w:rsid w:val="009547E5"/>
    <w:rsid w:val="00967771"/>
    <w:rsid w:val="009705ED"/>
    <w:rsid w:val="00996177"/>
    <w:rsid w:val="00A2204A"/>
    <w:rsid w:val="00AB62D4"/>
    <w:rsid w:val="00AE3146"/>
    <w:rsid w:val="00B12B7E"/>
    <w:rsid w:val="00B14878"/>
    <w:rsid w:val="00B51CCC"/>
    <w:rsid w:val="00BB214F"/>
    <w:rsid w:val="00BB4BE0"/>
    <w:rsid w:val="00BD2BF5"/>
    <w:rsid w:val="00C4567F"/>
    <w:rsid w:val="00C63580"/>
    <w:rsid w:val="00C73CE9"/>
    <w:rsid w:val="00C92A78"/>
    <w:rsid w:val="00C95C9F"/>
    <w:rsid w:val="00CC6324"/>
    <w:rsid w:val="00CE31E3"/>
    <w:rsid w:val="00CF16EF"/>
    <w:rsid w:val="00D95DFC"/>
    <w:rsid w:val="00DC1957"/>
    <w:rsid w:val="00DF410E"/>
    <w:rsid w:val="00E048D9"/>
    <w:rsid w:val="00E9151F"/>
    <w:rsid w:val="00EC537C"/>
    <w:rsid w:val="00F03E88"/>
    <w:rsid w:val="00F06649"/>
    <w:rsid w:val="00F5027D"/>
    <w:rsid w:val="00F77339"/>
    <w:rsid w:val="00FF33AA"/>
    <w:rsid w:val="0B5175F0"/>
    <w:rsid w:val="10B219C9"/>
    <w:rsid w:val="144774CA"/>
    <w:rsid w:val="163F02BF"/>
    <w:rsid w:val="1FDAE497"/>
    <w:rsid w:val="2F673022"/>
    <w:rsid w:val="5C0A1D8B"/>
    <w:rsid w:val="5FECFE9E"/>
    <w:rsid w:val="63DF169E"/>
    <w:rsid w:val="7BFF9671"/>
    <w:rsid w:val="7F1D0398"/>
    <w:rsid w:val="97EA7F7E"/>
    <w:rsid w:val="DFEB0A1F"/>
    <w:rsid w:val="EFFD8735"/>
    <w:rsid w:val="F7E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40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18"/>
      <w:lang w:val="en-US" w:eastAsia="zh-CN" w:bidi="ar-SA"/>
    </w:rPr>
  </w:style>
  <w:style w:type="paragraph" w:styleId="2">
    <w:name w:val="heading 1"/>
    <w:basedOn w:val="1"/>
    <w:next w:val="3"/>
    <w:link w:val="15"/>
    <w:qFormat/>
    <w:uiPriority w:val="9"/>
    <w:pPr>
      <w:keepNext/>
      <w:keepLines/>
      <w:spacing w:after="100" w:afterLines="100"/>
      <w:jc w:val="center"/>
      <w:outlineLvl w:val="0"/>
    </w:pPr>
    <w:rPr>
      <w:rFonts w:eastAsia="方正小标宋_GBK"/>
      <w:b/>
      <w:kern w:val="44"/>
      <w:sz w:val="36"/>
      <w:szCs w:val="44"/>
    </w:rPr>
  </w:style>
  <w:style w:type="paragraph" w:styleId="4">
    <w:name w:val="heading 2"/>
    <w:basedOn w:val="1"/>
    <w:next w:val="1"/>
    <w:link w:val="16"/>
    <w:unhideWhenUsed/>
    <w:qFormat/>
    <w:uiPriority w:val="9"/>
    <w:pPr>
      <w:keepNext/>
      <w:keepLines/>
      <w:numPr>
        <w:ilvl w:val="0"/>
        <w:numId w:val="1"/>
      </w:numPr>
      <w:spacing w:before="156"/>
      <w:ind w:firstLine="482"/>
      <w:outlineLvl w:val="1"/>
    </w:pPr>
    <w:rPr>
      <w:rFonts w:eastAsia="方正黑体简体" w:cstheme="majorBidi"/>
      <w:b/>
      <w:szCs w:val="32"/>
    </w:rPr>
  </w:style>
  <w:style w:type="paragraph" w:styleId="5">
    <w:name w:val="heading 3"/>
    <w:basedOn w:val="1"/>
    <w:next w:val="1"/>
    <w:link w:val="17"/>
    <w:unhideWhenUsed/>
    <w:qFormat/>
    <w:uiPriority w:val="9"/>
    <w:pPr>
      <w:keepNext/>
      <w:keepLines/>
      <w:numPr>
        <w:ilvl w:val="0"/>
        <w:numId w:val="2"/>
      </w:numPr>
      <w:spacing w:before="217" w:beforeLines="50" w:after="217" w:afterLines="50"/>
      <w:jc w:val="left"/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 Spacing"/>
    <w:qFormat/>
    <w:uiPriority w:val="1"/>
    <w:pPr>
      <w:widowControl w:val="0"/>
      <w:spacing w:line="360" w:lineRule="auto"/>
      <w:jc w:val="center"/>
    </w:pPr>
    <w:rPr>
      <w:rFonts w:ascii="仿宋" w:hAnsi="仿宋" w:eastAsia="仿宋" w:cstheme="minorBidi"/>
      <w:kern w:val="2"/>
      <w:sz w:val="24"/>
      <w:szCs w:val="18"/>
      <w:lang w:val="en-US" w:eastAsia="zh-CN" w:bidi="ar-SA"/>
    </w:rPr>
  </w:style>
  <w:style w:type="paragraph" w:styleId="6">
    <w:name w:val="caption"/>
    <w:basedOn w:val="1"/>
    <w:next w:val="1"/>
    <w:unhideWhenUsed/>
    <w:qFormat/>
    <w:uiPriority w:val="35"/>
    <w:pPr>
      <w:snapToGrid w:val="0"/>
      <w:ind w:firstLine="0" w:firstLineChars="0"/>
      <w:jc w:val="center"/>
    </w:pPr>
    <w:rPr>
      <w:rFonts w:cstheme="majorBidi"/>
      <w:b/>
      <w:sz w:val="28"/>
      <w:szCs w:val="24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560" w:lineRule="exact"/>
      <w:ind w:firstLine="0" w:firstLineChars="0"/>
      <w:jc w:val="center"/>
    </w:pPr>
    <w:rPr>
      <w:rFonts w:ascii="宋体" w:hAnsi="宋体" w:eastAsia="宋体"/>
      <w:sz w:val="2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</w:style>
  <w:style w:type="paragraph" w:styleId="9">
    <w:name w:val="footnote text"/>
    <w:link w:val="22"/>
    <w:semiHidden/>
    <w:unhideWhenUsed/>
    <w:qFormat/>
    <w:uiPriority w:val="99"/>
    <w:rPr>
      <w:rFonts w:asciiTheme="minorHAnsi" w:hAnsiTheme="minorHAnsi" w:eastAsiaTheme="minorEastAsia" w:cstheme="minorBidi"/>
      <w:lang w:val="en-US" w:eastAsia="zh-CN" w:bidi="ar-SA"/>
    </w:rPr>
  </w:style>
  <w:style w:type="character" w:styleId="12">
    <w:name w:val="footnote reference"/>
    <w:semiHidden/>
    <w:unhideWhenUsed/>
    <w:qFormat/>
    <w:uiPriority w:val="99"/>
    <w:rPr>
      <w:vertAlign w:val="superscript"/>
    </w:rPr>
  </w:style>
  <w:style w:type="table" w:customStyle="1" w:styleId="13">
    <w:name w:val="映潮表格"/>
    <w:basedOn w:val="10"/>
    <w:qFormat/>
    <w:uiPriority w:val="99"/>
    <w:pPr>
      <w:adjustRightInd w:val="0"/>
      <w:spacing w:line="276" w:lineRule="auto"/>
    </w:pPr>
    <w:tblPr>
      <w:tblBorders>
        <w:top w:val="single" w:color="BEBEBE" w:themeColor="background1" w:themeShade="BF" w:sz="2" w:space="0"/>
        <w:left w:val="single" w:color="BEBEBE" w:themeColor="background1" w:themeShade="BF" w:sz="2" w:space="0"/>
        <w:bottom w:val="single" w:color="BEBEBE" w:themeColor="background1" w:themeShade="BF" w:sz="2" w:space="0"/>
        <w:right w:val="single" w:color="BEBEBE" w:themeColor="background1" w:themeShade="BF" w:sz="2" w:space="0"/>
        <w:insideH w:val="single" w:color="BEBEBE" w:themeColor="background1" w:themeShade="BF" w:sz="2" w:space="0"/>
        <w:insideV w:val="single" w:color="BEBEBE" w:themeColor="background1" w:themeShade="BF" w:sz="2" w:space="0"/>
      </w:tblBorders>
    </w:tblPr>
    <w:tcPr>
      <w:vAlign w:val="center"/>
    </w:tcPr>
    <w:tblStylePr w:type="firstRow">
      <w:pPr>
        <w:wordWrap/>
        <w:jc w:val="center"/>
      </w:pPr>
      <w:rPr>
        <w:rFonts w:eastAsia="仿宋"/>
        <w:b/>
        <w:i w:val="0"/>
        <w:color w:val="FFFFFF" w:themeColor="background1"/>
        <w:sz w:val="24"/>
        <w14:textFill>
          <w14:solidFill>
            <w14:schemeClr w14:val="bg1"/>
          </w14:solidFill>
        </w14:textFill>
      </w:rPr>
      <w:tcPr>
        <w:shd w:val="clear" w:color="auto" w:fill="377FB3"/>
      </w:tcPr>
    </w:tblStylePr>
  </w:style>
  <w:style w:type="character" w:customStyle="1" w:styleId="14">
    <w:name w:val="脚注文本 字符"/>
    <w:semiHidden/>
    <w:qFormat/>
    <w:uiPriority w:val="99"/>
    <w:rPr>
      <w:sz w:val="20"/>
      <w:szCs w:val="20"/>
    </w:rPr>
  </w:style>
  <w:style w:type="character" w:customStyle="1" w:styleId="15">
    <w:name w:val="标题 1 字符"/>
    <w:basedOn w:val="11"/>
    <w:link w:val="2"/>
    <w:qFormat/>
    <w:uiPriority w:val="9"/>
    <w:rPr>
      <w:rFonts w:ascii="Times New Roman" w:hAnsi="Times New Roman" w:eastAsia="方正小标宋_GBK"/>
      <w:b/>
      <w:kern w:val="44"/>
      <w:sz w:val="36"/>
      <w:szCs w:val="44"/>
    </w:rPr>
  </w:style>
  <w:style w:type="character" w:customStyle="1" w:styleId="16">
    <w:name w:val="标题 2 字符"/>
    <w:basedOn w:val="11"/>
    <w:link w:val="4"/>
    <w:qFormat/>
    <w:uiPriority w:val="9"/>
    <w:rPr>
      <w:rFonts w:ascii="Times New Roman" w:hAnsi="Times New Roman" w:eastAsia="方正黑体简体" w:cstheme="majorBidi"/>
      <w:b/>
      <w:kern w:val="2"/>
      <w:sz w:val="32"/>
      <w:szCs w:val="32"/>
    </w:rPr>
  </w:style>
  <w:style w:type="character" w:customStyle="1" w:styleId="17">
    <w:name w:val="标题 3 字符"/>
    <w:basedOn w:val="11"/>
    <w:link w:val="5"/>
    <w:qFormat/>
    <w:uiPriority w:val="9"/>
    <w:rPr>
      <w:rFonts w:ascii="仿宋" w:hAnsi="仿宋" w:eastAsia="仿宋"/>
      <w:b/>
      <w:bCs/>
      <w:kern w:val="2"/>
      <w:sz w:val="24"/>
      <w:szCs w:val="32"/>
    </w:rPr>
  </w:style>
  <w:style w:type="paragraph" w:styleId="18">
    <w:name w:val="List Paragraph"/>
    <w:basedOn w:val="1"/>
    <w:qFormat/>
    <w:uiPriority w:val="34"/>
    <w:pPr>
      <w:spacing w:line="0" w:lineRule="atLeast"/>
      <w:ind w:firstLine="0" w:firstLineChars="0"/>
    </w:pPr>
    <w:rPr>
      <w:sz w:val="24"/>
    </w:rPr>
  </w:style>
  <w:style w:type="character" w:customStyle="1" w:styleId="19">
    <w:name w:val="页脚 字符"/>
    <w:basedOn w:val="11"/>
    <w:link w:val="7"/>
    <w:qFormat/>
    <w:uiPriority w:val="99"/>
    <w:rPr>
      <w:rFonts w:ascii="宋体" w:hAnsi="宋体" w:eastAsia="宋体"/>
      <w:kern w:val="2"/>
      <w:sz w:val="28"/>
      <w:szCs w:val="18"/>
    </w:rPr>
  </w:style>
  <w:style w:type="character" w:customStyle="1" w:styleId="20">
    <w:name w:val="页眉 字符"/>
    <w:basedOn w:val="11"/>
    <w:link w:val="8"/>
    <w:qFormat/>
    <w:uiPriority w:val="99"/>
    <w:rPr>
      <w:rFonts w:ascii="仿宋" w:hAnsi="仿宋" w:eastAsia="仿宋"/>
      <w:kern w:val="2"/>
      <w:sz w:val="24"/>
      <w:szCs w:val="18"/>
    </w:rPr>
  </w:style>
  <w:style w:type="paragraph" w:customStyle="1" w:styleId="21">
    <w:name w:val="TOC 标题1"/>
    <w:basedOn w:val="2"/>
    <w:next w:val="1"/>
    <w:unhideWhenUsed/>
    <w:qFormat/>
    <w:uiPriority w:val="39"/>
    <w:p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/>
      <w:color w:val="2E75B6" w:themeColor="accent1" w:themeShade="BF"/>
      <w:kern w:val="0"/>
      <w:sz w:val="32"/>
      <w:szCs w:val="32"/>
    </w:rPr>
  </w:style>
  <w:style w:type="character" w:customStyle="1" w:styleId="22">
    <w:name w:val="脚注文本 字符1"/>
    <w:link w:val="9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696</Characters>
  <Lines>5</Lines>
  <Paragraphs>1</Paragraphs>
  <TotalTime>3947</TotalTime>
  <ScaleCrop>false</ScaleCrop>
  <LinksUpToDate>false</LinksUpToDate>
  <CharactersWithSpaces>816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2021-05-11T11:19:00Z</dcterms:created>
  <dc:creator>LENOVO</dc:creator>
  <cp:lastModifiedBy>user</cp:lastModifiedBy>
  <cp:lastPrinted>2023-01-13T08:39:00Z</cp:lastPrinted>
  <dcterms:modified xsi:type="dcterms:W3CDTF">2024-04-07T11:28:05Z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1BC3D6AD36A34370953F49044A8BD9A7</vt:lpwstr>
  </property>
</Properties>
</file>