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7A08C">
      <w:pPr>
        <w:pStyle w:val="2"/>
        <w:spacing w:after="435"/>
        <w:ind w:firstLine="723"/>
        <w:rPr>
          <w:rFonts w:hint="default" w:eastAsia="方正小标宋_GBK"/>
          <w:lang w:val="en-US" w:eastAsia="zh-CN"/>
        </w:rPr>
      </w:pPr>
      <w:bookmarkStart w:id="0" w:name="_Toc71383206"/>
      <w:r>
        <w:rPr>
          <w:rFonts w:hint="eastAsia"/>
        </w:rPr>
        <w:t>2024年1-12月</w:t>
      </w:r>
      <w:bookmarkEnd w:id="0"/>
      <w:r>
        <w:rPr>
          <w:rFonts w:hint="eastAsia"/>
          <w:lang w:val="en-US" w:eastAsia="zh-CN"/>
        </w:rPr>
        <w:t>电商主要交易指标</w:t>
      </w:r>
    </w:p>
    <w:p w14:paraId="49324E26">
      <w:pPr>
        <w:pStyle w:val="6"/>
        <w:spacing w:before="156" w:after="156" w:line="580" w:lineRule="exact"/>
      </w:pPr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2024年1-12月</w:t>
      </w:r>
      <w:r>
        <w:rPr>
          <w:rFonts w:hint="eastAsia"/>
        </w:rPr>
        <w:t>电商主要交易指标及同比增速</w:t>
      </w:r>
    </w:p>
    <w:tbl>
      <w:tblPr>
        <w:tblStyle w:val="14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 w14:paraId="43116A08"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 w14:paraId="56F53EC1">
            <w:pPr>
              <w:pStyle w:val="19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 w14:paraId="0BB8EFD5">
            <w:pPr>
              <w:pStyle w:val="19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 w14:paraId="25955305">
            <w:pPr>
              <w:pStyle w:val="19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 w14:paraId="3CBDB8D4"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 w14:paraId="1470D4AE">
            <w:pPr>
              <w:pStyle w:val="19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 w14:paraId="33F7B344">
            <w:pPr>
              <w:pStyle w:val="19"/>
              <w:adjustRightInd w:val="0"/>
              <w:jc w:val="center"/>
            </w:pPr>
            <w:r>
              <w:t>49,809.7</w:t>
            </w:r>
          </w:p>
        </w:tc>
        <w:tc>
          <w:tcPr>
            <w:tcW w:w="1910" w:type="pct"/>
            <w:vAlign w:val="center"/>
          </w:tcPr>
          <w:p w14:paraId="75EE1E45">
            <w:pPr>
              <w:pStyle w:val="19"/>
              <w:adjustRightInd w:val="0"/>
              <w:jc w:val="center"/>
            </w:pPr>
            <w:r>
              <w:t>5.8</w:t>
            </w:r>
          </w:p>
        </w:tc>
      </w:tr>
      <w:tr w14:paraId="537CB076"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 w14:paraId="7640781F">
            <w:pPr>
              <w:pStyle w:val="19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 w14:paraId="05CD8CF5">
            <w:pPr>
              <w:pStyle w:val="19"/>
              <w:adjustRightInd w:val="0"/>
              <w:jc w:val="center"/>
            </w:pPr>
            <w:r>
              <w:t>9,548.8</w:t>
            </w:r>
          </w:p>
        </w:tc>
        <w:tc>
          <w:tcPr>
            <w:tcW w:w="1910" w:type="pct"/>
            <w:vAlign w:val="center"/>
          </w:tcPr>
          <w:p w14:paraId="7B24048F">
            <w:pPr>
              <w:pStyle w:val="19"/>
              <w:adjustRightInd w:val="0"/>
              <w:jc w:val="center"/>
            </w:pPr>
            <w:r>
              <w:t>10.1</w:t>
            </w:r>
          </w:p>
        </w:tc>
      </w:tr>
      <w:tr w14:paraId="76A2C4BC"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 w14:paraId="0E8E9F42">
            <w:pPr>
              <w:pStyle w:val="19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 w14:paraId="1BD07805">
            <w:pPr>
              <w:pStyle w:val="19"/>
              <w:adjustRightInd w:val="0"/>
              <w:jc w:val="center"/>
            </w:pPr>
            <w:r>
              <w:t>6,655.7</w:t>
            </w:r>
          </w:p>
        </w:tc>
        <w:tc>
          <w:tcPr>
            <w:tcW w:w="1910" w:type="pct"/>
            <w:vAlign w:val="center"/>
          </w:tcPr>
          <w:p w14:paraId="41EB2119">
            <w:pPr>
              <w:pStyle w:val="19"/>
              <w:adjustRightInd w:val="0"/>
              <w:jc w:val="center"/>
            </w:pPr>
            <w:r>
              <w:t>8.7</w:t>
            </w:r>
          </w:p>
        </w:tc>
      </w:tr>
      <w:tr w14:paraId="0242B70E"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 w14:paraId="3BCFFCFF">
            <w:pPr>
              <w:pStyle w:val="19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 w14:paraId="08C86BF8">
            <w:pPr>
              <w:pStyle w:val="19"/>
              <w:adjustRightInd w:val="0"/>
              <w:jc w:val="center"/>
            </w:pPr>
            <w:r>
              <w:t>2,893.1</w:t>
            </w:r>
          </w:p>
        </w:tc>
        <w:tc>
          <w:tcPr>
            <w:tcW w:w="1910" w:type="pct"/>
            <w:vAlign w:val="center"/>
          </w:tcPr>
          <w:p w14:paraId="36B84AEC">
            <w:pPr>
              <w:pStyle w:val="19"/>
              <w:adjustRightInd w:val="0"/>
              <w:jc w:val="center"/>
            </w:pPr>
            <w:r>
              <w:t>13.2</w:t>
            </w:r>
          </w:p>
        </w:tc>
      </w:tr>
      <w:tr w14:paraId="324DA6DF"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 w14:paraId="0EBB5CBA">
            <w:pPr>
              <w:pStyle w:val="19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 w14:paraId="478A124C">
            <w:pPr>
              <w:pStyle w:val="19"/>
              <w:adjustRightInd w:val="0"/>
              <w:jc w:val="center"/>
            </w:pPr>
            <w:r>
              <w:t>2,893.9</w:t>
            </w:r>
          </w:p>
        </w:tc>
        <w:tc>
          <w:tcPr>
            <w:tcW w:w="1910" w:type="pct"/>
            <w:vAlign w:val="center"/>
          </w:tcPr>
          <w:p w14:paraId="3BE628A6">
            <w:pPr>
              <w:pStyle w:val="19"/>
              <w:adjustRightInd w:val="0"/>
              <w:jc w:val="center"/>
            </w:pPr>
            <w:r>
              <w:t>13.3</w:t>
            </w:r>
          </w:p>
        </w:tc>
      </w:tr>
      <w:tr w14:paraId="596A79D0"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 w14:paraId="568D807B">
            <w:pPr>
              <w:pStyle w:val="19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 w14:paraId="32A7EC2E">
            <w:pPr>
              <w:pStyle w:val="19"/>
              <w:adjustRightInd w:val="0"/>
              <w:jc w:val="center"/>
            </w:pPr>
            <w:r>
              <w:t>572.0</w:t>
            </w:r>
          </w:p>
        </w:tc>
        <w:tc>
          <w:tcPr>
            <w:tcW w:w="1910" w:type="pct"/>
            <w:vAlign w:val="center"/>
          </w:tcPr>
          <w:p w14:paraId="7E51A330">
            <w:pPr>
              <w:pStyle w:val="19"/>
              <w:adjustRightInd w:val="0"/>
              <w:jc w:val="center"/>
            </w:pPr>
            <w:r>
              <w:t>13.7</w:t>
            </w:r>
          </w:p>
        </w:tc>
      </w:tr>
    </w:tbl>
    <w:p w14:paraId="6DC401BA">
      <w:pPr>
        <w:ind w:firstLine="640"/>
        <w:rPr>
          <w:rFonts w:hint="eastAsia" w:eastAsia="方正仿宋_GBK"/>
          <w:lang w:eastAsia="zh-CN"/>
        </w:rPr>
      </w:pPr>
      <w:bookmarkStart w:id="71" w:name="_GoBack"/>
      <w:bookmarkEnd w:id="71"/>
      <w:bookmarkStart w:id="1" w:name="_Toc46846376"/>
      <w:bookmarkEnd w:id="1"/>
      <w:bookmarkStart w:id="2" w:name="_Toc46852461"/>
      <w:bookmarkEnd w:id="2"/>
      <w:bookmarkStart w:id="3" w:name="_Toc46758693"/>
      <w:bookmarkEnd w:id="3"/>
      <w:bookmarkStart w:id="4" w:name="_Toc46846265"/>
      <w:bookmarkEnd w:id="4"/>
      <w:bookmarkStart w:id="5" w:name="_Toc46846932"/>
      <w:bookmarkEnd w:id="5"/>
      <w:bookmarkStart w:id="6" w:name="_Toc46847010"/>
      <w:bookmarkEnd w:id="6"/>
      <w:bookmarkStart w:id="7" w:name="_Toc46847794"/>
      <w:bookmarkEnd w:id="7"/>
      <w:bookmarkStart w:id="8" w:name="_Toc46393432"/>
      <w:bookmarkEnd w:id="8"/>
      <w:bookmarkStart w:id="9" w:name="_Toc46845288"/>
      <w:bookmarkEnd w:id="9"/>
      <w:bookmarkStart w:id="10" w:name="_Toc46853925"/>
      <w:bookmarkEnd w:id="10"/>
      <w:bookmarkStart w:id="11" w:name="_Toc46844584"/>
      <w:bookmarkEnd w:id="11"/>
      <w:bookmarkStart w:id="12" w:name="_Toc46847143"/>
      <w:bookmarkEnd w:id="12"/>
      <w:bookmarkStart w:id="13" w:name="_Toc46844981"/>
      <w:bookmarkEnd w:id="13"/>
      <w:bookmarkStart w:id="14" w:name="_Toc46908085"/>
      <w:bookmarkEnd w:id="14"/>
      <w:bookmarkStart w:id="15" w:name="_Toc46846181"/>
      <w:bookmarkEnd w:id="15"/>
      <w:bookmarkStart w:id="16" w:name="_Toc46852494"/>
      <w:bookmarkEnd w:id="16"/>
      <w:bookmarkStart w:id="17" w:name="_Toc46846798"/>
      <w:bookmarkEnd w:id="17"/>
      <w:bookmarkStart w:id="18" w:name="_Toc46392895"/>
      <w:bookmarkEnd w:id="18"/>
      <w:bookmarkStart w:id="19" w:name="_Toc46393308"/>
      <w:bookmarkEnd w:id="19"/>
      <w:bookmarkStart w:id="20" w:name="_Toc46846971"/>
      <w:bookmarkEnd w:id="20"/>
      <w:bookmarkStart w:id="21" w:name="_Toc46846542"/>
      <w:bookmarkEnd w:id="21"/>
      <w:bookmarkStart w:id="22" w:name="_Toc46850374"/>
      <w:bookmarkEnd w:id="22"/>
      <w:bookmarkStart w:id="23" w:name="_Toc46392621"/>
      <w:bookmarkEnd w:id="23"/>
      <w:bookmarkStart w:id="24" w:name="_Toc46762924"/>
      <w:bookmarkEnd w:id="24"/>
      <w:bookmarkStart w:id="25" w:name="_Toc46392586"/>
      <w:bookmarkEnd w:id="25"/>
      <w:bookmarkStart w:id="26" w:name="_Toc46477259"/>
      <w:bookmarkEnd w:id="26"/>
      <w:bookmarkStart w:id="27" w:name="_Toc46393236"/>
      <w:bookmarkEnd w:id="27"/>
      <w:bookmarkStart w:id="28" w:name="_Toc46849969"/>
      <w:bookmarkEnd w:id="28"/>
      <w:bookmarkStart w:id="29" w:name="_Toc46847893"/>
      <w:bookmarkEnd w:id="29"/>
      <w:bookmarkStart w:id="30" w:name="_Toc46846142"/>
      <w:bookmarkEnd w:id="30"/>
      <w:bookmarkStart w:id="31" w:name="_Toc46844781"/>
      <w:bookmarkEnd w:id="31"/>
      <w:bookmarkStart w:id="32" w:name="_Toc46393467"/>
      <w:bookmarkEnd w:id="32"/>
      <w:bookmarkStart w:id="33" w:name="_Toc46416488"/>
      <w:bookmarkEnd w:id="33"/>
      <w:bookmarkStart w:id="34" w:name="_Toc46416288"/>
      <w:bookmarkEnd w:id="34"/>
      <w:bookmarkStart w:id="35" w:name="_Toc46849936"/>
      <w:bookmarkEnd w:id="35"/>
      <w:bookmarkStart w:id="36" w:name="_Toc46839448"/>
      <w:bookmarkEnd w:id="36"/>
      <w:bookmarkStart w:id="37" w:name="_Toc46754175"/>
      <w:bookmarkEnd w:id="37"/>
      <w:bookmarkStart w:id="38" w:name="_Toc46758661"/>
      <w:bookmarkEnd w:id="38"/>
      <w:bookmarkStart w:id="39" w:name="_Toc46392738"/>
      <w:bookmarkEnd w:id="39"/>
      <w:bookmarkStart w:id="40" w:name="_Toc46416203"/>
      <w:bookmarkEnd w:id="40"/>
      <w:bookmarkStart w:id="41" w:name="_Toc46853958"/>
      <w:bookmarkEnd w:id="41"/>
      <w:bookmarkStart w:id="42" w:name="_Toc46845336"/>
      <w:bookmarkEnd w:id="42"/>
      <w:bookmarkStart w:id="43" w:name="_Toc46846575"/>
      <w:bookmarkEnd w:id="43"/>
      <w:bookmarkStart w:id="44" w:name="_Toc46847279"/>
      <w:bookmarkEnd w:id="44"/>
      <w:bookmarkStart w:id="45" w:name="_Toc46846304"/>
      <w:bookmarkEnd w:id="45"/>
      <w:bookmarkStart w:id="46" w:name="_Toc46392977"/>
      <w:bookmarkEnd w:id="46"/>
      <w:bookmarkStart w:id="47" w:name="_Toc46754261"/>
      <w:bookmarkEnd w:id="47"/>
      <w:bookmarkStart w:id="48" w:name="_Toc46850205"/>
      <w:bookmarkEnd w:id="48"/>
      <w:bookmarkStart w:id="49" w:name="_Toc46416365"/>
      <w:bookmarkEnd w:id="49"/>
      <w:bookmarkStart w:id="50" w:name="_Toc46847049"/>
      <w:bookmarkEnd w:id="50"/>
      <w:bookmarkStart w:id="51" w:name="_Toc46847458"/>
      <w:bookmarkEnd w:id="51"/>
      <w:bookmarkStart w:id="52" w:name="_Toc46758629"/>
      <w:bookmarkEnd w:id="52"/>
      <w:bookmarkStart w:id="53" w:name="_Toc46846220"/>
      <w:bookmarkEnd w:id="53"/>
      <w:bookmarkStart w:id="54" w:name="_Toc46393343"/>
      <w:bookmarkEnd w:id="54"/>
      <w:bookmarkStart w:id="55" w:name="_Toc46741021"/>
      <w:bookmarkEnd w:id="55"/>
      <w:bookmarkStart w:id="56" w:name="_Toc46392838"/>
      <w:bookmarkEnd w:id="56"/>
      <w:bookmarkStart w:id="57" w:name="_Toc46845981"/>
      <w:bookmarkEnd w:id="57"/>
      <w:bookmarkStart w:id="58" w:name="_Toc46847419"/>
      <w:bookmarkEnd w:id="58"/>
      <w:bookmarkStart w:id="59" w:name="_Toc46393018"/>
      <w:bookmarkEnd w:id="59"/>
      <w:bookmarkStart w:id="60" w:name="_Toc46847104"/>
      <w:bookmarkEnd w:id="60"/>
      <w:bookmarkStart w:id="61" w:name="_Toc46392936"/>
      <w:bookmarkEnd w:id="61"/>
      <w:bookmarkStart w:id="62" w:name="_Toc46754485"/>
      <w:bookmarkEnd w:id="62"/>
      <w:bookmarkStart w:id="63" w:name="_Toc46392803"/>
      <w:bookmarkEnd w:id="63"/>
      <w:bookmarkStart w:id="64" w:name="_Toc46393163"/>
      <w:bookmarkEnd w:id="64"/>
      <w:bookmarkStart w:id="65" w:name="_Toc46847604"/>
      <w:bookmarkEnd w:id="65"/>
      <w:bookmarkStart w:id="66" w:name="_Toc46735828"/>
      <w:bookmarkEnd w:id="66"/>
      <w:bookmarkStart w:id="67" w:name="_Toc46853167"/>
      <w:bookmarkEnd w:id="67"/>
      <w:bookmarkStart w:id="68" w:name="_Toc46846343"/>
      <w:bookmarkEnd w:id="68"/>
      <w:bookmarkStart w:id="69" w:name="_Toc46393053"/>
      <w:bookmarkEnd w:id="69"/>
      <w:bookmarkStart w:id="70" w:name="_Toc46847182"/>
      <w:bookmarkEnd w:id="7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56AD44C-564F-4026-813A-F766EA7E08C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6F2569BE"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F6F30"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C0110"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DC513"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59D54"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06B5A"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7E32CA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3DBF086F"/>
    <w:rsid w:val="5AEFCD87"/>
    <w:rsid w:val="5C0A1D8B"/>
    <w:rsid w:val="5FECFE9E"/>
    <w:rsid w:val="7BFF9671"/>
    <w:rsid w:val="7F1D0398"/>
    <w:rsid w:val="97EA7F7E"/>
    <w:rsid w:val="DFEB0A1F"/>
    <w:rsid w:val="EFFD8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6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link w:val="17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link w:val="18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3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table" w:customStyle="1" w:styleId="14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5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6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7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8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9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20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1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2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3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820</Characters>
  <Lines>36</Lines>
  <Paragraphs>10</Paragraphs>
  <TotalTime>18</TotalTime>
  <ScaleCrop>false</ScaleCrop>
  <LinksUpToDate>false</LinksUpToDate>
  <CharactersWithSpaces>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2021-05-11T03:19:00Z</dcterms:created>
  <dc:creator>LENOVO</dc:creator>
  <cp:lastModifiedBy>Zoidberg</cp:lastModifiedBy>
  <cp:lastPrinted>2025-01-21T17:33:00Z</cp:lastPrinted>
  <dcterms:modified xsi:type="dcterms:W3CDTF">2025-01-21T13:29:45Z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1BC3D6AD36A34370953F49044A8BD9A7</vt:lpwstr>
  </property>
  <property fmtid="{D5CDD505-2E9C-101B-9397-08002B2CF9AE}" pid="4" name="KSOTemplateDocerSaveRecord">
    <vt:lpwstr>eyJoZGlkIjoiOTNmYjQ4N2FjZWJmM2ViOGQyNGViYTllODdiZDFlNjciLCJ1c2VySWQiOiIyNTY4NzQwMDMifQ==</vt:lpwstr>
  </property>
</Properties>
</file>