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小标宋简体" w:cs="Times New Roman"/>
          <w:b/>
          <w:bCs/>
          <w:sz w:val="32"/>
          <w:szCs w:val="32"/>
          <w:lang w:val="en-US" w:eastAsia="zh-CN"/>
        </w:rPr>
      </w:pPr>
      <w:r>
        <w:rPr>
          <w:rFonts w:hint="eastAsia" w:ascii="Times New Roman" w:hAnsi="Times New Roman" w:eastAsia="方正小标宋简体" w:cs="Times New Roman"/>
          <w:b/>
          <w:bCs/>
          <w:sz w:val="32"/>
          <w:szCs w:val="32"/>
          <w:lang w:eastAsia="zh-CN"/>
        </w:rPr>
        <w:t>附件</w:t>
      </w:r>
      <w:r>
        <w:rPr>
          <w:rFonts w:hint="eastAsia" w:ascii="Times New Roman" w:hAnsi="Times New Roman" w:eastAsia="方正小标宋简体" w:cs="Times New Roman"/>
          <w:b/>
          <w:bCs/>
          <w:sz w:val="32"/>
          <w:szCs w:val="32"/>
          <w:lang w:val="en-US" w:eastAsia="zh-CN"/>
        </w:rPr>
        <w:t>2</w:t>
      </w:r>
    </w:p>
    <w:p>
      <w:pPr>
        <w:pStyle w:val="2"/>
        <w:rPr>
          <w:rFonts w:hint="default"/>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w:t>
      </w:r>
      <w:r>
        <w:rPr>
          <w:rFonts w:hint="eastAsia" w:ascii="Times New Roman" w:hAnsi="Times New Roman" w:eastAsia="方正小标宋简体" w:cs="Times New Roman"/>
          <w:b/>
          <w:bCs/>
          <w:sz w:val="44"/>
          <w:szCs w:val="44"/>
          <w:lang w:eastAsia="zh-CN"/>
        </w:rPr>
        <w:t>四川省报废机动车回收拆解与再利用产业发展规划（</w:t>
      </w:r>
      <w:r>
        <w:rPr>
          <w:rFonts w:hint="eastAsia" w:ascii="Times New Roman" w:hAnsi="Times New Roman" w:eastAsia="方正小标宋简体" w:cs="Times New Roman"/>
          <w:b/>
          <w:bCs/>
          <w:sz w:val="44"/>
          <w:szCs w:val="44"/>
          <w:lang w:val="en-US" w:eastAsia="zh-CN"/>
        </w:rPr>
        <w:t>2022-2025年</w:t>
      </w:r>
      <w:r>
        <w:rPr>
          <w:rFonts w:hint="eastAsia" w:ascii="Times New Roman" w:hAnsi="Times New Roman" w:eastAsia="方正小标宋简体" w:cs="Times New Roman"/>
          <w:b/>
          <w:bCs/>
          <w:sz w:val="44"/>
          <w:szCs w:val="44"/>
          <w:lang w:eastAsia="zh-CN"/>
        </w:rPr>
        <w:t>）（征求意见稿）</w:t>
      </w:r>
      <w:r>
        <w:rPr>
          <w:rFonts w:hint="default" w:ascii="Times New Roman" w:hAnsi="Times New Roman" w:eastAsia="方正小标宋简体" w:cs="Times New Roman"/>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eastAsia="zh-CN"/>
        </w:rPr>
      </w:pPr>
      <w:r>
        <w:rPr>
          <w:rFonts w:hint="eastAsia" w:ascii="Times New Roman" w:hAnsi="Times New Roman" w:eastAsia="方正小标宋简体" w:cs="Times New Roman"/>
          <w:b/>
          <w:bCs/>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642" w:firstLineChars="200"/>
        <w:textAlignment w:val="auto"/>
        <w:outlineLvl w:val="9"/>
        <w:rPr>
          <w:rFonts w:hint="eastAsia" w:ascii="黑体" w:hAnsi="黑体" w:eastAsia="黑体" w:cs="黑体"/>
          <w:b/>
          <w:bCs w:val="0"/>
          <w:sz w:val="32"/>
          <w:szCs w:val="32"/>
          <w:u w:val="none"/>
          <w:lang w:val="en-US" w:eastAsia="zh-CN"/>
        </w:rPr>
      </w:pPr>
      <w:r>
        <w:rPr>
          <w:rFonts w:hint="eastAsia" w:ascii="黑体" w:hAnsi="黑体" w:eastAsia="黑体" w:cs="黑体"/>
          <w:b/>
          <w:bCs w:val="0"/>
          <w:sz w:val="32"/>
          <w:szCs w:val="32"/>
          <w:u w:val="none"/>
          <w:lang w:val="en-US" w:eastAsia="zh-CN"/>
        </w:rPr>
        <w:t>一、编制背景及过程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color w:val="auto"/>
          <w:kern w:val="2"/>
          <w:sz w:val="32"/>
          <w:szCs w:val="32"/>
          <w:lang w:val="en-US"/>
        </w:rPr>
      </w:pPr>
      <w:r>
        <w:rPr>
          <w:rFonts w:hint="eastAsia" w:ascii="Times New Roman" w:hAnsi="Times New Roman" w:eastAsia="仿宋_GB2312" w:cs="Times New Roman"/>
          <w:color w:val="auto"/>
          <w:kern w:val="2"/>
          <w:sz w:val="32"/>
          <w:szCs w:val="32"/>
          <w:lang w:val="en-US" w:eastAsia="zh-CN"/>
        </w:rPr>
        <w:t>报废机动车回收拆解与再利用包含报废机动车回收拆解、零部件回用和再制造、其他拆解产物再生利用等环节，</w:t>
      </w:r>
      <w:r>
        <w:rPr>
          <w:rFonts w:ascii="Times New Roman" w:hAnsi="Times New Roman" w:eastAsia="仿宋_GB2312" w:cs="Times New Roman"/>
          <w:color w:val="auto"/>
          <w:kern w:val="2"/>
          <w:sz w:val="32"/>
          <w:szCs w:val="32"/>
          <w:lang w:val="en-US"/>
        </w:rPr>
        <w:t>打造体现新发展理念和高质量发展要求的报废机动车回收拆解与再利用产业，实现报废机动车高效规范回收、绿色精细拆解和高值循环利用，</w:t>
      </w:r>
      <w:r>
        <w:rPr>
          <w:rFonts w:hint="eastAsia" w:ascii="Times New Roman" w:hAnsi="Times New Roman" w:eastAsia="仿宋_GB2312" w:cs="Times New Roman"/>
          <w:color w:val="auto"/>
          <w:kern w:val="2"/>
          <w:sz w:val="32"/>
          <w:szCs w:val="32"/>
          <w:lang w:val="en-US" w:eastAsia="zh-CN"/>
        </w:rPr>
        <w:t>有利于促进循环经济发展，助力碳达峰碳中和目标实现。为此，四川省商务厅启动</w:t>
      </w:r>
      <w:r>
        <w:rPr>
          <w:rFonts w:ascii="Times New Roman" w:hAnsi="Times New Roman" w:eastAsia="仿宋_GB2312" w:cs="Times New Roman"/>
          <w:color w:val="auto"/>
          <w:kern w:val="2"/>
          <w:sz w:val="32"/>
          <w:szCs w:val="32"/>
          <w:lang w:val="en-US"/>
        </w:rPr>
        <w:t>编制《四川省报废机动车回收拆解与再利用产业发展规划（2022-2025年）》。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color w:val="auto"/>
          <w:kern w:val="2"/>
          <w:sz w:val="32"/>
          <w:szCs w:val="32"/>
          <w:lang w:val="en-US" w:eastAsia="zh-CN"/>
        </w:rPr>
        <w:t>在规划</w:t>
      </w:r>
      <w:r>
        <w:rPr>
          <w:rFonts w:hint="eastAsia" w:ascii="Times New Roman" w:hAnsi="Times New Roman" w:eastAsia="仿宋_GB2312" w:cs="Times New Roman"/>
          <w:sz w:val="32"/>
          <w:szCs w:val="32"/>
          <w:lang w:eastAsia="zh-CN"/>
        </w:rPr>
        <w:t>起草过程中，规划编制组在充分调研、座谈和查阅国内外资料，征求</w:t>
      </w:r>
      <w:r>
        <w:rPr>
          <w:rFonts w:hint="default" w:ascii="Times New Roman" w:hAnsi="Times New Roman" w:eastAsia="仿宋_GB2312" w:cs="Times New Roman"/>
          <w:b w:val="0"/>
          <w:bCs w:val="0"/>
          <w:sz w:val="32"/>
          <w:szCs w:val="32"/>
          <w:lang w:eastAsia="zh-CN"/>
        </w:rPr>
        <w:t>省发展改革委、经济和信息化厅、公安厅、生态环境厅、交通运输厅</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省市场监管局</w:t>
      </w:r>
      <w:r>
        <w:rPr>
          <w:rFonts w:hint="eastAsia" w:ascii="Times New Roman" w:hAnsi="Times New Roman" w:eastAsia="仿宋_GB2312" w:cs="Times New Roman"/>
          <w:b w:val="0"/>
          <w:bCs w:val="0"/>
          <w:sz w:val="32"/>
          <w:szCs w:val="32"/>
          <w:lang w:eastAsia="zh-CN"/>
        </w:rPr>
        <w:t>等</w:t>
      </w:r>
      <w:r>
        <w:rPr>
          <w:rFonts w:hint="eastAsia" w:ascii="Times New Roman" w:hAnsi="Times New Roman" w:eastAsia="仿宋_GB2312" w:cs="Times New Roman"/>
          <w:b w:val="0"/>
          <w:bCs w:val="0"/>
          <w:sz w:val="32"/>
          <w:szCs w:val="32"/>
          <w:lang w:val="en-US" w:eastAsia="zh-CN"/>
        </w:rPr>
        <w:t>省级部门、相关企业和专家意见建议的基础上，形成</w:t>
      </w:r>
      <w:r>
        <w:rPr>
          <w:rFonts w:ascii="Times New Roman" w:hAnsi="Times New Roman" w:eastAsia="仿宋_GB2312" w:cs="Times New Roman"/>
          <w:color w:val="auto"/>
          <w:kern w:val="2"/>
          <w:sz w:val="32"/>
          <w:szCs w:val="32"/>
          <w:lang w:val="en-US"/>
        </w:rPr>
        <w:t>《四川省报废机动车回收拆解与再利用产业发展规划（2022-2025年）</w:t>
      </w:r>
      <w:r>
        <w:rPr>
          <w:rFonts w:hint="eastAsia" w:ascii="Times New Roman" w:hAnsi="Times New Roman" w:eastAsia="仿宋_GB2312" w:cs="Times New Roman"/>
          <w:color w:val="auto"/>
          <w:kern w:val="2"/>
          <w:sz w:val="32"/>
          <w:szCs w:val="32"/>
          <w:lang w:val="en-US" w:eastAsia="zh-CN"/>
        </w:rPr>
        <w:t>（征求意见稿）</w:t>
      </w:r>
      <w:r>
        <w:rPr>
          <w:rFonts w:ascii="Times New Roman" w:hAnsi="Times New Roman" w:eastAsia="仿宋_GB2312" w:cs="Times New Roman"/>
          <w:color w:val="auto"/>
          <w:kern w:val="2"/>
          <w:sz w:val="32"/>
          <w:szCs w:val="32"/>
          <w:lang w:val="en-US"/>
        </w:rPr>
        <w:t>》</w:t>
      </w:r>
      <w:r>
        <w:rPr>
          <w:rFonts w:hint="eastAsia" w:ascii="Times New Roman" w:hAnsi="Times New Roman" w:eastAsia="仿宋_GB2312" w:cs="Times New Roman"/>
          <w:color w:val="auto"/>
          <w:kern w:val="2"/>
          <w:sz w:val="32"/>
          <w:szCs w:val="32"/>
          <w:lang w:val="en-US" w:eastAsia="zh-CN"/>
        </w:rPr>
        <w:t>（以下简称《征求意见稿》）</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right="0" w:rightChars="0" w:firstLine="642" w:firstLineChars="200"/>
        <w:textAlignment w:val="auto"/>
        <w:outlineLvl w:val="9"/>
        <w:rPr>
          <w:rFonts w:hint="eastAsia" w:ascii="黑体" w:hAnsi="黑体" w:eastAsia="黑体" w:cs="黑体"/>
          <w:b/>
          <w:bCs w:val="0"/>
          <w:sz w:val="32"/>
          <w:szCs w:val="32"/>
          <w:u w:val="none"/>
          <w:lang w:val="en-US" w:eastAsia="zh-CN"/>
        </w:rPr>
      </w:pPr>
      <w:r>
        <w:rPr>
          <w:rFonts w:hint="eastAsia" w:ascii="黑体" w:hAnsi="黑体" w:eastAsia="黑体" w:cs="黑体"/>
          <w:b/>
          <w:bCs w:val="0"/>
          <w:sz w:val="32"/>
          <w:szCs w:val="32"/>
          <w:u w:val="none"/>
          <w:lang w:val="en-US" w:eastAsia="zh-CN"/>
        </w:rPr>
        <w:t>二、规划的主要内容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color w:val="auto"/>
          <w:kern w:val="2"/>
          <w:sz w:val="32"/>
          <w:szCs w:val="32"/>
          <w:lang w:val="en-US" w:eastAsia="zh-CN"/>
        </w:rPr>
        <w:t>《征求意见稿》</w:t>
      </w:r>
      <w:r>
        <w:rPr>
          <w:rFonts w:hint="eastAsia" w:ascii="Times New Roman" w:hAnsi="Times New Roman" w:eastAsia="仿宋_GB2312" w:cs="Times New Roman"/>
          <w:b w:val="0"/>
          <w:bCs w:val="0"/>
          <w:sz w:val="32"/>
          <w:szCs w:val="32"/>
          <w:lang w:val="en-US" w:eastAsia="zh-CN"/>
        </w:rPr>
        <w:t>共有5部分21项内容，其中：</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bCs/>
          <w:sz w:val="32"/>
          <w:szCs w:val="32"/>
          <w:lang w:val="en-US" w:eastAsia="zh-CN"/>
        </w:rPr>
        <w:t>第一部分“发展基础和面临的形势”。</w:t>
      </w:r>
      <w:r>
        <w:rPr>
          <w:rFonts w:hint="eastAsia" w:ascii="Times New Roman" w:hAnsi="Times New Roman" w:eastAsia="仿宋_GB2312" w:cs="Times New Roman"/>
          <w:b w:val="0"/>
          <w:bCs w:val="0"/>
          <w:sz w:val="32"/>
          <w:szCs w:val="32"/>
          <w:lang w:val="en-US" w:eastAsia="zh-CN"/>
        </w:rPr>
        <w:t>通过分析行业相关数据，阐述产业发展基础；从国际、国内、四川省三个维度，分析我省报废机动车回收拆解与再利用产业面临的形势和存在的问题，论证编制规划的必要性和紧迫性。</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Times New Roman" w:hAnsi="Times New Roman" w:eastAsia="仿宋_GB2312" w:cs="Times New Roman"/>
          <w:color w:val="auto"/>
          <w:kern w:val="2"/>
          <w:sz w:val="32"/>
          <w:szCs w:val="32"/>
          <w:lang w:val="en-US" w:eastAsia="zh-CN"/>
        </w:rPr>
      </w:pPr>
      <w:r>
        <w:rPr>
          <w:rFonts w:hint="eastAsia" w:ascii="楷体_GB2312" w:hAnsi="楷体_GB2312" w:eastAsia="楷体_GB2312" w:cs="楷体_GB2312"/>
          <w:b/>
          <w:bCs/>
          <w:sz w:val="32"/>
          <w:szCs w:val="32"/>
          <w:lang w:val="en-US" w:eastAsia="zh-CN"/>
        </w:rPr>
        <w:t>第二部分“总体要求”。</w:t>
      </w:r>
      <w:r>
        <w:rPr>
          <w:rFonts w:hint="eastAsia" w:ascii="Times New Roman" w:hAnsi="Times New Roman" w:eastAsia="仿宋_GB2312" w:cs="Times New Roman"/>
          <w:b w:val="0"/>
          <w:bCs w:val="0"/>
          <w:sz w:val="32"/>
          <w:szCs w:val="32"/>
          <w:lang w:val="en-US" w:eastAsia="zh-CN"/>
        </w:rPr>
        <w:t>包括总体思路、基本原则和发展目标。总体思路方面，提出</w:t>
      </w:r>
      <w:r>
        <w:rPr>
          <w:rFonts w:hint="eastAsia" w:ascii="Times New Roman" w:hAnsi="Times New Roman" w:eastAsia="仿宋_GB2312" w:cs="Times New Roman"/>
          <w:color w:val="auto"/>
          <w:kern w:val="2"/>
          <w:sz w:val="32"/>
          <w:szCs w:val="32"/>
          <w:lang w:val="en-US"/>
        </w:rPr>
        <w:t>立足构建新发展格局、建设现代化经济体系、推动高质量发展，始终把握保护环境、循环利用和集约高效基本原则，坚持专业化、信息化、智能化、无害化和高值化发展方向，着力构建全省报废机动车回收拆解与再利用产业体系</w:t>
      </w:r>
      <w:r>
        <w:rPr>
          <w:rFonts w:ascii="Times New Roman" w:hAnsi="Times New Roman" w:eastAsia="仿宋_GB2312" w:cs="Times New Roman"/>
          <w:color w:val="auto"/>
          <w:kern w:val="2"/>
          <w:sz w:val="32"/>
          <w:szCs w:val="32"/>
          <w:lang w:val="en-US"/>
        </w:rPr>
        <w:t>。</w:t>
      </w:r>
      <w:r>
        <w:rPr>
          <w:rFonts w:hint="eastAsia" w:ascii="Times New Roman" w:hAnsi="Times New Roman" w:eastAsia="仿宋_GB2312" w:cs="Times New Roman"/>
          <w:color w:val="auto"/>
          <w:kern w:val="2"/>
          <w:sz w:val="32"/>
          <w:szCs w:val="32"/>
          <w:lang w:val="en-US" w:eastAsia="zh-CN"/>
        </w:rPr>
        <w:t>基本原则方面。提出市场主导、创新驱动、绿色发展、协调联动四项原则。发展目标方面，提出产业发展总体目标、规模目标和培育目标。</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Times New Roman" w:hAnsi="Times New Roman"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第三部分“重点任务”。</w:t>
      </w:r>
      <w:r>
        <w:rPr>
          <w:rFonts w:hint="eastAsia" w:ascii="Times New Roman" w:hAnsi="Times New Roman" w:eastAsia="仿宋_GB2312" w:cs="Times New Roman"/>
          <w:color w:val="auto"/>
          <w:kern w:val="2"/>
          <w:sz w:val="32"/>
          <w:szCs w:val="32"/>
          <w:lang w:val="en-US" w:eastAsia="zh-CN"/>
        </w:rPr>
        <w:t>提出形成协调发展的产业体系、构建互助协作的生态体系、夯实成链发展的支撑体系和构建绿色循环的应用体系四项重点任务。</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Times New Roman" w:hAnsi="Times New Roman"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en-US" w:eastAsia="zh-CN"/>
        </w:rPr>
        <w:t>第四部分“重点工程”。</w:t>
      </w:r>
      <w:r>
        <w:rPr>
          <w:rFonts w:hint="eastAsia" w:ascii="Times New Roman" w:hAnsi="Times New Roman" w:eastAsia="仿宋_GB2312" w:cs="Times New Roman"/>
          <w:color w:val="auto"/>
          <w:kern w:val="2"/>
          <w:sz w:val="32"/>
          <w:szCs w:val="32"/>
          <w:lang w:val="en-US" w:eastAsia="zh-CN"/>
        </w:rPr>
        <w:t>提出</w:t>
      </w:r>
      <w:bookmarkStart w:id="0" w:name="_Toc107267591"/>
      <w:r>
        <w:rPr>
          <w:rFonts w:hint="eastAsia" w:ascii="Times New Roman" w:hAnsi="Times New Roman" w:eastAsia="仿宋_GB2312" w:cs="Times New Roman"/>
          <w:color w:val="auto"/>
          <w:kern w:val="2"/>
          <w:sz w:val="32"/>
          <w:szCs w:val="32"/>
          <w:lang w:val="en-US" w:eastAsia="zh-CN"/>
        </w:rPr>
        <w:t>能力提升</w:t>
      </w:r>
      <w:bookmarkEnd w:id="0"/>
      <w:r>
        <w:rPr>
          <w:rFonts w:hint="eastAsia" w:ascii="Times New Roman" w:hAnsi="Times New Roman" w:eastAsia="仿宋_GB2312" w:cs="Times New Roman"/>
          <w:color w:val="auto"/>
          <w:kern w:val="2"/>
          <w:sz w:val="32"/>
          <w:szCs w:val="32"/>
          <w:lang w:val="en-US" w:eastAsia="zh-CN"/>
        </w:rPr>
        <w:t>、技术创新、产业培育、人才培养和数字赋能五项重点工程。</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pPr>
      <w:r>
        <w:rPr>
          <w:rFonts w:hint="eastAsia" w:ascii="楷体_GB2312" w:hAnsi="楷体_GB2312" w:eastAsia="楷体_GB2312" w:cs="楷体_GB2312"/>
          <w:b/>
          <w:bCs/>
          <w:color w:val="auto"/>
          <w:kern w:val="2"/>
          <w:sz w:val="32"/>
          <w:szCs w:val="32"/>
          <w:lang w:val="en-US" w:eastAsia="zh-CN"/>
        </w:rPr>
        <w:t>第五部分“保障措施”。</w:t>
      </w:r>
      <w:r>
        <w:rPr>
          <w:rFonts w:hint="eastAsia" w:ascii="Times New Roman" w:hAnsi="Times New Roman" w:eastAsia="仿宋_GB2312" w:cs="Times New Roman"/>
          <w:color w:val="auto"/>
          <w:kern w:val="2"/>
          <w:sz w:val="32"/>
          <w:szCs w:val="32"/>
          <w:lang w:val="en-US" w:eastAsia="zh-CN"/>
        </w:rPr>
        <w:t>提出加强组织领导、探索地方立法、强化政策支撑、完善</w:t>
      </w:r>
      <w:r>
        <w:rPr>
          <w:rFonts w:ascii="Times New Roman" w:hAnsi="Times New Roman" w:eastAsia="仿宋_GB2312" w:cs="Times New Roman"/>
          <w:color w:val="auto"/>
          <w:sz w:val="32"/>
          <w:szCs w:val="32"/>
        </w:rPr>
        <w:t>标准规范</w:t>
      </w:r>
      <w:r>
        <w:rPr>
          <w:rFonts w:hint="eastAsia" w:ascii="Times New Roman" w:hAnsi="Times New Roman" w:eastAsia="仿宋_GB2312" w:cs="Times New Roman"/>
          <w:color w:val="auto"/>
          <w:sz w:val="32"/>
          <w:szCs w:val="32"/>
          <w:lang w:eastAsia="zh-CN"/>
        </w:rPr>
        <w:t>、引导资本投入、改革治理模式和加强宣传培训七项保障措施。</w:t>
      </w:r>
    </w:p>
    <w:sectPr>
      <w:pgSz w:w="11906" w:h="16838"/>
      <w:pgMar w:top="2098" w:right="1587"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5B3378D"/>
    <w:rsid w:val="4A1947CF"/>
    <w:rsid w:val="552D9A6B"/>
    <w:rsid w:val="66FBD4B9"/>
    <w:rsid w:val="DF25FAC3"/>
    <w:rsid w:val="E1FF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before="0"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user</cp:lastModifiedBy>
  <dcterms:modified xsi:type="dcterms:W3CDTF">2022-11-09T08:58:52Z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