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suppressLineNumbers w:val="0"/>
        <w:shd w:val="clear" w:fill="FFFFFF"/>
        <w:kinsoku/>
        <w:wordWrap w:val="0"/>
        <w:overflowPunct/>
        <w:topLinePunct w:val="0"/>
        <w:autoSpaceDE/>
        <w:autoSpaceDN/>
        <w:bidi w:val="0"/>
        <w:spacing w:before="0" w:beforeAutospacing="0" w:after="0" w:afterAutospacing="0" w:line="560" w:lineRule="exact"/>
        <w:ind w:left="0" w:right="0" w:firstLine="0" w:firstLineChars="0"/>
        <w:jc w:val="left"/>
        <w:textAlignment w:val="auto"/>
        <w:rPr>
          <w:rFonts w:hint="eastAsia" w:ascii="仿宋_GB2312" w:hAnsi="仿宋_GB2312" w:eastAsia="仿宋_GB2312" w:cs="仿宋_GB2312"/>
          <w:b/>
          <w:bCs/>
          <w:kern w:val="2"/>
          <w:sz w:val="32"/>
          <w:szCs w:val="32"/>
          <w:highlight w:val="none"/>
          <w:lang w:val="en-US" w:eastAsia="zh-CN" w:bidi="ar-SA"/>
        </w:rPr>
      </w:pPr>
      <w:bookmarkStart w:id="0" w:name="_GoBack"/>
      <w:bookmarkEnd w:id="0"/>
      <w:r>
        <w:rPr>
          <w:rFonts w:hint="eastAsia" w:ascii="仿宋_GB2312" w:hAnsi="仿宋_GB2312" w:eastAsia="仿宋_GB2312" w:cs="仿宋_GB2312"/>
          <w:b/>
          <w:bCs/>
          <w:kern w:val="2"/>
          <w:sz w:val="32"/>
          <w:szCs w:val="32"/>
          <w:highlight w:val="none"/>
          <w:lang w:val="en-US" w:eastAsia="zh-CN" w:bidi="ar-SA"/>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小标宋简体" w:hAnsi="方正小标宋简体" w:eastAsia="方正小标宋简体" w:cs="Times New Roman"/>
          <w:b/>
          <w:bCs/>
          <w:sz w:val="44"/>
          <w:szCs w:val="20"/>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Times New Roman"/>
          <w:b/>
          <w:bCs/>
          <w:sz w:val="44"/>
          <w:szCs w:val="20"/>
          <w:lang w:eastAsia="zh-CN"/>
        </w:rPr>
      </w:pPr>
      <w:r>
        <w:rPr>
          <w:rFonts w:hint="eastAsia" w:ascii="方正小标宋简体" w:hAnsi="方正小标宋简体" w:eastAsia="方正小标宋简体" w:cs="Times New Roman"/>
          <w:b/>
          <w:bCs/>
          <w:sz w:val="44"/>
          <w:szCs w:val="20"/>
          <w:lang w:eastAsia="zh-CN"/>
        </w:rPr>
        <w:t>关于推动</w:t>
      </w:r>
      <w:r>
        <w:rPr>
          <w:rFonts w:hint="eastAsia" w:ascii="方正小标宋简体" w:hAnsi="方正小标宋简体" w:eastAsia="方正小标宋简体" w:cs="Times New Roman"/>
          <w:b/>
          <w:bCs/>
          <w:sz w:val="44"/>
          <w:szCs w:val="20"/>
        </w:rPr>
        <w:t>跨境电商</w:t>
      </w:r>
      <w:r>
        <w:rPr>
          <w:rFonts w:hint="eastAsia" w:ascii="方正小标宋简体" w:hAnsi="方正小标宋简体" w:eastAsia="方正小标宋简体" w:cs="Times New Roman"/>
          <w:b/>
          <w:bCs/>
          <w:sz w:val="44"/>
          <w:szCs w:val="20"/>
          <w:lang w:eastAsia="zh-CN"/>
        </w:rPr>
        <w:t>高质量发展助力外贸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Times New Roman"/>
          <w:b/>
          <w:bCs/>
          <w:sz w:val="44"/>
          <w:szCs w:val="20"/>
          <w:lang w:eastAsia="zh-CN"/>
        </w:rPr>
      </w:pPr>
      <w:r>
        <w:rPr>
          <w:rFonts w:hint="eastAsia" w:ascii="方正小标宋简体" w:hAnsi="方正小标宋简体" w:eastAsia="方正小标宋简体" w:cs="Times New Roman"/>
          <w:b/>
          <w:bCs/>
          <w:sz w:val="44"/>
          <w:szCs w:val="20"/>
          <w:lang w:eastAsia="zh-CN"/>
        </w:rPr>
        <w:t>稳规模优结构</w:t>
      </w:r>
      <w:r>
        <w:rPr>
          <w:rFonts w:hint="eastAsia" w:ascii="方正小标宋简体" w:hAnsi="方正小标宋简体" w:eastAsia="方正小标宋简体" w:cs="Times New Roman"/>
          <w:b/>
          <w:bCs/>
          <w:sz w:val="44"/>
          <w:szCs w:val="20"/>
        </w:rPr>
        <w:t>行动方案</w:t>
      </w:r>
      <w:r>
        <w:rPr>
          <w:rFonts w:hint="eastAsia" w:ascii="方正小标宋简体" w:hAnsi="方正小标宋简体" w:eastAsia="方正小标宋简体" w:cs="Times New Roman"/>
          <w:b/>
          <w:bCs/>
          <w:sz w:val="44"/>
          <w:szCs w:val="20"/>
          <w:lang w:eastAsia="zh-CN"/>
        </w:rPr>
        <w:t>（</w:t>
      </w:r>
      <w:r>
        <w:rPr>
          <w:rFonts w:hint="default" w:ascii="Times New Roman" w:hAnsi="Times New Roman" w:eastAsia="方正小标宋简体" w:cs="Times New Roman"/>
          <w:b/>
          <w:bCs/>
          <w:sz w:val="44"/>
          <w:szCs w:val="20"/>
          <w:lang w:val="en-US" w:eastAsia="zh-CN"/>
        </w:rPr>
        <w:t>2024-202</w:t>
      </w:r>
      <w:r>
        <w:rPr>
          <w:rFonts w:hint="default" w:ascii="Times New Roman" w:hAnsi="Times New Roman" w:eastAsia="方正小标宋简体" w:cs="Times New Roman"/>
          <w:b/>
          <w:bCs/>
          <w:sz w:val="44"/>
          <w:szCs w:val="20"/>
          <w:lang w:val="en" w:eastAsia="zh-CN"/>
        </w:rPr>
        <w:t>7</w:t>
      </w:r>
      <w:r>
        <w:rPr>
          <w:rFonts w:hint="eastAsia" w:ascii="方正小标宋简体" w:hAnsi="方正小标宋简体" w:eastAsia="方正小标宋简体" w:cs="Times New Roman"/>
          <w:b/>
          <w:bCs/>
          <w:sz w:val="44"/>
          <w:szCs w:val="20"/>
          <w:lang w:val="en-US" w:eastAsia="zh-CN"/>
        </w:rPr>
        <w:t>年</w:t>
      </w:r>
      <w:r>
        <w:rPr>
          <w:rFonts w:hint="eastAsia" w:ascii="方正小标宋简体" w:hAnsi="方正小标宋简体" w:eastAsia="方正小标宋简体" w:cs="Times New Roman"/>
          <w:b/>
          <w:bCs/>
          <w:sz w:val="44"/>
          <w:szCs w:val="20"/>
          <w:lang w:eastAsia="zh-CN"/>
        </w:rPr>
        <w:t>）</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楷体_GB2312" w:hAnsi="楷体_GB2312" w:eastAsia="楷体_GB2312" w:cs="楷体_GB2312"/>
          <w:b/>
          <w:bCs/>
          <w:spacing w:val="-2"/>
          <w:sz w:val="32"/>
          <w:szCs w:val="32"/>
          <w:lang w:eastAsia="zh-CN"/>
        </w:rPr>
      </w:pPr>
      <w:r>
        <w:rPr>
          <w:rFonts w:hint="eastAsia" w:ascii="楷体_GB2312" w:hAnsi="楷体_GB2312" w:eastAsia="楷体_GB2312" w:cs="楷体_GB2312"/>
          <w:b/>
          <w:bCs/>
          <w:spacing w:val="-2"/>
          <w:sz w:val="32"/>
          <w:szCs w:val="32"/>
          <w:lang w:eastAsia="zh-CN"/>
        </w:rPr>
        <w:t>（征求意见稿）</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楷体_GB2312" w:hAnsi="楷体_GB2312" w:eastAsia="楷体_GB2312" w:cs="楷体_GB2312"/>
          <w:b/>
          <w:bCs/>
          <w:spacing w:val="-2"/>
          <w:sz w:val="32"/>
          <w:szCs w:val="32"/>
          <w:lang w:eastAsia="zh-CN"/>
        </w:rPr>
      </w:pPr>
    </w:p>
    <w:p>
      <w:pPr>
        <w:keepNext w:val="0"/>
        <w:keepLines w:val="0"/>
        <w:pageBreakBefore w:val="0"/>
        <w:widowControl w:val="0"/>
        <w:kinsoku/>
        <w:wordWrap/>
        <w:overflowPunct/>
        <w:topLinePunct w:val="0"/>
        <w:autoSpaceDE/>
        <w:autoSpaceDN/>
        <w:bidi w:val="0"/>
        <w:spacing w:line="560" w:lineRule="exact"/>
        <w:ind w:firstLine="634" w:firstLineChars="200"/>
        <w:textAlignment w:val="auto"/>
        <w:rPr>
          <w:rFonts w:hint="eastAsia" w:ascii="仿宋_GB2312" w:hAnsi="仿宋_GB2312" w:eastAsia="仿宋_GB2312" w:cs="仿宋_GB2312"/>
          <w:spacing w:val="-2"/>
          <w:sz w:val="32"/>
          <w:szCs w:val="32"/>
        </w:rPr>
      </w:pPr>
      <w:r>
        <w:rPr>
          <w:rFonts w:hint="default" w:ascii="Times New Roman" w:hAnsi="Times New Roman" w:eastAsia="仿宋_GB2312" w:cs="Times New Roman"/>
          <w:spacing w:val="-2"/>
          <w:sz w:val="32"/>
          <w:szCs w:val="32"/>
        </w:rPr>
        <w:t>为贯彻落实</w:t>
      </w:r>
      <w:r>
        <w:rPr>
          <w:rFonts w:hint="default" w:ascii="Times New Roman" w:hAnsi="Times New Roman" w:eastAsia="仿宋_GB2312" w:cs="Times New Roman"/>
          <w:spacing w:val="-2"/>
          <w:sz w:val="32"/>
          <w:szCs w:val="32"/>
          <w:lang w:eastAsia="zh-CN"/>
        </w:rPr>
        <w:t>《商务部等</w:t>
      </w:r>
      <w:r>
        <w:rPr>
          <w:rFonts w:hint="default" w:ascii="Times New Roman" w:hAnsi="Times New Roman" w:eastAsia="仿宋_GB2312" w:cs="Times New Roman"/>
          <w:spacing w:val="-2"/>
          <w:sz w:val="32"/>
          <w:szCs w:val="32"/>
          <w:lang w:val="en-US" w:eastAsia="zh-CN"/>
        </w:rPr>
        <w:t>9部门</w:t>
      </w:r>
      <w:r>
        <w:rPr>
          <w:rFonts w:hint="default" w:ascii="Times New Roman" w:hAnsi="Times New Roman" w:eastAsia="仿宋_GB2312" w:cs="Times New Roman"/>
          <w:spacing w:val="-2"/>
          <w:sz w:val="32"/>
          <w:szCs w:val="32"/>
          <w:lang w:eastAsia="zh-CN"/>
        </w:rPr>
        <w:t>关于拓展跨境电商出口推进海外仓建设的意见》（</w:t>
      </w:r>
      <w:r>
        <w:rPr>
          <w:rFonts w:hint="default" w:ascii="Times New Roman" w:hAnsi="Times New Roman" w:eastAsia="仿宋_GB2312" w:cs="Times New Roman"/>
          <w:spacing w:val="-2"/>
          <w:sz w:val="32"/>
          <w:szCs w:val="32"/>
          <w:lang w:val="en-US" w:eastAsia="zh-CN"/>
        </w:rPr>
        <w:t>商贸发〔2024〕125号</w:t>
      </w:r>
      <w:r>
        <w:rPr>
          <w:rFonts w:hint="default" w:ascii="Times New Roman" w:hAnsi="Times New Roman" w:eastAsia="仿宋_GB2312" w:cs="Times New Roman"/>
          <w:spacing w:val="-2"/>
          <w:sz w:val="32"/>
          <w:szCs w:val="32"/>
          <w:lang w:eastAsia="zh-CN"/>
        </w:rPr>
        <w:t>）和</w:t>
      </w:r>
      <w:r>
        <w:rPr>
          <w:rFonts w:hint="eastAsia" w:ascii="仿宋_GB2312" w:hAnsi="仿宋_GB2312" w:eastAsia="仿宋_GB2312" w:cs="仿宋_GB2312"/>
          <w:spacing w:val="-2"/>
          <w:sz w:val="32"/>
          <w:szCs w:val="32"/>
          <w:lang w:eastAsia="zh-CN"/>
        </w:rPr>
        <w:t>《四川省人民政府办公厅关于推动外贸稳规模优结构</w:t>
      </w:r>
      <w:r>
        <w:rPr>
          <w:rFonts w:hint="eastAsia" w:ascii="仿宋_GB2312" w:hAnsi="仿宋_GB2312" w:eastAsia="仿宋_GB2312" w:cs="仿宋_GB2312"/>
          <w:spacing w:val="-2"/>
          <w:sz w:val="32"/>
          <w:szCs w:val="32"/>
          <w:lang w:val="en-US" w:eastAsia="zh-CN"/>
        </w:rPr>
        <w:t>高质量发展</w:t>
      </w:r>
      <w:r>
        <w:rPr>
          <w:rFonts w:hint="eastAsia" w:ascii="仿宋_GB2312" w:hAnsi="仿宋_GB2312" w:eastAsia="仿宋_GB2312" w:cs="仿宋_GB2312"/>
          <w:spacing w:val="-2"/>
          <w:sz w:val="32"/>
          <w:szCs w:val="32"/>
          <w:lang w:eastAsia="zh-CN"/>
        </w:rPr>
        <w:t>的实施意见》（</w:t>
      </w:r>
      <w:r>
        <w:rPr>
          <w:rFonts w:hint="eastAsia" w:ascii="仿宋_GB2312" w:hAnsi="仿宋_GB2312" w:eastAsia="仿宋_GB2312" w:cs="仿宋_GB2312"/>
          <w:spacing w:val="-2"/>
          <w:sz w:val="32"/>
          <w:szCs w:val="32"/>
          <w:lang w:val="en-US" w:eastAsia="zh-CN"/>
        </w:rPr>
        <w:t>川办发</w:t>
      </w:r>
      <w:r>
        <w:rPr>
          <w:rFonts w:hint="eastAsia" w:ascii="Times New Roman" w:hAnsi="Times New Roman" w:eastAsia="仿宋_GB2312" w:cs="Times New Roman"/>
          <w:spacing w:val="-2"/>
          <w:sz w:val="32"/>
          <w:szCs w:val="32"/>
          <w:lang w:val="en-US" w:eastAsia="zh-CN"/>
        </w:rPr>
        <w:t>〔2024〕27</w:t>
      </w:r>
      <w:r>
        <w:rPr>
          <w:rFonts w:hint="eastAsia" w:ascii="仿宋_GB2312" w:hAnsi="仿宋_GB2312" w:eastAsia="仿宋_GB2312" w:cs="仿宋_GB2312"/>
          <w:spacing w:val="-2"/>
          <w:sz w:val="32"/>
          <w:szCs w:val="32"/>
          <w:lang w:val="en-US" w:eastAsia="zh-CN"/>
        </w:rPr>
        <w:t>号</w:t>
      </w:r>
      <w:r>
        <w:rPr>
          <w:rFonts w:hint="eastAsia" w:ascii="仿宋_GB2312" w:hAnsi="仿宋_GB2312" w:eastAsia="仿宋_GB2312" w:cs="仿宋_GB2312"/>
          <w:spacing w:val="-2"/>
          <w:sz w:val="32"/>
          <w:szCs w:val="32"/>
          <w:lang w:eastAsia="zh-CN"/>
        </w:rPr>
        <w:t>）文件精神</w:t>
      </w:r>
      <w:r>
        <w:rPr>
          <w:rFonts w:hint="eastAsia" w:ascii="仿宋_GB2312" w:hAnsi="仿宋_GB2312" w:eastAsia="仿宋_GB2312" w:cs="仿宋_GB2312"/>
          <w:spacing w:val="-2"/>
          <w:sz w:val="32"/>
          <w:szCs w:val="32"/>
          <w:lang w:val="en-US" w:eastAsia="zh-CN"/>
        </w:rPr>
        <w:t>，全面提升跨境电商高质量发展水平，</w:t>
      </w:r>
      <w:r>
        <w:rPr>
          <w:rFonts w:hint="eastAsia" w:ascii="仿宋_GB2312" w:hAnsi="仿宋_GB2312" w:eastAsia="仿宋_GB2312" w:cs="仿宋_GB2312"/>
          <w:spacing w:val="-2"/>
          <w:sz w:val="32"/>
          <w:szCs w:val="32"/>
          <w:lang w:eastAsia="zh-CN"/>
        </w:rPr>
        <w:t>培育</w:t>
      </w:r>
      <w:r>
        <w:rPr>
          <w:rFonts w:hint="eastAsia" w:ascii="仿宋_GB2312" w:hAnsi="仿宋_GB2312" w:eastAsia="仿宋_GB2312" w:cs="仿宋_GB2312"/>
          <w:spacing w:val="-2"/>
          <w:sz w:val="32"/>
          <w:szCs w:val="32"/>
          <w:lang w:val="en-US" w:eastAsia="zh-CN"/>
        </w:rPr>
        <w:t>外贸转型升级新动能，助力全省外贸稳规模优结构，</w:t>
      </w:r>
      <w:r>
        <w:rPr>
          <w:rFonts w:hint="eastAsia" w:ascii="仿宋_GB2312" w:hAnsi="仿宋_GB2312" w:eastAsia="仿宋_GB2312" w:cs="仿宋_GB2312"/>
          <w:spacing w:val="-2"/>
          <w:sz w:val="32"/>
          <w:szCs w:val="32"/>
        </w:rPr>
        <w:t>特制定本方案。</w:t>
      </w:r>
    </w:p>
    <w:p>
      <w:pPr>
        <w:keepNext w:val="0"/>
        <w:keepLines w:val="0"/>
        <w:pageBreakBefore w:val="0"/>
        <w:widowControl w:val="0"/>
        <w:kinsoku/>
        <w:wordWrap/>
        <w:overflowPunct/>
        <w:topLinePunct w:val="0"/>
        <w:autoSpaceDE/>
        <w:autoSpaceDN/>
        <w:bidi w:val="0"/>
        <w:spacing w:line="560" w:lineRule="exact"/>
        <w:ind w:firstLine="634" w:firstLineChars="200"/>
        <w:textAlignment w:val="auto"/>
        <w:rPr>
          <w:rFonts w:hint="eastAsia" w:ascii="黑体" w:hAnsi="黑体" w:eastAsia="黑体" w:cs="黑体"/>
          <w:b/>
          <w:bCs/>
          <w:spacing w:val="-2"/>
          <w:sz w:val="32"/>
          <w:szCs w:val="32"/>
          <w:lang w:eastAsia="zh-CN"/>
        </w:rPr>
      </w:pPr>
      <w:r>
        <w:rPr>
          <w:rFonts w:hint="eastAsia" w:ascii="黑体" w:hAnsi="黑体" w:eastAsia="黑体" w:cs="黑体"/>
          <w:b/>
          <w:bCs/>
          <w:spacing w:val="-2"/>
          <w:sz w:val="32"/>
          <w:szCs w:val="32"/>
          <w:lang w:eastAsia="zh-CN"/>
        </w:rPr>
        <w:t>一、总体要求</w:t>
      </w:r>
    </w:p>
    <w:p>
      <w:pPr>
        <w:keepNext w:val="0"/>
        <w:keepLines w:val="0"/>
        <w:pageBreakBefore w:val="0"/>
        <w:widowControl w:val="0"/>
        <w:kinsoku/>
        <w:wordWrap/>
        <w:overflowPunct/>
        <w:topLinePunct w:val="0"/>
        <w:autoSpaceDE/>
        <w:autoSpaceDN/>
        <w:bidi w:val="0"/>
        <w:spacing w:line="560" w:lineRule="exact"/>
        <w:ind w:firstLine="634" w:firstLineChars="200"/>
        <w:textAlignment w:val="auto"/>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val="en-US" w:eastAsia="zh-CN"/>
        </w:rPr>
        <w:t>以习近平新时代中国特色社会主义思想为指导，深入贯彻习近平总书记</w:t>
      </w:r>
      <w:r>
        <w:rPr>
          <w:rFonts w:hint="eastAsia" w:ascii="Times New Roman" w:hAnsi="Times New Roman" w:eastAsia="仿宋_GB2312" w:cs="Times New Roman"/>
          <w:spacing w:val="-2"/>
          <w:sz w:val="32"/>
          <w:szCs w:val="32"/>
          <w:lang w:val="en-US" w:eastAsia="zh-CN"/>
        </w:rPr>
        <w:t>来川</w:t>
      </w:r>
      <w:r>
        <w:rPr>
          <w:rFonts w:hint="default" w:ascii="Times New Roman" w:hAnsi="Times New Roman" w:eastAsia="仿宋_GB2312" w:cs="Times New Roman"/>
          <w:spacing w:val="-2"/>
          <w:sz w:val="32"/>
          <w:szCs w:val="32"/>
          <w:lang w:val="en-US" w:eastAsia="zh-CN"/>
        </w:rPr>
        <w:t>视察和对四川工作系列重要指示精神，围绕</w:t>
      </w:r>
      <w:r>
        <w:rPr>
          <w:rFonts w:hint="eastAsia" w:ascii="Times New Roman" w:hAnsi="Times New Roman" w:eastAsia="仿宋_GB2312" w:cs="Times New Roman"/>
          <w:spacing w:val="-2"/>
          <w:sz w:val="32"/>
          <w:szCs w:val="32"/>
          <w:lang w:val="en-US" w:eastAsia="zh-CN"/>
        </w:rPr>
        <w:t>国省</w:t>
      </w:r>
      <w:r>
        <w:rPr>
          <w:rFonts w:hint="default" w:ascii="Times New Roman" w:hAnsi="Times New Roman" w:eastAsia="仿宋_GB2312" w:cs="Times New Roman"/>
          <w:spacing w:val="-2"/>
          <w:sz w:val="32"/>
          <w:szCs w:val="32"/>
          <w:lang w:val="en-US" w:eastAsia="zh-CN"/>
        </w:rPr>
        <w:t>关于促进跨境电商发展的决策部署，以更大力度、更优政策、更好服务支持跨境电商发展，</w:t>
      </w:r>
      <w:r>
        <w:rPr>
          <w:rFonts w:hint="default" w:ascii="Times New Roman" w:hAnsi="Times New Roman" w:eastAsia="仿宋_GB2312" w:cs="Times New Roman"/>
          <w:spacing w:val="-2"/>
          <w:sz w:val="32"/>
          <w:szCs w:val="32"/>
          <w:lang w:eastAsia="zh-CN"/>
        </w:rPr>
        <w:t>进一步</w:t>
      </w:r>
      <w:r>
        <w:rPr>
          <w:rFonts w:hint="eastAsia" w:ascii="Times New Roman" w:hAnsi="Times New Roman" w:eastAsia="仿宋_GB2312" w:cs="Times New Roman"/>
          <w:spacing w:val="-2"/>
          <w:sz w:val="32"/>
          <w:szCs w:val="32"/>
          <w:lang w:eastAsia="zh-CN"/>
        </w:rPr>
        <w:t>培育</w:t>
      </w:r>
      <w:r>
        <w:rPr>
          <w:rFonts w:hint="default" w:ascii="Times New Roman" w:hAnsi="Times New Roman" w:eastAsia="仿宋_GB2312" w:cs="Times New Roman"/>
          <w:spacing w:val="-2"/>
          <w:sz w:val="32"/>
          <w:szCs w:val="32"/>
        </w:rPr>
        <w:t>新动</w:t>
      </w:r>
      <w:r>
        <w:rPr>
          <w:rFonts w:hint="eastAsia" w:ascii="Times New Roman" w:hAnsi="Times New Roman" w:eastAsia="仿宋_GB2312" w:cs="Times New Roman"/>
          <w:spacing w:val="-2"/>
          <w:sz w:val="32"/>
          <w:szCs w:val="32"/>
          <w:lang w:eastAsia="zh-CN"/>
        </w:rPr>
        <w:t>能</w:t>
      </w:r>
      <w:r>
        <w:rPr>
          <w:rFonts w:hint="default" w:ascii="Times New Roman" w:hAnsi="Times New Roman" w:eastAsia="仿宋_GB2312" w:cs="Times New Roman"/>
          <w:spacing w:val="-2"/>
          <w:sz w:val="32"/>
          <w:szCs w:val="32"/>
        </w:rPr>
        <w:t>，拓展</w:t>
      </w:r>
      <w:r>
        <w:rPr>
          <w:rFonts w:hint="default" w:ascii="Times New Roman" w:hAnsi="Times New Roman" w:eastAsia="仿宋_GB2312" w:cs="Times New Roman"/>
          <w:spacing w:val="-2"/>
          <w:sz w:val="32"/>
          <w:szCs w:val="32"/>
          <w:lang w:eastAsia="zh-CN"/>
        </w:rPr>
        <w:t>新</w:t>
      </w:r>
      <w:r>
        <w:rPr>
          <w:rFonts w:hint="default" w:ascii="Times New Roman" w:hAnsi="Times New Roman" w:eastAsia="仿宋_GB2312" w:cs="Times New Roman"/>
          <w:spacing w:val="-2"/>
          <w:sz w:val="32"/>
          <w:szCs w:val="32"/>
        </w:rPr>
        <w:t>空间，形成</w:t>
      </w:r>
      <w:r>
        <w:rPr>
          <w:rFonts w:hint="default" w:ascii="Times New Roman" w:hAnsi="Times New Roman" w:eastAsia="仿宋_GB2312" w:cs="Times New Roman"/>
          <w:spacing w:val="-2"/>
          <w:sz w:val="32"/>
          <w:szCs w:val="32"/>
          <w:lang w:eastAsia="zh-CN"/>
        </w:rPr>
        <w:t>新</w:t>
      </w:r>
      <w:r>
        <w:rPr>
          <w:rFonts w:hint="default" w:ascii="Times New Roman" w:hAnsi="Times New Roman" w:eastAsia="仿宋_GB2312" w:cs="Times New Roman"/>
          <w:spacing w:val="-2"/>
          <w:sz w:val="32"/>
          <w:szCs w:val="32"/>
        </w:rPr>
        <w:t>生态，</w:t>
      </w:r>
      <w:r>
        <w:rPr>
          <w:rFonts w:hint="default" w:ascii="Times New Roman" w:hAnsi="Times New Roman" w:eastAsia="仿宋_GB2312" w:cs="Times New Roman"/>
          <w:spacing w:val="-2"/>
          <w:sz w:val="32"/>
          <w:szCs w:val="32"/>
          <w:lang w:val="en-US" w:eastAsia="zh-CN"/>
        </w:rPr>
        <w:t>力争跨境电商交易规模保持</w:t>
      </w:r>
      <w:r>
        <w:rPr>
          <w:rFonts w:hint="eastAsia" w:ascii="Times New Roman" w:hAnsi="Times New Roman" w:eastAsia="仿宋_GB2312" w:cs="Times New Roman"/>
          <w:spacing w:val="-2"/>
          <w:sz w:val="32"/>
          <w:szCs w:val="32"/>
          <w:lang w:val="en-US" w:eastAsia="zh-CN"/>
        </w:rPr>
        <w:t>年均</w:t>
      </w:r>
      <w:r>
        <w:rPr>
          <w:rFonts w:hint="default" w:ascii="Times New Roman" w:hAnsi="Times New Roman" w:eastAsia="仿宋_GB2312" w:cs="Times New Roman"/>
          <w:spacing w:val="-2"/>
          <w:sz w:val="32"/>
          <w:szCs w:val="32"/>
          <w:lang w:val="en-US" w:eastAsia="zh-CN"/>
        </w:rPr>
        <w:t>10%以上的增速，</w:t>
      </w:r>
      <w:r>
        <w:rPr>
          <w:rFonts w:hint="eastAsia" w:ascii="Times New Roman" w:hAnsi="Times New Roman" w:eastAsia="仿宋_GB2312" w:cs="Times New Roman"/>
          <w:spacing w:val="-2"/>
          <w:sz w:val="32"/>
          <w:szCs w:val="32"/>
          <w:lang w:val="en-US" w:eastAsia="zh-CN"/>
        </w:rPr>
        <w:t>到202</w:t>
      </w:r>
      <w:r>
        <w:rPr>
          <w:rFonts w:hint="default" w:ascii="Times New Roman" w:hAnsi="Times New Roman" w:eastAsia="仿宋_GB2312" w:cs="Times New Roman"/>
          <w:spacing w:val="-2"/>
          <w:sz w:val="32"/>
          <w:szCs w:val="32"/>
          <w:lang w:val="en" w:eastAsia="zh-CN"/>
        </w:rPr>
        <w:t>7</w:t>
      </w:r>
      <w:r>
        <w:rPr>
          <w:rFonts w:hint="eastAsia" w:ascii="Times New Roman" w:hAnsi="Times New Roman" w:eastAsia="仿宋_GB2312" w:cs="Times New Roman"/>
          <w:spacing w:val="-2"/>
          <w:sz w:val="32"/>
          <w:szCs w:val="32"/>
          <w:lang w:val="en-US" w:eastAsia="zh-CN"/>
        </w:rPr>
        <w:t>年底交易规模超过1</w:t>
      </w:r>
      <w:r>
        <w:rPr>
          <w:rFonts w:hint="default" w:ascii="Times New Roman" w:hAnsi="Times New Roman" w:eastAsia="仿宋_GB2312" w:cs="Times New Roman"/>
          <w:spacing w:val="-2"/>
          <w:sz w:val="32"/>
          <w:szCs w:val="32"/>
          <w:lang w:val="en" w:eastAsia="zh-CN"/>
        </w:rPr>
        <w:t>6</w:t>
      </w:r>
      <w:r>
        <w:rPr>
          <w:rFonts w:hint="eastAsia" w:ascii="Times New Roman" w:hAnsi="Times New Roman" w:eastAsia="仿宋_GB2312" w:cs="Times New Roman"/>
          <w:spacing w:val="-2"/>
          <w:sz w:val="32"/>
          <w:szCs w:val="32"/>
          <w:lang w:val="en-US" w:eastAsia="zh-CN"/>
        </w:rPr>
        <w:t>00亿元，</w:t>
      </w:r>
      <w:r>
        <w:rPr>
          <w:rFonts w:hint="eastAsia" w:ascii="仿宋_GB2312" w:hAnsi="仿宋_GB2312" w:eastAsia="仿宋_GB2312" w:cs="仿宋_GB2312"/>
          <w:sz w:val="32"/>
          <w:szCs w:val="32"/>
        </w:rPr>
        <w:t>对全省外贸贡献度稳步提升</w:t>
      </w:r>
      <w:r>
        <w:rPr>
          <w:rFonts w:hint="eastAsia" w:ascii="Times New Roman" w:hAnsi="Times New Roman" w:eastAsia="仿宋_GB2312" w:cs="Times New Roman"/>
          <w:spacing w:val="-2"/>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黑体" w:hAnsi="黑体" w:eastAsia="黑体" w:cs="仿宋_GB2312"/>
          <w:b/>
          <w:sz w:val="32"/>
          <w:szCs w:val="32"/>
          <w:lang w:eastAsia="zh-CN"/>
        </w:rPr>
      </w:pPr>
      <w:r>
        <w:rPr>
          <w:rFonts w:hint="eastAsia" w:ascii="黑体" w:hAnsi="黑体" w:eastAsia="黑体" w:cs="仿宋_GB2312"/>
          <w:b/>
          <w:sz w:val="32"/>
          <w:szCs w:val="32"/>
        </w:rPr>
        <w:t>二、重点</w:t>
      </w:r>
      <w:r>
        <w:rPr>
          <w:rFonts w:hint="eastAsia" w:ascii="黑体" w:hAnsi="黑体" w:eastAsia="黑体" w:cs="仿宋_GB2312"/>
          <w:b/>
          <w:sz w:val="32"/>
          <w:szCs w:val="32"/>
          <w:lang w:eastAsia="zh-CN"/>
        </w:rPr>
        <w:t>任务</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（一）促进市场主体倍增</w:t>
      </w:r>
      <w:r>
        <w:rPr>
          <w:rFonts w:hint="eastAsia" w:ascii="楷体_GB2312" w:hAnsi="楷体_GB2312" w:eastAsia="楷体_GB2312" w:cs="楷体_GB2312"/>
          <w:b/>
          <w:bCs/>
          <w:sz w:val="32"/>
          <w:szCs w:val="32"/>
          <w:lang w:eastAsia="zh-CN"/>
        </w:rPr>
        <w:t>提能。</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b/>
          <w:sz w:val="32"/>
          <w:szCs w:val="32"/>
        </w:rPr>
        <w:t>1.</w:t>
      </w:r>
      <w:r>
        <w:rPr>
          <w:rFonts w:hint="eastAsia" w:ascii="仿宋_GB2312" w:hAnsi="仿宋_GB2312" w:eastAsia="仿宋_GB2312" w:cs="仿宋_GB2312"/>
          <w:b/>
          <w:sz w:val="32"/>
          <w:szCs w:val="32"/>
        </w:rPr>
        <w:t>引导</w:t>
      </w:r>
      <w:r>
        <w:rPr>
          <w:rFonts w:hint="eastAsia" w:ascii="仿宋_GB2312" w:hAnsi="仿宋_GB2312" w:eastAsia="仿宋_GB2312" w:cs="仿宋_GB2312"/>
          <w:b/>
          <w:sz w:val="32"/>
          <w:szCs w:val="32"/>
          <w:lang w:eastAsia="zh-CN"/>
        </w:rPr>
        <w:t>传统</w:t>
      </w:r>
      <w:r>
        <w:rPr>
          <w:rFonts w:hint="eastAsia" w:ascii="仿宋_GB2312" w:hAnsi="仿宋_GB2312" w:eastAsia="仿宋_GB2312" w:cs="仿宋_GB2312"/>
          <w:b/>
          <w:sz w:val="32"/>
          <w:szCs w:val="32"/>
        </w:rPr>
        <w:t>企业试水转型。</w:t>
      </w:r>
      <w:r>
        <w:rPr>
          <w:rFonts w:hint="eastAsia" w:ascii="仿宋_GB2312" w:hAnsi="仿宋_GB2312" w:eastAsia="仿宋_GB2312" w:cs="仿宋_GB2312"/>
          <w:sz w:val="32"/>
          <w:szCs w:val="32"/>
        </w:rPr>
        <w:t>引导生产型企业向工贸一体型企业转型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鼓励传统贸易型企业、专业批发市场个体商户试水跨境电商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支持在三方平台开店、参加国内外专业展会，拓展线上、线下销售渠道</w:t>
      </w:r>
      <w:r>
        <w:rPr>
          <w:rFonts w:hint="eastAsia" w:ascii="仿宋_GB2312" w:hAnsi="仿宋_GB2312" w:eastAsia="仿宋_GB2312" w:cs="仿宋_GB2312"/>
          <w:sz w:val="32"/>
          <w:szCs w:val="32"/>
          <w:lang w:eastAsia="zh-CN"/>
        </w:rPr>
        <w:t>。鼓励各地</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运用</w:t>
      </w:r>
      <w:r>
        <w:rPr>
          <w:rFonts w:hint="eastAsia" w:ascii="仿宋_GB2312" w:hAnsi="仿宋_GB2312" w:eastAsia="仿宋_GB2312" w:cs="仿宋_GB2312"/>
          <w:sz w:val="32"/>
          <w:szCs w:val="32"/>
        </w:rPr>
        <w:t>跨境电商</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贸易额</w:t>
      </w:r>
      <w:r>
        <w:rPr>
          <w:rFonts w:hint="eastAsia" w:ascii="Times New Roman" w:hAnsi="Times New Roman" w:eastAsia="仿宋_GB2312" w:cs="Times New Roman"/>
          <w:sz w:val="32"/>
          <w:szCs w:val="32"/>
          <w:lang w:val="en-US" w:eastAsia="zh-CN"/>
        </w:rPr>
        <w:t>零突破</w:t>
      </w:r>
      <w:r>
        <w:rPr>
          <w:rFonts w:hint="eastAsia" w:ascii="仿宋_GB2312" w:hAnsi="仿宋_GB2312" w:eastAsia="仿宋_GB2312" w:cs="仿宋_GB2312"/>
          <w:sz w:val="32"/>
          <w:szCs w:val="32"/>
        </w:rPr>
        <w:t>的企业</w:t>
      </w:r>
      <w:r>
        <w:rPr>
          <w:rFonts w:hint="eastAsia" w:ascii="仿宋_GB2312" w:hAnsi="仿宋_GB2312" w:eastAsia="仿宋_GB2312" w:cs="仿宋_GB2312"/>
          <w:sz w:val="32"/>
          <w:szCs w:val="32"/>
          <w:lang w:eastAsia="zh-CN"/>
        </w:rPr>
        <w:t>予以相应支持，培育壮大规模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（责任单位：商务厅、经济和信息化厅）</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z w:val="32"/>
          <w:szCs w:val="32"/>
          <w:lang w:val="en-US" w:eastAsia="zh-CN"/>
        </w:rPr>
        <w:t>2</w:t>
      </w:r>
      <w:r>
        <w:rPr>
          <w:rFonts w:hint="eastAsia" w:ascii="Times New Roman" w:hAnsi="Times New Roman" w:eastAsia="仿宋_GB2312" w:cs="Times New Roman"/>
          <w:b/>
          <w:sz w:val="32"/>
          <w:szCs w:val="32"/>
        </w:rPr>
        <w:t>.</w:t>
      </w:r>
      <w:r>
        <w:rPr>
          <w:rFonts w:hint="eastAsia" w:ascii="仿宋_GB2312" w:hAnsi="仿宋_GB2312" w:eastAsia="仿宋_GB2312" w:cs="仿宋_GB2312"/>
          <w:b/>
          <w:sz w:val="32"/>
          <w:szCs w:val="32"/>
        </w:rPr>
        <w:t>分类</w:t>
      </w:r>
      <w:r>
        <w:rPr>
          <w:rFonts w:hint="eastAsia" w:ascii="仿宋_GB2312" w:hAnsi="仿宋_GB2312" w:eastAsia="仿宋_GB2312" w:cs="仿宋_GB2312"/>
          <w:b/>
          <w:sz w:val="32"/>
          <w:szCs w:val="32"/>
          <w:lang w:eastAsia="zh-CN"/>
        </w:rPr>
        <w:t>培育</w:t>
      </w:r>
      <w:r>
        <w:rPr>
          <w:rFonts w:hint="eastAsia" w:ascii="仿宋_GB2312" w:hAnsi="仿宋_GB2312" w:eastAsia="仿宋_GB2312" w:cs="仿宋_GB2312"/>
          <w:b/>
          <w:sz w:val="32"/>
          <w:szCs w:val="32"/>
        </w:rPr>
        <w:t>主体队伍。</w:t>
      </w:r>
      <w:r>
        <w:rPr>
          <w:rFonts w:hint="eastAsia" w:ascii="仿宋_GB2312" w:hAnsi="仿宋_GB2312" w:eastAsia="仿宋_GB2312" w:cs="仿宋_GB2312"/>
          <w:sz w:val="32"/>
          <w:szCs w:val="32"/>
        </w:rPr>
        <w:t>支持跨境电商大卖家深度链接源头厂商，</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反向定制带动产业链内迁、供应链升级。鼓励深耕东部的川籍跨境电商从业者回归，打造</w:t>
      </w:r>
      <w:r>
        <w:rPr>
          <w:rFonts w:hint="eastAsia" w:ascii="仿宋_GB2312" w:hAnsi="仿宋_GB2312" w:eastAsia="仿宋_GB2312" w:cs="仿宋_GB2312"/>
          <w:sz w:val="32"/>
          <w:szCs w:val="32"/>
          <w:lang w:eastAsia="zh-CN"/>
        </w:rPr>
        <w:t>扎根当地的</w:t>
      </w:r>
      <w:r>
        <w:rPr>
          <w:rFonts w:hint="eastAsia" w:ascii="仿宋_GB2312" w:hAnsi="仿宋_GB2312" w:eastAsia="仿宋_GB2312" w:cs="仿宋_GB2312"/>
          <w:sz w:val="32"/>
          <w:szCs w:val="32"/>
        </w:rPr>
        <w:t>专业团队。大力招引沿海知名货代企业，就近服务川企出海。支持信息技术、跨境支付、营销推广、财税合规、知识产权等服务型企业集聚发展。</w:t>
      </w:r>
      <w:r>
        <w:rPr>
          <w:rFonts w:hint="eastAsia" w:ascii="仿宋_GB2312" w:hAnsi="仿宋_GB2312" w:eastAsia="仿宋_GB2312" w:cs="仿宋_GB2312"/>
          <w:sz w:val="32"/>
          <w:szCs w:val="32"/>
          <w:lang w:eastAsia="zh-CN"/>
        </w:rPr>
        <w:t>（责任单位：商务厅、经济和信息化厅、省经济合作局、省市场监管局）</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z w:val="32"/>
          <w:szCs w:val="32"/>
          <w:lang w:val="en-US" w:eastAsia="zh-CN"/>
        </w:rPr>
        <w:t>3.</w:t>
      </w:r>
      <w:r>
        <w:rPr>
          <w:rFonts w:hint="eastAsia" w:ascii="仿宋_GB2312" w:hAnsi="仿宋_GB2312" w:eastAsia="仿宋_GB2312" w:cs="仿宋_GB2312"/>
          <w:b/>
          <w:sz w:val="32"/>
          <w:szCs w:val="32"/>
          <w:lang w:val="en-US" w:eastAsia="zh-CN"/>
        </w:rPr>
        <w:t>推动提升能力资质。</w:t>
      </w:r>
      <w:r>
        <w:rPr>
          <w:rFonts w:hint="eastAsia" w:ascii="仿宋_GB2312" w:hAnsi="仿宋_GB2312" w:eastAsia="仿宋_GB2312" w:cs="仿宋_GB2312"/>
          <w:sz w:val="32"/>
          <w:szCs w:val="32"/>
        </w:rPr>
        <w:t>支持符合条件的跨境电商企业申报国家电子商务示范企业、国家高新技术企业、</w:t>
      </w:r>
      <w:r>
        <w:rPr>
          <w:rFonts w:hint="default" w:ascii="Times New Roman" w:hAnsi="Times New Roman" w:eastAsia="仿宋_GB2312" w:cs="Times New Roman"/>
          <w:sz w:val="32"/>
          <w:szCs w:val="32"/>
        </w:rPr>
        <w:t>AEO（</w:t>
      </w:r>
      <w:r>
        <w:rPr>
          <w:rFonts w:hint="default" w:ascii="Times New Roman" w:hAnsi="Times New Roman" w:eastAsia="仿宋_GB2312" w:cs="Times New Roman"/>
          <w:sz w:val="32"/>
          <w:szCs w:val="32"/>
          <w:lang w:eastAsia="zh-CN"/>
        </w:rPr>
        <w:t>经认证的经营者</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企业，按规定给予激励。</w:t>
      </w:r>
      <w:r>
        <w:rPr>
          <w:rFonts w:hint="eastAsia" w:ascii="仿宋_GB2312" w:hAnsi="仿宋_GB2312" w:eastAsia="仿宋_GB2312" w:cs="仿宋_GB2312"/>
          <w:sz w:val="32"/>
          <w:szCs w:val="32"/>
          <w:lang w:eastAsia="zh-CN"/>
        </w:rPr>
        <w:t>支持有实力的企业通过</w:t>
      </w:r>
      <w:r>
        <w:rPr>
          <w:rFonts w:hint="eastAsia" w:ascii="仿宋_GB2312" w:hAnsi="仿宋_GB2312" w:eastAsia="仿宋_GB2312" w:cs="仿宋_GB2312"/>
          <w:sz w:val="32"/>
          <w:szCs w:val="32"/>
          <w:lang w:val="en-US" w:eastAsia="zh-CN"/>
        </w:rPr>
        <w:t>境外投资建设海外仓。</w:t>
      </w:r>
      <w:r>
        <w:rPr>
          <w:rFonts w:hint="eastAsia" w:ascii="仿宋_GB2312" w:hAnsi="仿宋_GB2312" w:eastAsia="仿宋_GB2312" w:cs="仿宋_GB2312"/>
          <w:sz w:val="32"/>
          <w:szCs w:val="32"/>
          <w:lang w:eastAsia="zh-CN"/>
        </w:rPr>
        <w:t>（责任单位：商务厅、科技厅、成都海关、省发展改革委）</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Times New Roman" w:hAnsi="Times New Roman" w:eastAsia="楷体_GB2312" w:cs="Times New Roman"/>
          <w:b/>
          <w:bCs/>
          <w:sz w:val="32"/>
          <w:szCs w:val="32"/>
          <w:lang w:eastAsia="zh-CN"/>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打造</w:t>
      </w:r>
      <w:r>
        <w:rPr>
          <w:rFonts w:hint="eastAsia" w:ascii="楷体_GB2312" w:hAnsi="楷体_GB2312" w:eastAsia="楷体_GB2312" w:cs="楷体_GB2312"/>
          <w:b/>
          <w:bCs/>
          <w:sz w:val="32"/>
          <w:szCs w:val="32"/>
        </w:rPr>
        <w:t>跨境电商产业</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z w:val="32"/>
          <w:szCs w:val="32"/>
        </w:rPr>
        <w:t>N</w:t>
      </w:r>
      <w:r>
        <w:rPr>
          <w:rFonts w:hint="default" w:ascii="Times New Roman" w:hAnsi="Times New Roman" w:eastAsia="楷体_GB2312" w:cs="Times New Roman"/>
          <w:b/>
          <w:bCs/>
          <w:sz w:val="32"/>
          <w:szCs w:val="32"/>
        </w:rPr>
        <w:t>园</w:t>
      </w:r>
      <w:r>
        <w:rPr>
          <w:rFonts w:hint="default" w:ascii="Times New Roman" w:hAnsi="Times New Roman" w:eastAsia="仿宋_GB2312" w:cs="Times New Roman"/>
          <w:sz w:val="32"/>
          <w:szCs w:val="32"/>
        </w:rPr>
        <w:t>+N</w:t>
      </w:r>
      <w:r>
        <w:rPr>
          <w:rFonts w:hint="default" w:ascii="Times New Roman" w:hAnsi="Times New Roman" w:eastAsia="楷体_GB2312" w:cs="Times New Roman"/>
          <w:b/>
          <w:bCs/>
          <w:sz w:val="32"/>
          <w:szCs w:val="32"/>
        </w:rPr>
        <w:t>带”</w:t>
      </w:r>
      <w:r>
        <w:rPr>
          <w:rFonts w:hint="eastAsia"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z w:val="32"/>
          <w:szCs w:val="32"/>
          <w:lang w:val="en-US" w:eastAsia="zh-CN"/>
        </w:rPr>
        <w:t>4</w:t>
      </w:r>
      <w:r>
        <w:rPr>
          <w:rFonts w:hint="eastAsia" w:ascii="Times New Roman" w:hAnsi="Times New Roman" w:eastAsia="仿宋_GB2312" w:cs="Times New Roman"/>
          <w:b/>
          <w:sz w:val="32"/>
          <w:szCs w:val="32"/>
        </w:rPr>
        <w:t>.</w:t>
      </w:r>
      <w:r>
        <w:rPr>
          <w:rFonts w:hint="eastAsia" w:ascii="仿宋_GB2312" w:hAnsi="仿宋_GB2312" w:eastAsia="仿宋_GB2312" w:cs="仿宋_GB2312"/>
          <w:b/>
          <w:sz w:val="32"/>
          <w:szCs w:val="32"/>
        </w:rPr>
        <w:t>构建“</w:t>
      </w:r>
      <w:r>
        <w:rPr>
          <w:rFonts w:hint="default" w:ascii="Times New Roman" w:hAnsi="Times New Roman" w:eastAsia="仿宋_GB2312" w:cs="Times New Roman"/>
          <w:b/>
          <w:sz w:val="32"/>
          <w:szCs w:val="32"/>
        </w:rPr>
        <w:t>N</w:t>
      </w:r>
      <w:r>
        <w:rPr>
          <w:rFonts w:hint="eastAsia" w:ascii="仿宋_GB2312" w:hAnsi="仿宋_GB2312" w:eastAsia="仿宋_GB2312" w:cs="仿宋_GB2312"/>
          <w:b/>
          <w:sz w:val="32"/>
          <w:szCs w:val="32"/>
        </w:rPr>
        <w:t>园”产业生态。</w:t>
      </w:r>
      <w:r>
        <w:rPr>
          <w:rFonts w:hint="eastAsia" w:ascii="仿宋_GB2312" w:hAnsi="仿宋_GB2312" w:eastAsia="仿宋_GB2312" w:cs="仿宋_GB2312"/>
          <w:sz w:val="32"/>
          <w:szCs w:val="32"/>
        </w:rPr>
        <w:t>孵化认定一批省级跨境电商产业园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支持龙头平台参与跨境电商产业园区建设，打造一站式专业化协同创新圈。分类指导跨境电商综试区和非综试区，挖掘差异化优势，培育建设产业特色鲜明、功能配套完备的跨境电商产业园</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构建以</w:t>
      </w:r>
      <w:r>
        <w:rPr>
          <w:rFonts w:hint="default" w:ascii="Times New Roman" w:hAnsi="Times New Roman" w:eastAsia="仿宋_GB2312" w:cs="Times New Roman"/>
          <w:sz w:val="32"/>
          <w:szCs w:val="32"/>
        </w:rPr>
        <w:t>N</w:t>
      </w:r>
      <w:r>
        <w:rPr>
          <w:rFonts w:hint="eastAsia" w:ascii="仿宋_GB2312" w:hAnsi="仿宋_GB2312" w:eastAsia="仿宋_GB2312" w:cs="仿宋_GB2312"/>
          <w:sz w:val="32"/>
          <w:szCs w:val="32"/>
        </w:rPr>
        <w:t>个跨境电商产业园为</w:t>
      </w:r>
      <w:r>
        <w:rPr>
          <w:rFonts w:hint="eastAsia" w:ascii="仿宋_GB2312" w:hAnsi="仿宋_GB2312" w:eastAsia="仿宋_GB2312" w:cs="仿宋_GB2312"/>
          <w:sz w:val="32"/>
          <w:szCs w:val="32"/>
          <w:lang w:eastAsia="zh-CN"/>
        </w:rPr>
        <w:t>基础</w:t>
      </w:r>
      <w:r>
        <w:rPr>
          <w:rFonts w:hint="eastAsia" w:ascii="仿宋_GB2312" w:hAnsi="仿宋_GB2312" w:eastAsia="仿宋_GB2312" w:cs="仿宋_GB2312"/>
          <w:sz w:val="32"/>
          <w:szCs w:val="32"/>
        </w:rPr>
        <w:t>单元的跨境电商“生态</w:t>
      </w:r>
      <w:r>
        <w:rPr>
          <w:rFonts w:hint="eastAsia" w:ascii="仿宋_GB2312" w:hAnsi="仿宋_GB2312" w:eastAsia="仿宋_GB2312" w:cs="仿宋_GB2312"/>
          <w:sz w:val="32"/>
          <w:szCs w:val="32"/>
          <w:lang w:eastAsia="zh-CN"/>
        </w:rPr>
        <w:t>圈”。（责任单位：商务厅）</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z w:val="32"/>
          <w:szCs w:val="32"/>
          <w:lang w:val="en-US" w:eastAsia="zh-CN"/>
        </w:rPr>
        <w:t>5</w:t>
      </w:r>
      <w:r>
        <w:rPr>
          <w:rFonts w:hint="eastAsia" w:ascii="Times New Roman" w:hAnsi="Times New Roman" w:eastAsia="仿宋_GB2312" w:cs="Times New Roman"/>
          <w:b/>
          <w:sz w:val="32"/>
          <w:szCs w:val="32"/>
        </w:rPr>
        <w:t>.</w:t>
      </w:r>
      <w:r>
        <w:rPr>
          <w:rFonts w:hint="eastAsia" w:ascii="仿宋_GB2312" w:hAnsi="仿宋_GB2312" w:eastAsia="仿宋_GB2312" w:cs="仿宋_GB2312"/>
          <w:b/>
          <w:sz w:val="32"/>
          <w:szCs w:val="32"/>
          <w:lang w:eastAsia="zh-CN"/>
        </w:rPr>
        <w:t>完善</w:t>
      </w:r>
      <w:r>
        <w:rPr>
          <w:rFonts w:hint="eastAsia" w:ascii="仿宋_GB2312" w:hAnsi="仿宋_GB2312" w:eastAsia="仿宋_GB2312" w:cs="仿宋_GB2312"/>
          <w:b/>
          <w:sz w:val="32"/>
          <w:szCs w:val="32"/>
        </w:rPr>
        <w:t>“</w:t>
      </w:r>
      <w:r>
        <w:rPr>
          <w:rFonts w:hint="default" w:ascii="Times New Roman" w:hAnsi="Times New Roman" w:eastAsia="仿宋_GB2312" w:cs="Times New Roman"/>
          <w:b/>
          <w:sz w:val="32"/>
          <w:szCs w:val="32"/>
        </w:rPr>
        <w:t>N</w:t>
      </w:r>
      <w:r>
        <w:rPr>
          <w:rFonts w:hint="eastAsia" w:ascii="仿宋_GB2312" w:hAnsi="仿宋_GB2312" w:eastAsia="仿宋_GB2312" w:cs="仿宋_GB2312"/>
          <w:b/>
          <w:sz w:val="32"/>
          <w:szCs w:val="32"/>
          <w:lang w:eastAsia="zh-CN"/>
        </w:rPr>
        <w:t>带</w:t>
      </w:r>
      <w:r>
        <w:rPr>
          <w:rFonts w:hint="eastAsia" w:ascii="仿宋_GB2312" w:hAnsi="仿宋_GB2312" w:eastAsia="仿宋_GB2312" w:cs="仿宋_GB2312"/>
          <w:b/>
          <w:sz w:val="32"/>
          <w:szCs w:val="32"/>
        </w:rPr>
        <w:t>”产业</w:t>
      </w:r>
      <w:r>
        <w:rPr>
          <w:rFonts w:hint="eastAsia" w:ascii="仿宋_GB2312" w:hAnsi="仿宋_GB2312" w:eastAsia="仿宋_GB2312" w:cs="仿宋_GB2312"/>
          <w:b/>
          <w:sz w:val="32"/>
          <w:szCs w:val="32"/>
          <w:lang w:eastAsia="zh-CN"/>
        </w:rPr>
        <w:t>体系</w:t>
      </w:r>
      <w:r>
        <w:rPr>
          <w:rFonts w:hint="eastAsia" w:ascii="仿宋_GB2312" w:hAnsi="仿宋_GB2312" w:eastAsia="仿宋_GB2312" w:cs="仿宋_GB2312"/>
          <w:b/>
          <w:sz w:val="32"/>
          <w:szCs w:val="32"/>
        </w:rPr>
        <w:t>。</w:t>
      </w:r>
      <w:r>
        <w:rPr>
          <w:rFonts w:hint="default" w:ascii="Times New Roman" w:hAnsi="Times New Roman" w:eastAsia="仿宋_GB2312" w:cs="Times New Roman"/>
          <w:sz w:val="32"/>
          <w:szCs w:val="32"/>
        </w:rPr>
        <w:t>开展首批</w:t>
      </w:r>
      <w:r>
        <w:rPr>
          <w:rFonts w:hint="default" w:ascii="Times New Roman" w:hAnsi="Times New Roman" w:eastAsia="仿宋_GB2312" w:cs="Times New Roman"/>
          <w:sz w:val="32"/>
          <w:szCs w:val="32"/>
          <w:lang w:eastAsia="zh-CN"/>
        </w:rPr>
        <w:t>跨境电商</w:t>
      </w:r>
      <w:r>
        <w:rPr>
          <w:rFonts w:hint="default" w:ascii="Times New Roman" w:hAnsi="Times New Roman" w:eastAsia="仿宋_GB2312" w:cs="Times New Roman"/>
          <w:sz w:val="32"/>
          <w:szCs w:val="32"/>
        </w:rPr>
        <w:t>产业带源头工厂清单征集工作，建立特色产品库</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分类培育</w:t>
      </w:r>
      <w:r>
        <w:rPr>
          <w:rFonts w:hint="default" w:ascii="Times New Roman" w:hAnsi="Times New Roman" w:eastAsia="仿宋_GB2312" w:cs="Times New Roman"/>
          <w:sz w:val="32"/>
          <w:szCs w:val="32"/>
        </w:rPr>
        <w:t>N</w:t>
      </w:r>
      <w:r>
        <w:rPr>
          <w:rFonts w:hint="eastAsia" w:ascii="仿宋_GB2312" w:hAnsi="仿宋_GB2312" w:eastAsia="仿宋_GB2312" w:cs="仿宋_GB2312"/>
          <w:sz w:val="32"/>
          <w:szCs w:val="32"/>
        </w:rPr>
        <w:t>个跨境电商贸易型集群、工贸型集群，</w:t>
      </w:r>
      <w:r>
        <w:rPr>
          <w:rFonts w:hint="eastAsia" w:ascii="仿宋_GB2312" w:hAnsi="仿宋_GB2312" w:eastAsia="仿宋_GB2312" w:cs="仿宋_GB2312"/>
          <w:sz w:val="32"/>
          <w:szCs w:val="32"/>
          <w:lang w:eastAsia="zh-CN"/>
        </w:rPr>
        <w:t>推动竹制品、新能源等</w:t>
      </w:r>
      <w:r>
        <w:rPr>
          <w:rFonts w:hint="eastAsia" w:ascii="仿宋_GB2312" w:hAnsi="仿宋_GB2312" w:eastAsia="仿宋_GB2312" w:cs="仿宋_GB2312"/>
          <w:sz w:val="32"/>
          <w:szCs w:val="32"/>
        </w:rPr>
        <w:t>环境友好型产品拓展线上市场。挖掘巴蜀文化、三国文化、熊猫文化、</w:t>
      </w:r>
      <w:r>
        <w:rPr>
          <w:rFonts w:hint="eastAsia" w:ascii="仿宋_GB2312" w:hAnsi="仿宋_GB2312" w:eastAsia="仿宋_GB2312" w:cs="仿宋_GB2312"/>
          <w:sz w:val="32"/>
          <w:szCs w:val="32"/>
          <w:lang w:eastAsia="zh-CN"/>
        </w:rPr>
        <w:t>彩灯文化、</w:t>
      </w:r>
      <w:r>
        <w:rPr>
          <w:rFonts w:hint="eastAsia" w:ascii="仿宋_GB2312" w:hAnsi="仿宋_GB2312" w:eastAsia="仿宋_GB2312" w:cs="仿宋_GB2312"/>
          <w:sz w:val="32"/>
          <w:szCs w:val="32"/>
        </w:rPr>
        <w:t>少数民族文化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非物质文化遗产、“老字号”出海潜力</w:t>
      </w:r>
      <w:r>
        <w:rPr>
          <w:rFonts w:hint="eastAsia" w:ascii="仿宋_GB2312" w:hAnsi="仿宋_GB2312" w:eastAsia="仿宋_GB2312" w:cs="仿宋_GB2312"/>
          <w:sz w:val="32"/>
          <w:szCs w:val="32"/>
        </w:rPr>
        <w:t>，提升文创产品国际竞争力。</w:t>
      </w:r>
      <w:r>
        <w:rPr>
          <w:rFonts w:hint="eastAsia" w:ascii="仿宋_GB2312" w:hAnsi="仿宋_GB2312" w:eastAsia="仿宋_GB2312" w:cs="仿宋_GB2312"/>
          <w:sz w:val="32"/>
          <w:szCs w:val="32"/>
          <w:lang w:eastAsia="zh-CN"/>
        </w:rPr>
        <w:t>支持以</w:t>
      </w:r>
      <w:r>
        <w:rPr>
          <w:rFonts w:hint="eastAsia" w:ascii="仿宋_GB2312" w:hAnsi="仿宋_GB2312" w:eastAsia="仿宋_GB2312" w:cs="仿宋_GB2312"/>
          <w:sz w:val="32"/>
          <w:szCs w:val="32"/>
        </w:rPr>
        <w:t>市（州）</w:t>
      </w:r>
      <w:r>
        <w:rPr>
          <w:rFonts w:hint="eastAsia" w:ascii="仿宋_GB2312" w:hAnsi="仿宋_GB2312" w:eastAsia="仿宋_GB2312" w:cs="仿宋_GB2312"/>
          <w:sz w:val="32"/>
          <w:szCs w:val="32"/>
          <w:lang w:eastAsia="zh-CN"/>
        </w:rPr>
        <w:t>为单元</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数字化</w:t>
      </w:r>
      <w:r>
        <w:rPr>
          <w:rFonts w:hint="eastAsia" w:ascii="仿宋_GB2312" w:hAnsi="仿宋_GB2312" w:eastAsia="仿宋_GB2312" w:cs="仿宋_GB2312"/>
          <w:sz w:val="32"/>
          <w:szCs w:val="32"/>
        </w:rPr>
        <w:t>产业带</w:t>
      </w:r>
      <w:r>
        <w:rPr>
          <w:rFonts w:hint="eastAsia" w:ascii="仿宋_GB2312" w:hAnsi="仿宋_GB2312" w:eastAsia="仿宋_GB2312" w:cs="仿宋_GB2312"/>
          <w:sz w:val="32"/>
          <w:szCs w:val="32"/>
          <w:lang w:eastAsia="zh-CN"/>
        </w:rPr>
        <w:t>，打造</w:t>
      </w:r>
      <w:r>
        <w:rPr>
          <w:rFonts w:hint="eastAsia" w:ascii="仿宋_GB2312" w:hAnsi="仿宋_GB2312" w:eastAsia="仿宋_GB2312" w:cs="仿宋_GB2312"/>
          <w:sz w:val="32"/>
          <w:szCs w:val="32"/>
        </w:rPr>
        <w:t>数字化营销平台和线下选品中心。</w:t>
      </w:r>
      <w:r>
        <w:rPr>
          <w:rFonts w:hint="eastAsia" w:ascii="仿宋_GB2312" w:hAnsi="仿宋_GB2312" w:eastAsia="仿宋_GB2312" w:cs="仿宋_GB2312"/>
          <w:sz w:val="32"/>
          <w:szCs w:val="32"/>
          <w:lang w:eastAsia="zh-CN"/>
        </w:rPr>
        <w:t>（责任单位：商务厅、经济和信息化厅、农业农村厅、文化和旅游厅）</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sz w:val="32"/>
          <w:szCs w:val="32"/>
          <w:lang w:val="en-US" w:eastAsia="zh-CN"/>
        </w:rPr>
        <w:t>6</w:t>
      </w:r>
      <w:r>
        <w:rPr>
          <w:rFonts w:hint="eastAsia" w:ascii="Times New Roman" w:hAnsi="Times New Roman" w:eastAsia="仿宋_GB2312" w:cs="Times New Roman"/>
          <w:b/>
          <w:sz w:val="32"/>
          <w:szCs w:val="32"/>
        </w:rPr>
        <w:t>.</w:t>
      </w:r>
      <w:r>
        <w:rPr>
          <w:rFonts w:hint="eastAsia" w:ascii="仿宋_GB2312" w:hAnsi="仿宋_GB2312" w:eastAsia="仿宋_GB2312" w:cs="仿宋_GB2312"/>
          <w:b/>
          <w:sz w:val="32"/>
          <w:szCs w:val="32"/>
          <w:lang w:eastAsia="zh-CN"/>
        </w:rPr>
        <w:t>健全完善评价模式机制</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省级跨境电商产业园</w:t>
      </w:r>
      <w:r>
        <w:rPr>
          <w:rFonts w:hint="eastAsia" w:ascii="仿宋_GB2312" w:hAnsi="仿宋_GB2312" w:eastAsia="仿宋_GB2312" w:cs="仿宋_GB2312"/>
          <w:sz w:val="32"/>
          <w:szCs w:val="32"/>
        </w:rPr>
        <w:t>绩效评估和动态管理机制。探索开展“川字号”产业带出海能级评价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在品牌建设、资源导入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人才</w:t>
      </w:r>
      <w:r>
        <w:rPr>
          <w:rFonts w:hint="eastAsia" w:ascii="仿宋_GB2312" w:hAnsi="仿宋_GB2312" w:eastAsia="仿宋_GB2312" w:cs="仿宋_GB2312"/>
          <w:sz w:val="32"/>
          <w:szCs w:val="32"/>
          <w:lang w:eastAsia="zh-CN"/>
        </w:rPr>
        <w:t>培养</w:t>
      </w:r>
      <w:r>
        <w:rPr>
          <w:rFonts w:hint="eastAsia" w:ascii="仿宋_GB2312" w:hAnsi="仿宋_GB2312" w:eastAsia="仿宋_GB2312" w:cs="仿宋_GB2312"/>
          <w:sz w:val="32"/>
          <w:szCs w:val="32"/>
        </w:rPr>
        <w:t>等方面</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引导扶持。</w:t>
      </w:r>
      <w:r>
        <w:rPr>
          <w:rFonts w:hint="eastAsia" w:ascii="仿宋_GB2312" w:hAnsi="仿宋_GB2312" w:eastAsia="仿宋_GB2312" w:cs="仿宋_GB2312"/>
          <w:sz w:val="32"/>
          <w:szCs w:val="32"/>
          <w:lang w:eastAsia="zh-CN"/>
        </w:rPr>
        <w:t>（责任单位：商务厅）</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强化平台辐射带动。</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sz w:val="32"/>
          <w:szCs w:val="32"/>
          <w:lang w:val="en-US" w:eastAsia="zh-CN"/>
        </w:rPr>
        <w:t>7</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
          <w:sz w:val="32"/>
          <w:szCs w:val="32"/>
          <w:lang w:eastAsia="zh-CN"/>
        </w:rPr>
        <w:t>大力招引</w:t>
      </w:r>
      <w:r>
        <w:rPr>
          <w:rFonts w:hint="eastAsia" w:ascii="仿宋_GB2312" w:hAnsi="仿宋_GB2312" w:eastAsia="仿宋_GB2312" w:cs="仿宋_GB2312"/>
          <w:b/>
          <w:sz w:val="32"/>
          <w:szCs w:val="32"/>
          <w:lang w:eastAsia="zh-CN"/>
        </w:rPr>
        <w:t>知名平台</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val="en-US" w:eastAsia="zh-CN"/>
        </w:rPr>
        <w:t>支持跨境电商头部平台在川稳定发展，积极引进具有国际影响力的大型综合性电商平台，支持来川设立区域总部、研发中心、结算中心和供应链管理中心。支持三方平台、物流、“逆向海淘”头部企业来川设立跨境电商出口集货中心仓。（责任单位：商务厅、省经济合作局、</w:t>
      </w:r>
      <w:r>
        <w:rPr>
          <w:rFonts w:hint="eastAsia" w:ascii="仿宋_GB2312" w:hAnsi="仿宋_GB2312" w:eastAsia="仿宋_GB2312" w:cs="仿宋_GB2312"/>
          <w:sz w:val="32"/>
          <w:szCs w:val="32"/>
          <w:lang w:eastAsia="zh-CN"/>
        </w:rPr>
        <w:t>四川邮政管理局</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z w:val="32"/>
          <w:szCs w:val="32"/>
          <w:lang w:val="en-US" w:eastAsia="zh-CN"/>
        </w:rPr>
        <w:t>8.</w:t>
      </w:r>
      <w:r>
        <w:rPr>
          <w:rFonts w:hint="eastAsia" w:ascii="仿宋_GB2312" w:hAnsi="仿宋_GB2312" w:eastAsia="仿宋_GB2312" w:cs="仿宋_GB2312"/>
          <w:b/>
          <w:sz w:val="32"/>
          <w:szCs w:val="32"/>
        </w:rPr>
        <w:t>培育本土</w:t>
      </w:r>
      <w:r>
        <w:rPr>
          <w:rFonts w:hint="eastAsia" w:ascii="仿宋_GB2312" w:hAnsi="仿宋_GB2312" w:eastAsia="仿宋_GB2312" w:cs="仿宋_GB2312"/>
          <w:b/>
          <w:sz w:val="32"/>
          <w:szCs w:val="32"/>
          <w:lang w:eastAsia="zh-CN"/>
        </w:rPr>
        <w:t>头部平台</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val="en-US" w:eastAsia="zh-CN"/>
        </w:rPr>
        <w:t>培育一批本土综合类、垂直类跨境电商平台。</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lang w:val="en-US" w:eastAsia="zh-CN"/>
        </w:rPr>
        <w:t>具有一定规模的跨境电商专业服务商向平台企业转型。</w:t>
      </w:r>
      <w:r>
        <w:rPr>
          <w:rFonts w:hint="eastAsia" w:ascii="仿宋_GB2312" w:hAnsi="仿宋_GB2312" w:eastAsia="仿宋_GB2312" w:cs="仿宋_GB2312"/>
          <w:sz w:val="32"/>
          <w:szCs w:val="32"/>
        </w:rPr>
        <w:t>支持本土头部企业建设跨境电商线上综合服务平台和线下培训孵化基地，优化信息共享、统计监测、人才培育等公共服务供给。</w:t>
      </w:r>
      <w:r>
        <w:rPr>
          <w:rFonts w:hint="eastAsia" w:ascii="仿宋_GB2312" w:hAnsi="仿宋_GB2312" w:eastAsia="仿宋_GB2312" w:cs="仿宋_GB2312"/>
          <w:sz w:val="32"/>
          <w:szCs w:val="32"/>
          <w:lang w:eastAsia="zh-CN"/>
        </w:rPr>
        <w:t>（责任单位：商务厅）</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z w:val="32"/>
          <w:szCs w:val="32"/>
          <w:lang w:val="en-US" w:eastAsia="zh-CN"/>
        </w:rPr>
        <w:t>9</w:t>
      </w:r>
      <w:r>
        <w:rPr>
          <w:rFonts w:hint="eastAsia" w:ascii="Times New Roman" w:hAnsi="Times New Roman" w:eastAsia="仿宋_GB2312" w:cs="Times New Roman"/>
          <w:b/>
          <w:sz w:val="32"/>
          <w:szCs w:val="32"/>
        </w:rPr>
        <w:t>.</w:t>
      </w:r>
      <w:r>
        <w:rPr>
          <w:rFonts w:hint="eastAsia" w:ascii="仿宋_GB2312" w:hAnsi="仿宋_GB2312" w:eastAsia="仿宋_GB2312" w:cs="仿宋_GB2312"/>
          <w:b/>
          <w:sz w:val="32"/>
          <w:szCs w:val="32"/>
        </w:rPr>
        <w:t>促进平台</w:t>
      </w:r>
      <w:r>
        <w:rPr>
          <w:rFonts w:hint="eastAsia" w:ascii="仿宋_GB2312" w:hAnsi="仿宋_GB2312" w:eastAsia="仿宋_GB2312" w:cs="仿宋_GB2312"/>
          <w:b/>
          <w:sz w:val="32"/>
          <w:szCs w:val="32"/>
          <w:lang w:eastAsia="zh-CN"/>
        </w:rPr>
        <w:t>与市（州）</w:t>
      </w:r>
      <w:r>
        <w:rPr>
          <w:rFonts w:hint="eastAsia" w:ascii="仿宋_GB2312" w:hAnsi="仿宋_GB2312" w:eastAsia="仿宋_GB2312" w:cs="仿宋_GB2312"/>
          <w:b/>
          <w:sz w:val="32"/>
          <w:szCs w:val="32"/>
        </w:rPr>
        <w:t>联动。</w:t>
      </w:r>
      <w:r>
        <w:rPr>
          <w:rFonts w:hint="eastAsia" w:ascii="仿宋_GB2312" w:hAnsi="仿宋_GB2312" w:eastAsia="仿宋_GB2312" w:cs="仿宋_GB2312"/>
          <w:sz w:val="32"/>
          <w:szCs w:val="32"/>
          <w:lang w:eastAsia="zh-CN"/>
        </w:rPr>
        <w:t>支持邮政快递物流企业联动商协会、三方平台</w:t>
      </w:r>
      <w:r>
        <w:rPr>
          <w:rFonts w:hint="eastAsia" w:ascii="仿宋_GB2312" w:hAnsi="仿宋_GB2312" w:eastAsia="仿宋_GB2312" w:cs="仿宋_GB2312"/>
          <w:sz w:val="32"/>
          <w:szCs w:val="32"/>
        </w:rPr>
        <w:t>开展“跨境电商平台企业进</w:t>
      </w:r>
      <w:r>
        <w:rPr>
          <w:rFonts w:hint="eastAsia" w:ascii="仿宋_GB2312" w:hAnsi="仿宋_GB2312" w:eastAsia="仿宋_GB2312" w:cs="仿宋_GB2312"/>
          <w:sz w:val="32"/>
          <w:szCs w:val="32"/>
          <w:lang w:eastAsia="zh-CN"/>
        </w:rPr>
        <w:t>市（州）</w:t>
      </w:r>
      <w:r>
        <w:rPr>
          <w:rFonts w:hint="eastAsia" w:ascii="仿宋_GB2312" w:hAnsi="仿宋_GB2312" w:eastAsia="仿宋_GB2312" w:cs="仿宋_GB2312"/>
          <w:sz w:val="32"/>
          <w:szCs w:val="32"/>
        </w:rPr>
        <w:t>”活动，支持在市（州）举办</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信息分享、资源对接</w:t>
      </w:r>
      <w:r>
        <w:rPr>
          <w:rFonts w:hint="eastAsia" w:ascii="仿宋_GB2312" w:hAnsi="仿宋_GB2312" w:eastAsia="仿宋_GB2312" w:cs="仿宋_GB2312"/>
          <w:sz w:val="32"/>
          <w:szCs w:val="32"/>
          <w:lang w:eastAsia="zh-CN"/>
        </w:rPr>
        <w:t>、招商推介等</w:t>
      </w:r>
      <w:r>
        <w:rPr>
          <w:rFonts w:hint="eastAsia" w:ascii="仿宋_GB2312" w:hAnsi="仿宋_GB2312" w:eastAsia="仿宋_GB2312" w:cs="仿宋_GB2312"/>
          <w:sz w:val="32"/>
          <w:szCs w:val="32"/>
        </w:rPr>
        <w:t>活动，促进当地产品上线、</w:t>
      </w:r>
      <w:r>
        <w:rPr>
          <w:rFonts w:hint="eastAsia" w:ascii="仿宋_GB2312" w:hAnsi="仿宋_GB2312" w:eastAsia="仿宋_GB2312" w:cs="仿宋_GB2312"/>
          <w:sz w:val="32"/>
          <w:szCs w:val="32"/>
          <w:lang w:eastAsia="zh-CN"/>
        </w:rPr>
        <w:t>商家触</w:t>
      </w:r>
      <w:r>
        <w:rPr>
          <w:rFonts w:hint="eastAsia" w:ascii="仿宋_GB2312" w:hAnsi="仿宋_GB2312" w:eastAsia="仿宋_GB2312" w:cs="仿宋_GB2312"/>
          <w:sz w:val="32"/>
          <w:szCs w:val="32"/>
        </w:rPr>
        <w:t>网。</w:t>
      </w:r>
      <w:r>
        <w:rPr>
          <w:rFonts w:hint="eastAsia" w:ascii="仿宋_GB2312" w:hAnsi="仿宋_GB2312" w:eastAsia="仿宋_GB2312" w:cs="仿宋_GB2312"/>
          <w:sz w:val="32"/>
          <w:szCs w:val="32"/>
          <w:lang w:eastAsia="zh-CN"/>
        </w:rPr>
        <w:t>（责任单位：商务厅、四川邮政管理局）</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（四）培育本土出海品牌</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sz w:val="32"/>
          <w:szCs w:val="32"/>
          <w:lang w:val="en-US" w:eastAsia="zh-CN"/>
        </w:rPr>
        <w:t>10</w:t>
      </w:r>
      <w:r>
        <w:rPr>
          <w:rFonts w:hint="eastAsia" w:ascii="Times New Roman" w:hAnsi="Times New Roman" w:eastAsia="仿宋_GB2312" w:cs="Times New Roman"/>
          <w:b/>
          <w:sz w:val="32"/>
          <w:szCs w:val="32"/>
        </w:rPr>
        <w:t>.</w:t>
      </w:r>
      <w:r>
        <w:rPr>
          <w:rFonts w:hint="eastAsia" w:ascii="仿宋_GB2312" w:hAnsi="仿宋_GB2312" w:eastAsia="仿宋_GB2312" w:cs="仿宋_GB2312"/>
          <w:b/>
          <w:sz w:val="32"/>
          <w:szCs w:val="32"/>
          <w:lang w:eastAsia="zh-CN"/>
        </w:rPr>
        <w:t>强化品牌培育扶持</w:t>
      </w:r>
      <w:r>
        <w:rPr>
          <w:rFonts w:hint="eastAsia" w:ascii="仿宋_GB2312" w:hAnsi="仿宋_GB2312" w:eastAsia="仿宋_GB2312" w:cs="仿宋_GB2312"/>
          <w:b/>
          <w:sz w:val="32"/>
          <w:szCs w:val="32"/>
        </w:rPr>
        <w:t>。</w:t>
      </w:r>
      <w:r>
        <w:rPr>
          <w:rFonts w:hint="default" w:ascii="Times New Roman" w:hAnsi="Times New Roman" w:eastAsia="仿宋_GB2312" w:cs="Times New Roman"/>
          <w:sz w:val="32"/>
          <w:szCs w:val="32"/>
          <w:lang w:eastAsia="zh-CN"/>
        </w:rPr>
        <w:t>探索</w:t>
      </w:r>
      <w:r>
        <w:rPr>
          <w:rFonts w:hint="default" w:ascii="Times New Roman" w:hAnsi="Times New Roman" w:eastAsia="仿宋_GB2312" w:cs="Times New Roman"/>
          <w:sz w:val="32"/>
          <w:szCs w:val="32"/>
        </w:rPr>
        <w:t>开展“川字号”优秀跨境电商品牌遴选</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用好“川行天下”政策，支持跨境电商企业参加境外展会，支持跨境电商市场主体，借助社交媒体、搜索引擎、跨境直播、三方平台、境外建设国际营销服务平台等进行品牌推广，开展自主品牌商标注册、专利申请和产品国际认证。鼓励</w:t>
      </w:r>
      <w:r>
        <w:rPr>
          <w:rFonts w:hint="eastAsia" w:ascii="Times New Roman" w:hAnsi="Times New Roman" w:eastAsia="仿宋_GB2312" w:cs="Times New Roman"/>
          <w:sz w:val="32"/>
          <w:szCs w:val="32"/>
          <w:lang w:eastAsia="zh-CN"/>
        </w:rPr>
        <w:t>工贸一体型</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eastAsia="zh-CN"/>
        </w:rPr>
        <w:t>自主</w:t>
      </w:r>
      <w:r>
        <w:rPr>
          <w:rFonts w:hint="default" w:ascii="Times New Roman" w:hAnsi="Times New Roman" w:eastAsia="仿宋_GB2312" w:cs="Times New Roman"/>
          <w:sz w:val="32"/>
          <w:szCs w:val="32"/>
        </w:rPr>
        <w:t>创新，从原始设备制造商（OEM）向原始品牌制造商（OBM）转型。支持跨境电商综合服务企业打造综服平台品牌。</w:t>
      </w:r>
      <w:r>
        <w:rPr>
          <w:rFonts w:hint="default" w:ascii="Times New Roman" w:hAnsi="Times New Roman" w:eastAsia="仿宋_GB2312" w:cs="Times New Roman"/>
          <w:sz w:val="32"/>
          <w:szCs w:val="32"/>
          <w:lang w:eastAsia="zh-CN"/>
        </w:rPr>
        <w:t>（责任单位：商务厅、</w:t>
      </w:r>
      <w:r>
        <w:rPr>
          <w:rFonts w:hint="default" w:ascii="Times New Roman" w:hAnsi="Times New Roman" w:eastAsia="仿宋_GB2312" w:cs="Times New Roman"/>
          <w:sz w:val="32"/>
          <w:szCs w:val="32"/>
          <w:lang w:val="en-US" w:eastAsia="zh-CN"/>
        </w:rPr>
        <w:t>省市场监管局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z w:val="32"/>
          <w:szCs w:val="32"/>
          <w:lang w:val="en-US" w:eastAsia="zh-CN"/>
        </w:rPr>
        <w:t>11</w:t>
      </w:r>
      <w:r>
        <w:rPr>
          <w:rFonts w:hint="eastAsia" w:ascii="Times New Roman" w:hAnsi="Times New Roman" w:eastAsia="仿宋_GB2312" w:cs="Times New Roman"/>
          <w:b/>
          <w:sz w:val="32"/>
          <w:szCs w:val="32"/>
        </w:rPr>
        <w:t>.</w:t>
      </w:r>
      <w:r>
        <w:rPr>
          <w:rFonts w:hint="eastAsia" w:ascii="仿宋_GB2312" w:hAnsi="仿宋_GB2312" w:eastAsia="仿宋_GB2312" w:cs="仿宋_GB2312"/>
          <w:b/>
          <w:sz w:val="32"/>
          <w:szCs w:val="32"/>
        </w:rPr>
        <w:t>打造</w:t>
      </w:r>
      <w:r>
        <w:rPr>
          <w:rFonts w:hint="eastAsia" w:ascii="仿宋_GB2312" w:hAnsi="仿宋_GB2312" w:eastAsia="仿宋_GB2312" w:cs="仿宋_GB2312"/>
          <w:b/>
          <w:sz w:val="32"/>
          <w:szCs w:val="32"/>
          <w:lang w:eastAsia="zh-CN"/>
        </w:rPr>
        <w:t>本土化品牌</w:t>
      </w:r>
      <w:r>
        <w:rPr>
          <w:rFonts w:hint="eastAsia" w:ascii="仿宋_GB2312" w:hAnsi="仿宋_GB2312" w:eastAsia="仿宋_GB2312" w:cs="仿宋_GB2312"/>
          <w:b/>
          <w:sz w:val="32"/>
          <w:szCs w:val="32"/>
        </w:rPr>
        <w:t>活动。</w:t>
      </w:r>
      <w:r>
        <w:rPr>
          <w:rFonts w:hint="eastAsia" w:ascii="仿宋_GB2312" w:hAnsi="仿宋_GB2312" w:eastAsia="仿宋_GB2312" w:cs="仿宋_GB2312"/>
          <w:sz w:val="32"/>
          <w:szCs w:val="32"/>
        </w:rPr>
        <w:t>持续打造跨境电商展会与活动平台本土品牌，举办西部跨境电商博览会、进口嘉年华、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熊猫眼看世界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等品牌活动。</w:t>
      </w:r>
      <w:r>
        <w:rPr>
          <w:rFonts w:hint="eastAsia" w:ascii="仿宋_GB2312" w:hAnsi="仿宋_GB2312" w:eastAsia="仿宋_GB2312" w:cs="仿宋_GB2312"/>
          <w:sz w:val="32"/>
          <w:szCs w:val="32"/>
          <w:lang w:eastAsia="zh-CN"/>
        </w:rPr>
        <w:t>支持各市（州）以市场化方式举办跨境电商行业峰会、产业发展大会、挑战赛等地方品牌活动</w:t>
      </w:r>
      <w:r>
        <w:rPr>
          <w:rFonts w:hint="eastAsia" w:ascii="仿宋_GB2312" w:hAnsi="仿宋_GB2312" w:eastAsia="仿宋_GB2312" w:cs="仿宋_GB2312"/>
          <w:sz w:val="32"/>
          <w:szCs w:val="32"/>
          <w:lang w:val="en-US" w:eastAsia="zh-CN"/>
        </w:rPr>
        <w:t>,营造良好行业氛围</w:t>
      </w:r>
      <w:r>
        <w:rPr>
          <w:rFonts w:hint="eastAsia" w:ascii="仿宋_GB2312" w:hAnsi="仿宋_GB2312" w:eastAsia="仿宋_GB2312" w:cs="仿宋_GB2312"/>
          <w:sz w:val="32"/>
          <w:szCs w:val="32"/>
          <w:lang w:eastAsia="zh-CN"/>
        </w:rPr>
        <w:t>。（责任单位：商务厅）</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（五）提升跨境电商发展质效。</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z w:val="32"/>
          <w:szCs w:val="32"/>
          <w:lang w:val="en-US" w:eastAsia="zh-CN"/>
        </w:rPr>
        <w:t>12</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
          <w:sz w:val="32"/>
          <w:szCs w:val="32"/>
          <w:lang w:eastAsia="zh-CN"/>
        </w:rPr>
        <w:t>打造跨境电商进口新基地</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落实扩进口支持政策，</w:t>
      </w:r>
      <w:r>
        <w:rPr>
          <w:rFonts w:hint="eastAsia" w:ascii="仿宋_GB2312" w:hAnsi="仿宋_GB2312" w:eastAsia="仿宋_GB2312" w:cs="仿宋_GB2312"/>
          <w:sz w:val="32"/>
          <w:szCs w:val="32"/>
          <w:lang w:eastAsia="zh-CN"/>
        </w:rPr>
        <w:t>持续招引跨境电商进口平台，推动跨境认证仓扩容，</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现有进口</w:t>
      </w:r>
      <w:r>
        <w:rPr>
          <w:rFonts w:hint="eastAsia" w:ascii="仿宋_GB2312" w:hAnsi="仿宋_GB2312" w:eastAsia="仿宋_GB2312" w:cs="仿宋_GB2312"/>
          <w:sz w:val="32"/>
          <w:szCs w:val="32"/>
        </w:rPr>
        <w:t>保税仓</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规模。</w:t>
      </w:r>
      <w:r>
        <w:rPr>
          <w:rFonts w:hint="eastAsia" w:ascii="仿宋_GB2312" w:hAnsi="仿宋_GB2312" w:eastAsia="仿宋_GB2312" w:cs="仿宋_GB2312"/>
          <w:spacing w:val="-2"/>
          <w:sz w:val="32"/>
          <w:szCs w:val="32"/>
          <w:lang w:val="en-US" w:eastAsia="zh-CN"/>
        </w:rPr>
        <w:t>支持跨境电商进口企业在综合保税区</w:t>
      </w:r>
      <w:r>
        <w:rPr>
          <w:rFonts w:hint="default" w:ascii="Times New Roman" w:hAnsi="Times New Roman" w:eastAsia="仿宋_GB2312" w:cs="Times New Roman"/>
          <w:spacing w:val="-2"/>
          <w:sz w:val="32"/>
          <w:szCs w:val="32"/>
          <w:lang w:val="en-US" w:eastAsia="zh-CN"/>
        </w:rPr>
        <w:t>、</w:t>
      </w:r>
      <w:r>
        <w:rPr>
          <w:rFonts w:hint="eastAsia" w:ascii="Times New Roman" w:hAnsi="Times New Roman" w:eastAsia="仿宋_GB2312" w:cs="Times New Roman"/>
          <w:spacing w:val="-2"/>
          <w:sz w:val="32"/>
          <w:szCs w:val="32"/>
          <w:lang w:val="en-US" w:eastAsia="zh-CN"/>
        </w:rPr>
        <w:t>保税物流中心（</w:t>
      </w:r>
      <w:r>
        <w:rPr>
          <w:rFonts w:hint="default" w:ascii="Times New Roman" w:hAnsi="Times New Roman" w:eastAsia="仿宋_GB2312" w:cs="Times New Roman"/>
          <w:spacing w:val="-2"/>
          <w:sz w:val="32"/>
          <w:szCs w:val="32"/>
          <w:lang w:val="en-US" w:eastAsia="zh-CN"/>
        </w:rPr>
        <w:t>B</w:t>
      </w:r>
      <w:r>
        <w:rPr>
          <w:rFonts w:hint="eastAsia" w:ascii="Times New Roman" w:hAnsi="Times New Roman" w:eastAsia="仿宋_GB2312" w:cs="Times New Roman"/>
          <w:spacing w:val="-2"/>
          <w:sz w:val="32"/>
          <w:szCs w:val="32"/>
          <w:lang w:val="en-US" w:eastAsia="zh-CN"/>
        </w:rPr>
        <w:t>型）</w:t>
      </w:r>
      <w:r>
        <w:rPr>
          <w:rFonts w:hint="eastAsia" w:ascii="仿宋_GB2312" w:hAnsi="仿宋_GB2312" w:eastAsia="仿宋_GB2312" w:cs="仿宋_GB2312"/>
          <w:spacing w:val="-2"/>
          <w:sz w:val="32"/>
          <w:szCs w:val="32"/>
          <w:lang w:val="en-US" w:eastAsia="zh-CN"/>
        </w:rPr>
        <w:t>布局备货仓，</w:t>
      </w:r>
      <w:r>
        <w:rPr>
          <w:rFonts w:hint="eastAsia" w:ascii="仿宋_GB2312" w:hAnsi="仿宋_GB2312" w:eastAsia="仿宋_GB2312" w:cs="仿宋_GB2312"/>
          <w:sz w:val="32"/>
          <w:szCs w:val="32"/>
          <w:lang w:val="en-US" w:eastAsia="zh-CN"/>
        </w:rPr>
        <w:t>发展“保税仓+直播”业态。支持进口企业对接进博会一手供应链资源，鼓励整合海外华侨资源，畅通跨境直采集采渠道。</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亚蓉欧（商品）</w:t>
      </w:r>
      <w:r>
        <w:rPr>
          <w:rFonts w:hint="eastAsia" w:ascii="仿宋_GB2312" w:hAnsi="仿宋_GB2312" w:eastAsia="仿宋_GB2312" w:cs="仿宋_GB2312"/>
          <w:sz w:val="32"/>
          <w:szCs w:val="32"/>
        </w:rPr>
        <w:t>国家馆</w:t>
      </w:r>
      <w:r>
        <w:rPr>
          <w:rFonts w:hint="eastAsia" w:ascii="仿宋_GB2312" w:hAnsi="仿宋_GB2312" w:eastAsia="仿宋_GB2312" w:cs="仿宋_GB2312"/>
          <w:sz w:val="32"/>
          <w:szCs w:val="32"/>
          <w:lang w:eastAsia="zh-CN"/>
        </w:rPr>
        <w:t>等消费载体</w:t>
      </w:r>
      <w:r>
        <w:rPr>
          <w:rFonts w:hint="eastAsia" w:ascii="仿宋_GB2312" w:hAnsi="仿宋_GB2312" w:eastAsia="仿宋_GB2312" w:cs="仿宋_GB2312"/>
          <w:sz w:val="32"/>
          <w:szCs w:val="32"/>
        </w:rPr>
        <w:t>以市场化</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参与消费促进活动</w:t>
      </w:r>
      <w:r>
        <w:rPr>
          <w:rFonts w:hint="eastAsia" w:ascii="仿宋_GB2312" w:hAnsi="仿宋_GB2312" w:eastAsia="仿宋_GB2312" w:cs="仿宋_GB2312"/>
          <w:sz w:val="32"/>
          <w:szCs w:val="32"/>
          <w:lang w:eastAsia="zh-CN"/>
        </w:rPr>
        <w:t>，与主流商圈互动发展</w:t>
      </w:r>
      <w:r>
        <w:rPr>
          <w:rFonts w:hint="eastAsia" w:ascii="仿宋_GB2312" w:hAnsi="仿宋_GB2312" w:eastAsia="仿宋_GB2312" w:cs="仿宋_GB2312"/>
          <w:sz w:val="32"/>
          <w:szCs w:val="32"/>
        </w:rPr>
        <w:t>。推广跨境电商零售进口快速配送模式，探索在热门商圈、大学城、社区</w:t>
      </w:r>
      <w:r>
        <w:rPr>
          <w:rFonts w:hint="eastAsia" w:ascii="仿宋_GB2312" w:hAnsi="仿宋_GB2312" w:eastAsia="仿宋_GB2312" w:cs="仿宋_GB2312"/>
          <w:sz w:val="32"/>
          <w:szCs w:val="32"/>
          <w:lang w:eastAsia="zh-CN"/>
        </w:rPr>
        <w:t>布局体验店、</w:t>
      </w:r>
      <w:r>
        <w:rPr>
          <w:rFonts w:hint="eastAsia" w:ascii="仿宋_GB2312" w:hAnsi="仿宋_GB2312" w:eastAsia="仿宋_GB2312" w:cs="仿宋_GB2312"/>
          <w:sz w:val="32"/>
          <w:szCs w:val="32"/>
          <w:lang w:val="en-US" w:eastAsia="zh-CN"/>
        </w:rPr>
        <w:t>国别跨境商品展示体验中心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促进跨境电商进口直采与新零售融合发展，鼓励</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lang w:val="en-US" w:eastAsia="zh-CN"/>
        </w:rPr>
        <w:t>“体验店+直播”业态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（责任单位：商务厅、</w:t>
      </w:r>
      <w:r>
        <w:rPr>
          <w:rFonts w:hint="eastAsia" w:ascii="仿宋_GB2312" w:hAnsi="仿宋_GB2312" w:eastAsia="仿宋_GB2312" w:cs="仿宋_GB2312"/>
          <w:sz w:val="32"/>
          <w:szCs w:val="32"/>
          <w:lang w:val="en-US" w:eastAsia="zh-CN"/>
        </w:rPr>
        <w:t>省经济合作局</w:t>
      </w:r>
      <w:r>
        <w:rPr>
          <w:rFonts w:hint="eastAsia" w:ascii="仿宋_GB2312" w:hAnsi="仿宋_GB2312" w:eastAsia="仿宋_GB2312" w:cs="仿宋_GB2312"/>
          <w:sz w:val="32"/>
          <w:szCs w:val="32"/>
          <w:lang w:eastAsia="zh-CN"/>
        </w:rPr>
        <w:t>、成都海关、省侨联）</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z w:val="32"/>
          <w:szCs w:val="32"/>
          <w:lang w:val="en-US" w:eastAsia="zh-CN"/>
        </w:rPr>
        <w:t>13</w:t>
      </w:r>
      <w:r>
        <w:rPr>
          <w:rFonts w:hint="eastAsia" w:ascii="Times New Roman" w:hAnsi="Times New Roman" w:eastAsia="仿宋_GB2312" w:cs="Times New Roman"/>
          <w:b/>
          <w:sz w:val="32"/>
          <w:szCs w:val="32"/>
        </w:rPr>
        <w:t>.</w:t>
      </w:r>
      <w:r>
        <w:rPr>
          <w:rFonts w:hint="eastAsia" w:ascii="仿宋_GB2312" w:hAnsi="仿宋_GB2312" w:eastAsia="仿宋_GB2312" w:cs="仿宋_GB2312"/>
          <w:b/>
          <w:sz w:val="32"/>
          <w:szCs w:val="32"/>
          <w:lang w:eastAsia="zh-CN"/>
        </w:rPr>
        <w:t>推动业态互融互促</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四川省商务厅关于</w:t>
      </w:r>
      <w:r>
        <w:rPr>
          <w:rFonts w:hint="eastAsia" w:ascii="仿宋_GB2312" w:hAnsi="仿宋_GB2312" w:eastAsia="仿宋_GB2312" w:cs="仿宋_GB2312"/>
          <w:sz w:val="32"/>
          <w:szCs w:val="32"/>
        </w:rPr>
        <w:t>促进外贸业态模式平台融合发展的指导意见》落地见效。做优新能源二手车跨境电商出口线上生态和线下服务保障体系，</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向汽车后市场</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延伸。引导整车、园艺家居等跨境电商大卖家向垂直型外综服企业转型，支持申报省级外综服企业。</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海外仓</w:t>
      </w:r>
      <w:r>
        <w:rPr>
          <w:rFonts w:hint="eastAsia" w:ascii="仿宋_GB2312" w:hAnsi="仿宋_GB2312" w:eastAsia="仿宋_GB2312" w:cs="仿宋_GB2312"/>
          <w:sz w:val="32"/>
          <w:szCs w:val="32"/>
          <w:lang w:eastAsia="zh-CN"/>
        </w:rPr>
        <w:t>叠加外综服功能，</w:t>
      </w:r>
      <w:r>
        <w:rPr>
          <w:rFonts w:hint="eastAsia" w:ascii="仿宋_GB2312" w:hAnsi="仿宋_GB2312" w:eastAsia="仿宋_GB2312" w:cs="仿宋_GB2312"/>
          <w:sz w:val="32"/>
          <w:szCs w:val="32"/>
        </w:rPr>
        <w:t>在</w:t>
      </w:r>
      <w:r>
        <w:rPr>
          <w:rFonts w:hint="default" w:ascii="Times New Roman" w:hAnsi="Times New Roman" w:eastAsia="仿宋_GB2312" w:cs="Times New Roman"/>
          <w:sz w:val="32"/>
          <w:szCs w:val="32"/>
          <w:lang w:val="en-US" w:eastAsia="zh-CN"/>
        </w:rPr>
        <w:t>RCEP</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“一带一路”沿线口岸城市</w:t>
      </w:r>
      <w:r>
        <w:rPr>
          <w:rFonts w:hint="eastAsia" w:ascii="仿宋_GB2312" w:hAnsi="仿宋_GB2312" w:eastAsia="仿宋_GB2312" w:cs="仿宋_GB2312"/>
          <w:sz w:val="32"/>
          <w:szCs w:val="32"/>
          <w:lang w:eastAsia="zh-CN"/>
        </w:rPr>
        <w:t>布局，与当地电商平台合作，</w:t>
      </w:r>
      <w:r>
        <w:rPr>
          <w:rFonts w:hint="eastAsia" w:ascii="仿宋_GB2312" w:hAnsi="仿宋_GB2312" w:eastAsia="仿宋_GB2312" w:cs="仿宋_GB2312"/>
          <w:sz w:val="32"/>
          <w:szCs w:val="32"/>
        </w:rPr>
        <w:t>发展“前店+中仓+后港”模式，打造跨境自提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批零兼营的销售新场景。</w:t>
      </w:r>
      <w:r>
        <w:rPr>
          <w:rFonts w:hint="eastAsia" w:ascii="仿宋_GB2312" w:hAnsi="仿宋_GB2312" w:eastAsia="仿宋_GB2312" w:cs="仿宋_GB2312"/>
          <w:sz w:val="32"/>
          <w:szCs w:val="32"/>
          <w:lang w:eastAsia="zh-CN"/>
        </w:rPr>
        <w:t>（责任单位：商务厅、成都海关、省发展改革委）</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sz w:val="32"/>
          <w:szCs w:val="32"/>
          <w:lang w:val="en-US" w:eastAsia="zh-CN"/>
        </w:rPr>
        <w:t>14.</w:t>
      </w:r>
      <w:r>
        <w:rPr>
          <w:rFonts w:hint="eastAsia" w:ascii="仿宋_GB2312" w:hAnsi="仿宋_GB2312" w:eastAsia="仿宋_GB2312" w:cs="仿宋_GB2312"/>
          <w:b/>
          <w:sz w:val="32"/>
          <w:szCs w:val="32"/>
          <w:lang w:eastAsia="zh-CN"/>
        </w:rPr>
        <w:t>构建</w:t>
      </w:r>
      <w:r>
        <w:rPr>
          <w:rFonts w:hint="eastAsia" w:ascii="仿宋_GB2312" w:hAnsi="仿宋_GB2312" w:eastAsia="仿宋_GB2312" w:cs="仿宋_GB2312"/>
          <w:b/>
          <w:sz w:val="32"/>
          <w:szCs w:val="32"/>
        </w:rPr>
        <w:t>“川字号”海外仓</w:t>
      </w:r>
      <w:r>
        <w:rPr>
          <w:rFonts w:hint="eastAsia" w:ascii="仿宋_GB2312" w:hAnsi="仿宋_GB2312" w:eastAsia="仿宋_GB2312" w:cs="仿宋_GB2312"/>
          <w:b/>
          <w:sz w:val="32"/>
          <w:szCs w:val="32"/>
          <w:lang w:eastAsia="zh-CN"/>
        </w:rPr>
        <w:t>矩阵</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印发执行</w:t>
      </w:r>
      <w:r>
        <w:rPr>
          <w:rFonts w:hint="eastAsia" w:ascii="仿宋_GB2312" w:hAnsi="仿宋_GB2312" w:eastAsia="仿宋_GB2312" w:cs="仿宋_GB2312"/>
          <w:sz w:val="32"/>
          <w:szCs w:val="32"/>
          <w:lang w:val="en-US" w:eastAsia="zh-CN"/>
        </w:rPr>
        <w:t>《四川省海外仓高质量发展三年行动方案》</w:t>
      </w:r>
      <w:r>
        <w:rPr>
          <w:rFonts w:hint="eastAsia" w:ascii="仿宋_GB2312" w:hAnsi="仿宋_GB2312" w:eastAsia="仿宋_GB2312" w:cs="仿宋_GB2312"/>
          <w:sz w:val="32"/>
          <w:szCs w:val="32"/>
        </w:rPr>
        <w:t>，探索海外仓数字化赋能、精细化管理、品牌化运营、多元化布局、本土化服务、合规化经营发展路径。</w:t>
      </w:r>
      <w:r>
        <w:rPr>
          <w:rFonts w:hint="eastAsia" w:ascii="仿宋_GB2312" w:hAnsi="仿宋_GB2312" w:eastAsia="仿宋_GB2312" w:cs="仿宋_GB2312"/>
          <w:sz w:val="32"/>
          <w:szCs w:val="32"/>
          <w:lang w:val="en-US" w:eastAsia="zh-CN"/>
        </w:rPr>
        <w:t>支持多元主体共建共享海外仓，</w:t>
      </w:r>
      <w:r>
        <w:rPr>
          <w:rFonts w:hint="eastAsia" w:ascii="仿宋_GB2312" w:hAnsi="仿宋_GB2312" w:eastAsia="仿宋_GB2312" w:cs="仿宋_GB2312"/>
          <w:sz w:val="32"/>
          <w:szCs w:val="32"/>
        </w:rPr>
        <w:t>开展省级公共海外仓认定，建立重点海外仓信息库。推动搭建省级海外仓信息发布平台，</w:t>
      </w:r>
      <w:r>
        <w:rPr>
          <w:rFonts w:hint="eastAsia" w:ascii="仿宋_GB2312" w:hAnsi="仿宋_GB2312" w:eastAsia="仿宋_GB2312" w:cs="仿宋_GB2312"/>
          <w:sz w:val="32"/>
          <w:szCs w:val="32"/>
          <w:lang w:eastAsia="zh-CN"/>
        </w:rPr>
        <w:t>持续开展海外仓</w:t>
      </w:r>
      <w:r>
        <w:rPr>
          <w:rFonts w:hint="eastAsia" w:ascii="仿宋_GB2312" w:hAnsi="仿宋_GB2312" w:eastAsia="仿宋_GB2312" w:cs="仿宋_GB2312"/>
          <w:sz w:val="32"/>
          <w:szCs w:val="32"/>
        </w:rPr>
        <w:t>“免仓租”</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促进供租信息</w:t>
      </w:r>
      <w:r>
        <w:rPr>
          <w:rFonts w:hint="eastAsia" w:ascii="仿宋_GB2312" w:hAnsi="仿宋_GB2312" w:eastAsia="仿宋_GB2312" w:cs="仿宋_GB2312"/>
          <w:sz w:val="32"/>
          <w:szCs w:val="32"/>
          <w:lang w:eastAsia="zh-CN"/>
        </w:rPr>
        <w:t>对称，盘活闲置仓储资源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（责任单位：商务厅、省发展改革委）</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完善</w:t>
      </w:r>
      <w:r>
        <w:rPr>
          <w:rFonts w:hint="eastAsia" w:ascii="楷体_GB2312" w:hAnsi="楷体_GB2312" w:eastAsia="楷体_GB2312" w:cs="楷体_GB2312"/>
          <w:b/>
          <w:bCs/>
          <w:sz w:val="32"/>
          <w:szCs w:val="32"/>
          <w:lang w:val="en-US" w:eastAsia="zh-CN"/>
        </w:rPr>
        <w:t>服务监管体系。</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z w:val="32"/>
          <w:szCs w:val="32"/>
          <w:lang w:val="en-US" w:eastAsia="zh-CN"/>
        </w:rPr>
        <w:t>15</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
          <w:sz w:val="32"/>
          <w:szCs w:val="32"/>
          <w:lang w:eastAsia="zh-CN"/>
        </w:rPr>
        <w:t>强化跨</w:t>
      </w:r>
      <w:r>
        <w:rPr>
          <w:rFonts w:hint="eastAsia" w:ascii="仿宋_GB2312" w:hAnsi="仿宋_GB2312" w:eastAsia="仿宋_GB2312" w:cs="仿宋_GB2312"/>
          <w:b/>
          <w:sz w:val="32"/>
          <w:szCs w:val="32"/>
        </w:rPr>
        <w:t>部门</w:t>
      </w:r>
      <w:r>
        <w:rPr>
          <w:rFonts w:hint="eastAsia" w:ascii="仿宋_GB2312" w:hAnsi="仿宋_GB2312" w:eastAsia="仿宋_GB2312" w:cs="仿宋_GB2312"/>
          <w:b/>
          <w:sz w:val="32"/>
          <w:szCs w:val="32"/>
          <w:lang w:eastAsia="zh-CN"/>
        </w:rPr>
        <w:t>服务</w:t>
      </w:r>
      <w:r>
        <w:rPr>
          <w:rFonts w:hint="eastAsia" w:ascii="仿宋_GB2312" w:hAnsi="仿宋_GB2312" w:eastAsia="仿宋_GB2312" w:cs="仿宋_GB2312"/>
          <w:b/>
          <w:sz w:val="32"/>
          <w:szCs w:val="32"/>
        </w:rPr>
        <w:t>监管。</w:t>
      </w:r>
      <w:r>
        <w:rPr>
          <w:rFonts w:hint="eastAsia" w:ascii="仿宋_GB2312" w:hAnsi="仿宋_GB2312" w:eastAsia="仿宋_GB2312" w:cs="仿宋_GB2312"/>
          <w:sz w:val="32"/>
          <w:szCs w:val="32"/>
          <w:lang w:eastAsia="zh-CN"/>
        </w:rPr>
        <w:t>常态化开展跨部门会商、跨行业培训，</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市（州）各部门统一监管尺度、</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推动“互联网+监管+服务”体系建设，</w:t>
      </w:r>
      <w:r>
        <w:rPr>
          <w:rFonts w:hint="eastAsia" w:ascii="仿宋_GB2312" w:hAnsi="仿宋_GB2312" w:eastAsia="仿宋_GB2312" w:cs="仿宋_GB2312"/>
          <w:sz w:val="32"/>
          <w:szCs w:val="32"/>
          <w:lang w:val="en-US" w:eastAsia="zh-CN"/>
        </w:rPr>
        <w:t>建立“信用+风险”监管机制，分类实施守信激励和失信惩戒。增强合规风控能力建设，</w:t>
      </w:r>
      <w:r>
        <w:rPr>
          <w:rFonts w:hint="eastAsia" w:ascii="仿宋_GB2312" w:hAnsi="仿宋_GB2312" w:eastAsia="仿宋_GB2312" w:cs="仿宋_GB2312"/>
          <w:sz w:val="32"/>
          <w:szCs w:val="32"/>
          <w:lang w:eastAsia="zh-CN"/>
        </w:rPr>
        <w:t>引导市场主体</w:t>
      </w:r>
      <w:r>
        <w:rPr>
          <w:rFonts w:hint="eastAsia" w:ascii="仿宋_GB2312" w:hAnsi="仿宋_GB2312" w:eastAsia="仿宋_GB2312" w:cs="仿宋_GB2312"/>
          <w:sz w:val="32"/>
          <w:szCs w:val="32"/>
          <w:lang w:val="en-US" w:eastAsia="zh-CN"/>
        </w:rPr>
        <w:t>增强法律法规和知识产权保护意识，促进阳光发展。</w:t>
      </w:r>
      <w:r>
        <w:rPr>
          <w:rFonts w:hint="eastAsia" w:ascii="仿宋_GB2312" w:hAnsi="仿宋_GB2312" w:eastAsia="仿宋_GB2312" w:cs="仿宋_GB2312"/>
          <w:sz w:val="32"/>
          <w:szCs w:val="32"/>
          <w:lang w:eastAsia="zh-CN"/>
        </w:rPr>
        <w:t>（责任单位：商务厅、成都海关、省税务局、省外汇管理局、省市场监管局）</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sz w:val="32"/>
          <w:szCs w:val="32"/>
          <w:lang w:val="en-US" w:eastAsia="zh-CN"/>
        </w:rPr>
        <w:t>16</w:t>
      </w:r>
      <w:r>
        <w:rPr>
          <w:rFonts w:hint="eastAsia" w:ascii="Times New Roman" w:hAnsi="Times New Roman" w:eastAsia="仿宋_GB2312" w:cs="Times New Roman"/>
          <w:b/>
          <w:sz w:val="32"/>
          <w:szCs w:val="32"/>
        </w:rPr>
        <w:t>.</w:t>
      </w:r>
      <w:r>
        <w:rPr>
          <w:rFonts w:hint="eastAsia" w:ascii="仿宋_GB2312" w:hAnsi="仿宋_GB2312" w:eastAsia="仿宋_GB2312" w:cs="仿宋_GB2312"/>
          <w:b/>
          <w:sz w:val="32"/>
          <w:szCs w:val="32"/>
        </w:rPr>
        <w:t>用好</w:t>
      </w:r>
      <w:r>
        <w:rPr>
          <w:rFonts w:hint="eastAsia" w:ascii="仿宋_GB2312" w:hAnsi="仿宋_GB2312" w:eastAsia="仿宋_GB2312" w:cs="仿宋_GB2312"/>
          <w:b/>
          <w:sz w:val="32"/>
          <w:szCs w:val="32"/>
          <w:lang w:eastAsia="zh-CN"/>
        </w:rPr>
        <w:t>用活</w:t>
      </w:r>
      <w:r>
        <w:rPr>
          <w:rFonts w:hint="eastAsia" w:ascii="仿宋_GB2312" w:hAnsi="仿宋_GB2312" w:eastAsia="仿宋_GB2312" w:cs="仿宋_GB2312"/>
          <w:b/>
          <w:sz w:val="32"/>
          <w:szCs w:val="32"/>
        </w:rPr>
        <w:t>税收政策。</w:t>
      </w:r>
      <w:r>
        <w:rPr>
          <w:rFonts w:hint="eastAsia" w:ascii="仿宋_GB2312" w:hAnsi="仿宋_GB2312" w:eastAsia="仿宋_GB2312" w:cs="仿宋_GB2312"/>
          <w:sz w:val="32"/>
          <w:szCs w:val="32"/>
        </w:rPr>
        <w:t>落实跨境电商</w:t>
      </w:r>
      <w:r>
        <w:rPr>
          <w:rFonts w:hint="eastAsia" w:ascii="仿宋_GB2312" w:hAnsi="仿宋_GB2312" w:eastAsia="仿宋_GB2312" w:cs="仿宋_GB2312"/>
          <w:sz w:val="32"/>
          <w:szCs w:val="32"/>
          <w:lang w:eastAsia="zh-CN"/>
        </w:rPr>
        <w:t>综试区内的跨境电商零售</w:t>
      </w:r>
      <w:r>
        <w:rPr>
          <w:rFonts w:hint="eastAsia" w:ascii="仿宋_GB2312" w:hAnsi="仿宋_GB2312" w:eastAsia="仿宋_GB2312" w:cs="仿宋_GB2312"/>
          <w:sz w:val="32"/>
          <w:szCs w:val="32"/>
        </w:rPr>
        <w:t>出口</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9610）</w:t>
      </w:r>
      <w:r>
        <w:rPr>
          <w:rFonts w:hint="eastAsia" w:ascii="仿宋_GB2312" w:hAnsi="仿宋_GB2312" w:eastAsia="仿宋_GB2312" w:cs="仿宋_GB2312"/>
          <w:sz w:val="32"/>
          <w:szCs w:val="32"/>
        </w:rPr>
        <w:t>企业所得税核定征收政策。落实出口退运商品税收政策，对符合条件的退运商品免征进口关税、进口环节增值税、消费税。</w:t>
      </w:r>
      <w:r>
        <w:rPr>
          <w:rFonts w:hint="eastAsia" w:ascii="仿宋_GB2312" w:hAnsi="仿宋_GB2312" w:eastAsia="仿宋_GB2312" w:cs="仿宋_GB2312"/>
          <w:sz w:val="32"/>
          <w:szCs w:val="32"/>
          <w:lang w:eastAsia="zh-CN"/>
        </w:rPr>
        <w:t>指导企业用足用好跨境电商出口海外仓（</w:t>
      </w:r>
      <w:r>
        <w:rPr>
          <w:rFonts w:hint="eastAsia" w:ascii="Times New Roman" w:hAnsi="Times New Roman" w:eastAsia="仿宋_GB2312" w:cs="Times New Roman"/>
          <w:sz w:val="32"/>
          <w:szCs w:val="32"/>
          <w:lang w:val="en-US" w:eastAsia="zh-CN"/>
        </w:rPr>
        <w:t>9810）</w:t>
      </w:r>
      <w:r>
        <w:rPr>
          <w:rFonts w:hint="eastAsia" w:ascii="仿宋_GB2312" w:hAnsi="仿宋_GB2312" w:eastAsia="仿宋_GB2312" w:cs="仿宋_GB2312"/>
          <w:sz w:val="32"/>
          <w:szCs w:val="32"/>
          <w:lang w:eastAsia="zh-CN"/>
        </w:rPr>
        <w:t>现行出口退税政策，及时申报办理退税。（责任单位：省税务局、成都海关）</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z w:val="32"/>
          <w:szCs w:val="32"/>
          <w:lang w:val="en-US" w:eastAsia="zh-CN"/>
        </w:rPr>
        <w:t>17</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
          <w:sz w:val="32"/>
          <w:szCs w:val="32"/>
          <w:lang w:eastAsia="zh-CN"/>
        </w:rPr>
        <w:t>提升</w:t>
      </w:r>
      <w:r>
        <w:rPr>
          <w:rFonts w:hint="eastAsia" w:ascii="仿宋_GB2312" w:hAnsi="仿宋_GB2312" w:eastAsia="仿宋_GB2312" w:cs="仿宋_GB2312"/>
          <w:b/>
          <w:sz w:val="32"/>
          <w:szCs w:val="32"/>
        </w:rPr>
        <w:t>通关便利化</w:t>
      </w:r>
      <w:r>
        <w:rPr>
          <w:rFonts w:hint="eastAsia" w:ascii="仿宋_GB2312" w:hAnsi="仿宋_GB2312" w:eastAsia="仿宋_GB2312" w:cs="仿宋_GB2312"/>
          <w:b/>
          <w:sz w:val="32"/>
          <w:szCs w:val="32"/>
          <w:lang w:eastAsia="zh-CN"/>
        </w:rPr>
        <w:t>水平</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优化跨境电商</w:t>
      </w:r>
      <w:r>
        <w:rPr>
          <w:rFonts w:hint="eastAsia" w:ascii="仿宋_GB2312" w:hAnsi="仿宋_GB2312" w:eastAsia="仿宋_GB2312" w:cs="仿宋_GB2312"/>
          <w:sz w:val="32"/>
          <w:szCs w:val="32"/>
          <w:lang w:val="en-US" w:eastAsia="zh-CN"/>
        </w:rPr>
        <w:t>出口海外仓（</w:t>
      </w:r>
      <w:r>
        <w:rPr>
          <w:rFonts w:hint="default" w:ascii="Times New Roman" w:hAnsi="Times New Roman" w:eastAsia="仿宋_GB2312" w:cs="Times New Roman"/>
          <w:sz w:val="32"/>
          <w:szCs w:val="32"/>
          <w:lang w:val="en-US" w:eastAsia="zh-CN"/>
        </w:rPr>
        <w:t>9810</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海关备案流程，实现“属地备案、全国通用”。</w:t>
      </w:r>
      <w:r>
        <w:rPr>
          <w:rFonts w:hint="eastAsia" w:ascii="仿宋_GB2312" w:hAnsi="仿宋_GB2312" w:eastAsia="仿宋_GB2312" w:cs="仿宋_GB2312"/>
          <w:sz w:val="32"/>
          <w:szCs w:val="32"/>
          <w:lang w:eastAsia="zh-CN"/>
        </w:rPr>
        <w:t>根据企业实际业务需求推动跨境电商零售出口跨关区退货试点。推进跨境电商出口拼箱货物“先查验后装运”模式试点。根据跨境电商企业信用等级实施差异化通关管理措施。依申请对跨境电商企业对企业出口货物优先安排查验。鼓励</w:t>
      </w:r>
      <w:r>
        <w:rPr>
          <w:rFonts w:hint="eastAsia" w:ascii="仿宋_GB2312" w:hAnsi="仿宋_GB2312" w:eastAsia="仿宋_GB2312" w:cs="仿宋_GB2312"/>
          <w:sz w:val="32"/>
          <w:szCs w:val="32"/>
          <w:lang w:val="en-US" w:eastAsia="zh-CN"/>
        </w:rPr>
        <w:t>开行“跨境电商+”中欧班列、空运专线，支持</w:t>
      </w:r>
      <w:r>
        <w:rPr>
          <w:rFonts w:hint="default" w:ascii="Times New Roman" w:hAnsi="Times New Roman" w:eastAsia="仿宋_GB2312" w:cs="Times New Roman"/>
          <w:sz w:val="32"/>
          <w:szCs w:val="32"/>
          <w:lang w:val="en" w:eastAsia="zh-CN"/>
        </w:rPr>
        <w:t>Shein、</w:t>
      </w:r>
      <w:r>
        <w:rPr>
          <w:rFonts w:hint="default" w:ascii="Times New Roman" w:hAnsi="Times New Roman" w:eastAsia="仿宋_GB2312" w:cs="Times New Roman"/>
          <w:sz w:val="32"/>
          <w:szCs w:val="32"/>
          <w:lang w:val="en-US" w:eastAsia="zh-CN"/>
        </w:rPr>
        <w:t>Temu</w:t>
      </w:r>
      <w:r>
        <w:rPr>
          <w:rFonts w:hint="eastAsia" w:ascii="Times New Roman" w:hAnsi="Times New Roman" w:eastAsia="仿宋_GB2312" w:cs="Times New Roman"/>
          <w:sz w:val="32"/>
          <w:szCs w:val="32"/>
          <w:lang w:val="en-US" w:eastAsia="zh-CN"/>
        </w:rPr>
        <w:t>等三方平台川内组货发运。</w:t>
      </w:r>
      <w:r>
        <w:rPr>
          <w:rFonts w:hint="eastAsia" w:ascii="仿宋_GB2312" w:hAnsi="仿宋_GB2312" w:eastAsia="仿宋_GB2312" w:cs="仿宋_GB2312"/>
          <w:sz w:val="32"/>
          <w:szCs w:val="32"/>
          <w:lang w:eastAsia="zh-CN"/>
        </w:rPr>
        <w:t>（责任单位：成都海关、省政府口岸物流办、</w:t>
      </w:r>
      <w:r>
        <w:rPr>
          <w:rFonts w:hint="eastAsia" w:ascii="仿宋_GB2312" w:hAnsi="仿宋_GB2312" w:eastAsia="仿宋_GB2312" w:cs="仿宋_GB2312"/>
          <w:sz w:val="32"/>
          <w:szCs w:val="32"/>
          <w:lang w:val="en-US" w:eastAsia="zh-CN"/>
        </w:rPr>
        <w:t>中国铁路成都局集团</w:t>
      </w:r>
      <w:r>
        <w:rPr>
          <w:rFonts w:hint="eastAsia" w:ascii="仿宋_GB2312" w:hAnsi="仿宋_GB2312" w:eastAsia="仿宋_GB2312" w:cs="仿宋_GB2312"/>
          <w:sz w:val="32"/>
          <w:szCs w:val="32"/>
          <w:lang w:eastAsia="zh-CN"/>
        </w:rPr>
        <w:t>、省机场集团）</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sz w:val="32"/>
          <w:szCs w:val="32"/>
          <w:lang w:val="en-US" w:eastAsia="zh-CN"/>
        </w:rPr>
        <w:t>18.创新外汇管理服务。</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在风险可控前提下</w:t>
      </w:r>
      <w:r>
        <w:rPr>
          <w:rFonts w:hint="eastAsia" w:ascii="仿宋_GB2312" w:hAnsi="仿宋_GB2312" w:eastAsia="仿宋_GB2312" w:cs="仿宋_GB2312"/>
          <w:sz w:val="32"/>
          <w:szCs w:val="32"/>
        </w:rPr>
        <w:t>，凭电子交易信息为跨境电商企业提供结售汇服务。对涉及跨境电商出口业务链条的有效关联主体，支持以出口货物在境外发生的仓储、物流、税收等费用与出口货款轧差结算。</w:t>
      </w:r>
      <w:r>
        <w:rPr>
          <w:rFonts w:hint="eastAsia" w:ascii="仿宋_GB2312" w:hAnsi="仿宋_GB2312" w:eastAsia="仿宋_GB2312" w:cs="仿宋_GB2312"/>
          <w:sz w:val="32"/>
          <w:szCs w:val="32"/>
          <w:lang w:eastAsia="zh-CN"/>
        </w:rPr>
        <w:t>允许</w:t>
      </w:r>
      <w:r>
        <w:rPr>
          <w:rFonts w:hint="eastAsia" w:ascii="仿宋_GB2312" w:hAnsi="仿宋_GB2312" w:eastAsia="仿宋_GB2312" w:cs="仿宋_GB2312"/>
          <w:sz w:val="32"/>
          <w:szCs w:val="32"/>
        </w:rPr>
        <w:t>跨境电商海外仓货物汇回的实际销售收入与</w:t>
      </w:r>
      <w:r>
        <w:rPr>
          <w:rFonts w:hint="eastAsia" w:ascii="仿宋_GB2312" w:hAnsi="仿宋_GB2312" w:eastAsia="仿宋_GB2312" w:cs="仿宋_GB2312"/>
          <w:sz w:val="32"/>
          <w:szCs w:val="32"/>
          <w:lang w:eastAsia="zh-CN"/>
        </w:rPr>
        <w:t>该批</w:t>
      </w:r>
      <w:r>
        <w:rPr>
          <w:rFonts w:hint="eastAsia" w:ascii="仿宋_GB2312" w:hAnsi="仿宋_GB2312" w:eastAsia="仿宋_GB2312" w:cs="仿宋_GB2312"/>
          <w:sz w:val="32"/>
          <w:szCs w:val="32"/>
        </w:rPr>
        <w:t>货物出口报关金额不一致。</w:t>
      </w:r>
      <w:r>
        <w:rPr>
          <w:rFonts w:hint="eastAsia" w:ascii="仿宋_GB2312" w:hAnsi="仿宋_GB2312" w:eastAsia="仿宋_GB2312" w:cs="仿宋_GB2312"/>
          <w:sz w:val="32"/>
          <w:szCs w:val="32"/>
          <w:lang w:eastAsia="zh-CN"/>
        </w:rPr>
        <w:t>（责任单位：省外汇管理局）</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z w:val="32"/>
          <w:szCs w:val="32"/>
          <w:lang w:val="en-US" w:eastAsia="zh-CN"/>
        </w:rPr>
        <w:t>19.强化金融保险服务。</w:t>
      </w:r>
      <w:r>
        <w:rPr>
          <w:rFonts w:hint="eastAsia" w:ascii="仿宋_GB2312" w:hAnsi="仿宋_GB2312" w:eastAsia="仿宋_GB2312" w:cs="仿宋_GB2312"/>
          <w:sz w:val="32"/>
          <w:szCs w:val="32"/>
          <w:lang w:val="en-US" w:eastAsia="zh-CN"/>
        </w:rPr>
        <w:t>支持金融机构加大对小微市场主体的信贷投放。引导银行针对跨境电商业务加大跨境人民币、汇率避险产品和服务创新，鼓励运用物流、资金流等信息开发创新型信贷产品。</w:t>
      </w:r>
      <w:r>
        <w:rPr>
          <w:rFonts w:hint="eastAsia" w:ascii="仿宋_GB2312" w:hAnsi="仿宋_GB2312" w:eastAsia="仿宋_GB2312" w:cs="仿宋_GB2312"/>
          <w:sz w:val="32"/>
          <w:szCs w:val="32"/>
          <w:lang w:eastAsia="zh-CN"/>
        </w:rPr>
        <w:t>支持有条件的市（州）引导社会资本成立跨境电商产业基金，扩大跨境电商业务直接融资规模。</w:t>
      </w:r>
      <w:r>
        <w:rPr>
          <w:rFonts w:hint="eastAsia" w:ascii="仿宋_GB2312" w:hAnsi="仿宋_GB2312" w:eastAsia="仿宋_GB2312" w:cs="仿宋_GB2312"/>
          <w:sz w:val="32"/>
          <w:szCs w:val="32"/>
          <w:lang w:val="en-US" w:eastAsia="zh-CN"/>
        </w:rPr>
        <w:t>支持探索跨境电商出口信保模式，借鉴跨境电商政治风险保险、平台支付保险和海外仓销售保险等模式经验，扩大政策性出口信用保险对跨境电商的覆盖面。</w:t>
      </w:r>
      <w:r>
        <w:rPr>
          <w:rFonts w:hint="eastAsia" w:ascii="仿宋_GB2312" w:hAnsi="仿宋_GB2312" w:eastAsia="仿宋_GB2312" w:cs="仿宋_GB2312"/>
          <w:sz w:val="32"/>
          <w:szCs w:val="32"/>
          <w:lang w:eastAsia="zh-CN"/>
        </w:rPr>
        <w:t>（责任单位：中国人民银行四川省分行、中信保四川分公司）</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建立健全交流合作机制。</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sz w:val="32"/>
          <w:szCs w:val="32"/>
          <w:lang w:val="en-US" w:eastAsia="zh-CN"/>
        </w:rPr>
        <w:t>20.发挥协会桥梁纽带作用。</w:t>
      </w:r>
      <w:r>
        <w:rPr>
          <w:rFonts w:hint="eastAsia" w:ascii="仿宋_GB2312" w:hAnsi="仿宋_GB2312" w:eastAsia="仿宋_GB2312" w:cs="仿宋_GB2312"/>
          <w:sz w:val="32"/>
          <w:szCs w:val="32"/>
          <w:lang w:eastAsia="zh-CN"/>
        </w:rPr>
        <w:t>鼓励市（州）加强跨境电商行业组织建设，</w:t>
      </w:r>
      <w:r>
        <w:rPr>
          <w:rFonts w:hint="eastAsia" w:ascii="仿宋_GB2312" w:hAnsi="仿宋_GB2312" w:eastAsia="仿宋_GB2312" w:cs="仿宋_GB2312"/>
          <w:sz w:val="32"/>
          <w:szCs w:val="32"/>
          <w:lang w:val="en-US" w:eastAsia="zh-CN"/>
        </w:rPr>
        <w:t>支持行业协会开展境外平台规则和出口目的国政策法规培训，提供清关规则、税务法规和海外维权等专业咨询。支持协会联合有关方</w:t>
      </w:r>
      <w:r>
        <w:rPr>
          <w:rFonts w:hint="eastAsia" w:ascii="仿宋_GB2312" w:hAnsi="仿宋_GB2312" w:eastAsia="仿宋_GB2312" w:cs="仿宋_GB2312"/>
          <w:sz w:val="32"/>
          <w:szCs w:val="32"/>
        </w:rPr>
        <w:t>建设跨境电商专业智库</w:t>
      </w:r>
      <w:r>
        <w:rPr>
          <w:rFonts w:hint="eastAsia" w:ascii="仿宋_GB2312" w:hAnsi="仿宋_GB2312" w:eastAsia="仿宋_GB2312" w:cs="仿宋_GB2312"/>
          <w:sz w:val="32"/>
          <w:szCs w:val="32"/>
          <w:lang w:eastAsia="zh-CN"/>
        </w:rPr>
        <w:t>，参与国际规则探索和标准建设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lang w:val="en-US" w:eastAsia="zh-CN"/>
        </w:rPr>
        <w:t>持川渝两地跨境电商协会深化交流合作，促进行业协同发展。</w:t>
      </w:r>
      <w:r>
        <w:rPr>
          <w:rFonts w:hint="eastAsia" w:ascii="仿宋_GB2312" w:hAnsi="仿宋_GB2312" w:eastAsia="仿宋_GB2312" w:cs="仿宋_GB2312"/>
          <w:sz w:val="32"/>
          <w:szCs w:val="32"/>
          <w:lang w:eastAsia="zh-CN"/>
        </w:rPr>
        <w:t>（责任单位：民政厅、商务厅、省市场监管局）</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sz w:val="32"/>
          <w:szCs w:val="32"/>
          <w:lang w:val="en-US" w:eastAsia="zh-CN"/>
        </w:rPr>
        <w:t>21.</w:t>
      </w:r>
      <w:r>
        <w:rPr>
          <w:rFonts w:hint="eastAsia" w:ascii="仿宋_GB2312" w:hAnsi="仿宋_GB2312" w:eastAsia="仿宋_GB2312" w:cs="仿宋_GB2312"/>
          <w:b/>
          <w:sz w:val="32"/>
          <w:szCs w:val="32"/>
          <w:lang w:eastAsia="zh-CN"/>
        </w:rPr>
        <w:t>构建人才孵化培养体系</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依托四川外贸创新发展职教集团打造</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个产教融合的跨境电商人才基地，</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年培训</w:t>
      </w:r>
      <w:r>
        <w:rPr>
          <w:rFonts w:hint="eastAsia" w:ascii="仿宋_GB2312" w:hAnsi="仿宋_GB2312" w:eastAsia="仿宋_GB2312" w:cs="仿宋_GB2312"/>
          <w:sz w:val="32"/>
          <w:szCs w:val="32"/>
          <w:lang w:eastAsia="zh-CN"/>
        </w:rPr>
        <w:t>规模不少于</w:t>
      </w:r>
      <w:r>
        <w:rPr>
          <w:rFonts w:hint="default" w:ascii="Times New Roman" w:hAnsi="Times New Roman" w:eastAsia="仿宋_GB2312" w:cs="Times New Roman"/>
          <w:sz w:val="32"/>
          <w:szCs w:val="32"/>
        </w:rPr>
        <w:t>2000</w:t>
      </w:r>
      <w:r>
        <w:rPr>
          <w:rFonts w:hint="eastAsia" w:ascii="仿宋_GB2312" w:hAnsi="仿宋_GB2312" w:eastAsia="仿宋_GB2312" w:cs="仿宋_GB2312"/>
          <w:sz w:val="32"/>
          <w:szCs w:val="32"/>
        </w:rPr>
        <w:t>人次。鼓励高校与地方跨境电商产业园合作，成立</w:t>
      </w:r>
      <w:r>
        <w:rPr>
          <w:rFonts w:hint="default" w:ascii="Times New Roman" w:hAnsi="Times New Roman" w:eastAsia="仿宋_GB2312" w:cs="Times New Roman"/>
          <w:sz w:val="32"/>
          <w:szCs w:val="32"/>
        </w:rPr>
        <w:t>3—5</w:t>
      </w:r>
      <w:r>
        <w:rPr>
          <w:rFonts w:hint="eastAsia" w:ascii="仿宋_GB2312" w:hAnsi="仿宋_GB2312" w:eastAsia="仿宋_GB2312" w:cs="仿宋_GB2312"/>
          <w:sz w:val="32"/>
          <w:szCs w:val="32"/>
        </w:rPr>
        <w:t>个跨境电商产业学院，引企入校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项目进校，构建多方联动的跨境电商人才培养体系。鼓励省内高职院校开展包括小语种在内的国际化人才培育合作。</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举办省级跨境电商技能大赛，培养跨境电商应用型人才。</w:t>
      </w:r>
      <w:r>
        <w:rPr>
          <w:rFonts w:hint="eastAsia" w:ascii="仿宋_GB2312" w:hAnsi="仿宋_GB2312" w:eastAsia="仿宋_GB2312" w:cs="仿宋_GB2312"/>
          <w:sz w:val="32"/>
          <w:szCs w:val="32"/>
          <w:lang w:eastAsia="zh-CN"/>
        </w:rPr>
        <w:t>（责任单位：商务厅、教育厅）</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三、组织保障</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eastAsia="zh-CN"/>
        </w:rPr>
        <w:t>省、市（州）、县（区）要强化跨部门协同，多层级推进，确保行动方案高标准落实。</w:t>
      </w:r>
      <w:r>
        <w:rPr>
          <w:rFonts w:hint="eastAsia" w:ascii="仿宋_GB2312" w:hAnsi="仿宋_GB2312" w:eastAsia="仿宋_GB2312" w:cs="仿宋_GB2312"/>
          <w:sz w:val="32"/>
          <w:szCs w:val="32"/>
          <w:lang w:val="en-US" w:eastAsia="zh-CN"/>
        </w:rPr>
        <w:t>有关市（州）要落实跨境电商综试区建设工作领导小组工作机制，统筹综试区建设和跨境电商产业发展。</w:t>
      </w:r>
      <w:r>
        <w:rPr>
          <w:rFonts w:hint="eastAsia" w:ascii="仿宋_GB2312" w:hAnsi="仿宋_GB2312" w:eastAsia="仿宋_GB2312" w:cs="仿宋_GB2312"/>
          <w:sz w:val="32"/>
          <w:szCs w:val="32"/>
          <w:lang w:eastAsia="zh-CN"/>
        </w:rPr>
        <w:t>市（州）压实主体责任，细化任务举措，持续推进制度创新、模式创新，营造有利于跨境电商高质量发展的政策环境和良好生态。</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（二）做好政策支撑。</w:t>
      </w:r>
      <w:r>
        <w:rPr>
          <w:rFonts w:hint="eastAsia" w:ascii="仿宋_GB2312" w:hAnsi="仿宋_GB2312" w:eastAsia="仿宋_GB2312" w:cs="仿宋_GB2312"/>
          <w:sz w:val="32"/>
          <w:szCs w:val="32"/>
          <w:lang w:eastAsia="zh-CN"/>
        </w:rPr>
        <w:t>各市（州）要因地制宜支持跨境电商高质量发展，</w:t>
      </w:r>
      <w:r>
        <w:rPr>
          <w:rFonts w:hint="eastAsia" w:ascii="仿宋_GB2312" w:hAnsi="仿宋_GB2312" w:eastAsia="仿宋_GB2312" w:cs="仿宋_GB2312"/>
          <w:sz w:val="32"/>
          <w:szCs w:val="32"/>
          <w:lang w:val="en-US" w:eastAsia="zh-CN"/>
        </w:rPr>
        <w:t>制定专项资金政策时应将跨境电商纳入拟支持范围，</w:t>
      </w:r>
      <w:r>
        <w:rPr>
          <w:rFonts w:hint="eastAsia" w:ascii="仿宋_GB2312" w:hAnsi="仿宋_GB2312" w:eastAsia="仿宋_GB2312" w:cs="仿宋_GB2312"/>
          <w:sz w:val="32"/>
          <w:szCs w:val="32"/>
          <w:lang w:eastAsia="zh-CN"/>
        </w:rPr>
        <w:t>合规高效用好有关资金。</w:t>
      </w:r>
      <w:r>
        <w:rPr>
          <w:rFonts w:hint="eastAsia" w:ascii="仿宋_GB2312" w:hAnsi="仿宋_GB2312" w:eastAsia="仿宋_GB2312" w:cs="仿宋_GB2312"/>
          <w:sz w:val="32"/>
          <w:szCs w:val="32"/>
          <w:lang w:val="en-US" w:eastAsia="zh-CN"/>
        </w:rPr>
        <w:t>强化政策引导，加强跨境电商重点平台、重点企业的招引和小微主体的培育，重视专业人才培养，加快构建完善跨境电商生态圈。</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（三）强化规范运行。</w:t>
      </w:r>
      <w:r>
        <w:rPr>
          <w:rFonts w:hint="eastAsia" w:ascii="仿宋_GB2312" w:hAnsi="仿宋_GB2312" w:eastAsia="仿宋_GB2312" w:cs="仿宋_GB2312"/>
          <w:sz w:val="32"/>
          <w:szCs w:val="32"/>
          <w:lang w:eastAsia="zh-CN"/>
        </w:rPr>
        <w:t>完善跨境电商公服平台功能，推动跨部门数据交换共享。进一步规范跨境电商业务统计口径，加强数据分析研究，反映业态真实发展现状。及时</w:t>
      </w:r>
      <w:r>
        <w:rPr>
          <w:rFonts w:hint="eastAsia" w:ascii="仿宋_GB2312" w:hAnsi="仿宋_GB2312" w:eastAsia="仿宋_GB2312" w:cs="仿宋_GB2312"/>
          <w:sz w:val="32"/>
          <w:szCs w:val="32"/>
          <w:lang w:val="en-US" w:eastAsia="zh-CN"/>
        </w:rPr>
        <w:t>总结推广各地跨境电商好经验好做法，多渠道宣传发展成效。</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eastAsia="zh-CN"/>
        </w:rPr>
      </w:pPr>
    </w:p>
    <w:p>
      <w:pPr>
        <w:pStyle w:val="16"/>
        <w:keepNext w:val="0"/>
        <w:keepLines w:val="0"/>
        <w:pageBreakBefore w:val="0"/>
        <w:widowControl w:val="0"/>
        <w:numPr>
          <w:ilvl w:val="0"/>
          <w:numId w:val="0"/>
        </w:numPr>
        <w:suppressAutoHyphens/>
        <w:kinsoku/>
        <w:wordWrap/>
        <w:overflowPunct/>
        <w:topLinePunct w:val="0"/>
        <w:autoSpaceDE/>
        <w:autoSpaceDN/>
        <w:bidi w:val="0"/>
        <w:spacing w:before="0" w:beforeLines="0" w:after="0" w:afterLines="0" w:line="560" w:lineRule="exact"/>
        <w:ind w:firstLine="640" w:firstLineChars="200"/>
        <w:jc w:val="both"/>
        <w:textAlignment w:val="auto"/>
        <w:outlineLvl w:val="9"/>
        <w:rPr>
          <w:rFonts w:hint="default" w:ascii="Times New Roman" w:hAnsi="Times New Roman" w:eastAsia="仿宋_GB2312" w:cs="Times New Roman"/>
          <w:b w:val="0"/>
          <w:bCs/>
          <w:sz w:val="32"/>
          <w:szCs w:val="32"/>
          <w:lang w:val="en-US" w:eastAsia="zh-CN"/>
        </w:rPr>
      </w:pPr>
    </w:p>
    <w:sectPr>
      <w:footerReference r:id="rId7" w:type="first"/>
      <w:headerReference r:id="rId5" w:type="default"/>
      <w:footerReference r:id="rId6" w:type="default"/>
      <w:pgSz w:w="11906" w:h="16838"/>
      <w:pgMar w:top="1474" w:right="1474" w:bottom="1814" w:left="1587" w:header="720" w:footer="1134" w:gutter="0"/>
      <w:pgBorders>
        <w:top w:val="none" w:sz="0" w:space="0"/>
        <w:left w:val="none" w:sz="0" w:space="0"/>
        <w:bottom w:val="none" w:sz="0" w:space="0"/>
        <w:right w:val="none" w:sz="0" w:space="0"/>
      </w:pgBorders>
      <w:pgNumType w:fmt="decimal"/>
      <w:cols w:space="720" w:num="1"/>
      <w:titlePg/>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2"/>
      </w:pPr>
      <w:r>
        <w:separator/>
      </w:r>
    </w:p>
  </w:endnote>
  <w:endnote w:type="continuationSeparator" w:id="1">
    <w:p>
      <w:pPr>
        <w:spacing w:line="240" w:lineRule="auto"/>
        <w:ind w:firstLine="64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auto"/>
    <w:pitch w:val="default"/>
    <w:sig w:usb0="00000001" w:usb1="080E0000" w:usb2="00000000" w:usb3="00000000" w:csb0="00040000" w:csb1="00000000"/>
  </w:font>
  <w:font w:name="Liberation Sans">
    <w:altName w:val="DejaVu Sans"/>
    <w:panose1 w:val="020B0604020202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bidi w:val="0"/>
      <w:adjustRightInd/>
      <w:snapToGrid w:val="0"/>
      <w:ind w:firstLine="0" w:firstLine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bidi w:val="0"/>
                            <w:adjustRightInd/>
                            <w:snapToGrid w:val="0"/>
                            <w:ind w:firstLine="0" w:firstLineChars="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bidi w:val="0"/>
                      <w:adjustRightInd/>
                      <w:snapToGrid w:val="0"/>
                      <w:ind w:firstLine="0" w:firstLineChars="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bidi w:val="0"/>
      <w:adjustRightInd/>
      <w:snapToGrid w:val="0"/>
      <w:ind w:firstLine="0" w:firstLineChars="0"/>
      <w:textAlignment w:val="auto"/>
      <w:rPr>
        <w:rFonts w:hint="eastAsia" w:eastAsia="仿宋"/>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bidi w:val="0"/>
                            <w:adjustRightInd/>
                            <w:snapToGrid w:val="0"/>
                            <w:ind w:firstLine="0" w:firstLineChars="0"/>
                            <w:textAlignment w:val="auto"/>
                          </w:pPr>
                          <w:r>
                            <w:rPr>
                              <w:rFonts w:hint="eastAsia"/>
                              <w:lang w:eastAsia="zh-CN"/>
                            </w:rPr>
                            <w:tab/>
                          </w: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bidi w:val="0"/>
                      <w:adjustRightInd/>
                      <w:snapToGrid w:val="0"/>
                      <w:ind w:firstLine="0" w:firstLineChars="0"/>
                      <w:textAlignment w:val="auto"/>
                    </w:pPr>
                    <w:r>
                      <w:rPr>
                        <w:rFonts w:hint="eastAsia"/>
                        <w:lang w:eastAsia="zh-CN"/>
                      </w:rPr>
                      <w:tab/>
                    </w: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2"/>
      </w:pPr>
      <w:r>
        <w:separator/>
      </w:r>
    </w:p>
  </w:footnote>
  <w:footnote w:type="continuationSeparator" w:id="1">
    <w:p>
      <w:pPr>
        <w:spacing w:line="240" w:lineRule="auto"/>
        <w:ind w:firstLine="64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21"/>
  <w:drawingGridVerticalSpacing w:val="218"/>
  <w:displayHorizontalDrawingGridEvery w:val="1"/>
  <w:displayVerticalDrawingGridEvery w:val="1"/>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yNTZjMjU4ZmQ5NTAzODA5MjA1MzcxNTM3YzUxY2EifQ=="/>
  </w:docVars>
  <w:rsids>
    <w:rsidRoot w:val="00912EF7"/>
    <w:rsid w:val="00210F85"/>
    <w:rsid w:val="002B4A03"/>
    <w:rsid w:val="003046F8"/>
    <w:rsid w:val="00325CD9"/>
    <w:rsid w:val="003B0102"/>
    <w:rsid w:val="0043082C"/>
    <w:rsid w:val="0043626C"/>
    <w:rsid w:val="00471C30"/>
    <w:rsid w:val="004B2E65"/>
    <w:rsid w:val="004F16DA"/>
    <w:rsid w:val="005453B5"/>
    <w:rsid w:val="00636A38"/>
    <w:rsid w:val="00696C10"/>
    <w:rsid w:val="006A23B4"/>
    <w:rsid w:val="0072539D"/>
    <w:rsid w:val="00766D62"/>
    <w:rsid w:val="007B4C70"/>
    <w:rsid w:val="008037EC"/>
    <w:rsid w:val="00912EF7"/>
    <w:rsid w:val="00922C88"/>
    <w:rsid w:val="009B1388"/>
    <w:rsid w:val="009D0E4C"/>
    <w:rsid w:val="009D38C4"/>
    <w:rsid w:val="00A66A73"/>
    <w:rsid w:val="00BC7C0F"/>
    <w:rsid w:val="00C516D0"/>
    <w:rsid w:val="00D648B2"/>
    <w:rsid w:val="00D85A7F"/>
    <w:rsid w:val="00E17775"/>
    <w:rsid w:val="00F53896"/>
    <w:rsid w:val="00F562BD"/>
    <w:rsid w:val="026D7479"/>
    <w:rsid w:val="0F2E43B7"/>
    <w:rsid w:val="16EEB76F"/>
    <w:rsid w:val="1E7F779D"/>
    <w:rsid w:val="22506FAD"/>
    <w:rsid w:val="239B620F"/>
    <w:rsid w:val="296E4809"/>
    <w:rsid w:val="2F066F43"/>
    <w:rsid w:val="2FCC753F"/>
    <w:rsid w:val="37BF0A2F"/>
    <w:rsid w:val="39E6CF6D"/>
    <w:rsid w:val="3A5D0114"/>
    <w:rsid w:val="3B3FAAD9"/>
    <w:rsid w:val="3BBE428F"/>
    <w:rsid w:val="3F2B1C1B"/>
    <w:rsid w:val="3F5F18BD"/>
    <w:rsid w:val="3FDE6701"/>
    <w:rsid w:val="3FDEC47E"/>
    <w:rsid w:val="3FF57A51"/>
    <w:rsid w:val="4B7B6F4C"/>
    <w:rsid w:val="4EBA15E7"/>
    <w:rsid w:val="51572DB0"/>
    <w:rsid w:val="57BF657C"/>
    <w:rsid w:val="5F9DA17D"/>
    <w:rsid w:val="5FA965B4"/>
    <w:rsid w:val="5FB6AB50"/>
    <w:rsid w:val="5FFE1E71"/>
    <w:rsid w:val="5FFEE7F2"/>
    <w:rsid w:val="61311A48"/>
    <w:rsid w:val="69DFA1C9"/>
    <w:rsid w:val="6BEFC818"/>
    <w:rsid w:val="6D1F9C49"/>
    <w:rsid w:val="6E72E221"/>
    <w:rsid w:val="6F558407"/>
    <w:rsid w:val="6FB946C8"/>
    <w:rsid w:val="6FFF5530"/>
    <w:rsid w:val="711C7DD3"/>
    <w:rsid w:val="73D6450A"/>
    <w:rsid w:val="73D7C1F6"/>
    <w:rsid w:val="73F79E4E"/>
    <w:rsid w:val="73FFE931"/>
    <w:rsid w:val="75270B95"/>
    <w:rsid w:val="79535B70"/>
    <w:rsid w:val="79FF9A1D"/>
    <w:rsid w:val="7ABB3322"/>
    <w:rsid w:val="7BFF4FA9"/>
    <w:rsid w:val="7CB67A33"/>
    <w:rsid w:val="7DB67586"/>
    <w:rsid w:val="7DF5A41A"/>
    <w:rsid w:val="7EF61278"/>
    <w:rsid w:val="7F6F4542"/>
    <w:rsid w:val="7F7B6444"/>
    <w:rsid w:val="7FCE447E"/>
    <w:rsid w:val="7FD306E7"/>
    <w:rsid w:val="7FDD5F8B"/>
    <w:rsid w:val="7FEEDCF8"/>
    <w:rsid w:val="7FEFA806"/>
    <w:rsid w:val="7FF6BD54"/>
    <w:rsid w:val="7FF7AC86"/>
    <w:rsid w:val="7FFF13F7"/>
    <w:rsid w:val="9F57EF07"/>
    <w:rsid w:val="9FFE6C69"/>
    <w:rsid w:val="A73ED9F5"/>
    <w:rsid w:val="BB6F9754"/>
    <w:rsid w:val="BD7F3BFA"/>
    <w:rsid w:val="BE5CF039"/>
    <w:rsid w:val="BECE580A"/>
    <w:rsid w:val="BFBE7478"/>
    <w:rsid w:val="BFD7A286"/>
    <w:rsid w:val="BFFE1131"/>
    <w:rsid w:val="C6FFE67A"/>
    <w:rsid w:val="D77E1C08"/>
    <w:rsid w:val="DCFFD5EF"/>
    <w:rsid w:val="DEFEC955"/>
    <w:rsid w:val="DEFF386C"/>
    <w:rsid w:val="E57E26BA"/>
    <w:rsid w:val="E7FD745B"/>
    <w:rsid w:val="EF76AE70"/>
    <w:rsid w:val="EFA422CF"/>
    <w:rsid w:val="EFA57B86"/>
    <w:rsid w:val="EFFFE0DD"/>
    <w:rsid w:val="F59A383C"/>
    <w:rsid w:val="F6FB65F7"/>
    <w:rsid w:val="F7CF074A"/>
    <w:rsid w:val="F9DE9B40"/>
    <w:rsid w:val="F9F7A277"/>
    <w:rsid w:val="FBC1E77A"/>
    <w:rsid w:val="FDAFB3D3"/>
    <w:rsid w:val="FDD7CE5E"/>
    <w:rsid w:val="FEF6FD00"/>
    <w:rsid w:val="FEFBA050"/>
    <w:rsid w:val="FF07B5B5"/>
    <w:rsid w:val="FF5B4BF1"/>
    <w:rsid w:val="FF7FBD37"/>
    <w:rsid w:val="FFB5FE68"/>
    <w:rsid w:val="FFEBC629"/>
    <w:rsid w:val="FFF47B2D"/>
    <w:rsid w:val="FFF70FA3"/>
    <w:rsid w:val="FFFF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560" w:lineRule="exact"/>
      <w:ind w:firstLine="200" w:firstLineChars="200"/>
      <w:jc w:val="both"/>
    </w:pPr>
    <w:rPr>
      <w:rFonts w:ascii="仿宋" w:hAnsi="仿宋" w:eastAsia="仿宋" w:cs="Times New Roman"/>
      <w:b/>
      <w:kern w:val="2"/>
      <w:sz w:val="32"/>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kern w:val="44"/>
      <w:sz w:val="39"/>
      <w:szCs w:val="39"/>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680"/>
    </w:pPr>
  </w:style>
  <w:style w:type="paragraph" w:styleId="4">
    <w:name w:val="caption"/>
    <w:basedOn w:val="1"/>
    <w:next w:val="1"/>
    <w:qFormat/>
    <w:uiPriority w:val="0"/>
    <w:pPr>
      <w:suppressLineNumbers/>
      <w:spacing w:before="120" w:after="120"/>
    </w:pPr>
    <w:rPr>
      <w:i/>
      <w:iCs/>
      <w:sz w:val="24"/>
    </w:rPr>
  </w:style>
  <w:style w:type="paragraph" w:styleId="5">
    <w:name w:val="Salutation"/>
    <w:basedOn w:val="1"/>
    <w:next w:val="1"/>
    <w:qFormat/>
    <w:uiPriority w:val="0"/>
    <w:rPr>
      <w:rFonts w:ascii="Times New Roman" w:hAnsi="Times New Roman"/>
    </w:rPr>
  </w:style>
  <w:style w:type="paragraph" w:styleId="6">
    <w:name w:val="Body Text"/>
    <w:basedOn w:val="1"/>
    <w:qFormat/>
    <w:uiPriority w:val="0"/>
    <w:pPr>
      <w:spacing w:after="140" w:line="276" w:lineRule="auto"/>
    </w:pPr>
  </w:style>
  <w:style w:type="paragraph" w:styleId="7">
    <w:name w:val="Body Text Indent"/>
    <w:basedOn w:val="1"/>
    <w:next w:val="1"/>
    <w:qFormat/>
    <w:uiPriority w:val="0"/>
    <w:pPr>
      <w:tabs>
        <w:tab w:val="left" w:pos="2250"/>
      </w:tabs>
      <w:spacing w:before="100" w:beforeAutospacing="1" w:line="180" w:lineRule="exact"/>
      <w:ind w:firstLine="629"/>
    </w:pPr>
    <w:rPr>
      <w:rFonts w:ascii="Calibri" w:hAnsi="Calibri" w:eastAsia="宋体"/>
      <w:color w:val="FF0000"/>
    </w:rPr>
  </w:style>
  <w:style w:type="paragraph" w:styleId="8">
    <w:name w:val="Date"/>
    <w:basedOn w:val="1"/>
    <w:next w:val="1"/>
    <w:link w:val="32"/>
    <w:qFormat/>
    <w:uiPriority w:val="0"/>
    <w:pPr>
      <w:ind w:left="100" w:leftChars="2500"/>
    </w:pPr>
  </w:style>
  <w:style w:type="paragraph" w:styleId="9">
    <w:name w:val="Body Text Indent 2"/>
    <w:basedOn w:val="1"/>
    <w:next w:val="1"/>
    <w:qFormat/>
    <w:uiPriority w:val="0"/>
    <w:pPr>
      <w:tabs>
        <w:tab w:val="left" w:pos="2250"/>
      </w:tabs>
      <w:spacing w:before="100" w:beforeAutospacing="1" w:line="400" w:lineRule="exact"/>
      <w:ind w:firstLine="629"/>
    </w:pPr>
  </w:style>
  <w:style w:type="paragraph" w:styleId="10">
    <w:name w:val="footer"/>
    <w:basedOn w:val="1"/>
    <w:link w:val="33"/>
    <w:qFormat/>
    <w:uiPriority w:val="99"/>
    <w:pPr>
      <w:tabs>
        <w:tab w:val="center" w:pos="4153"/>
        <w:tab w:val="right" w:pos="8306"/>
      </w:tabs>
      <w:snapToGrid w:val="0"/>
      <w:jc w:val="left"/>
    </w:pPr>
    <w:rPr>
      <w:sz w:val="18"/>
    </w:rPr>
  </w:style>
  <w:style w:type="paragraph" w:styleId="11">
    <w:name w:val="header"/>
    <w:basedOn w:val="1"/>
    <w:link w:val="3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List"/>
    <w:basedOn w:val="6"/>
    <w:qFormat/>
    <w:uiPriority w:val="0"/>
  </w:style>
  <w:style w:type="paragraph" w:styleId="13">
    <w:name w:val="footnote text"/>
    <w:basedOn w:val="1"/>
    <w:qFormat/>
    <w:uiPriority w:val="0"/>
    <w:pPr>
      <w:snapToGrid w:val="0"/>
      <w:jc w:val="left"/>
    </w:pPr>
    <w:rPr>
      <w:sz w:val="18"/>
    </w:rPr>
  </w:style>
  <w:style w:type="paragraph" w:styleId="14">
    <w:name w:val="index 7"/>
    <w:basedOn w:val="1"/>
    <w:next w:val="1"/>
    <w:qFormat/>
    <w:uiPriority w:val="0"/>
    <w:pPr>
      <w:ind w:left="252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spacing w:before="240" w:after="60"/>
      <w:jc w:val="center"/>
      <w:outlineLvl w:val="0"/>
    </w:pPr>
    <w:rPr>
      <w:rFonts w:ascii="Cambria" w:hAnsi="Cambria" w:eastAsia="宋体"/>
      <w:bCs/>
      <w:kern w:val="0"/>
      <w:szCs w:val="32"/>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otnote reference"/>
    <w:basedOn w:val="19"/>
    <w:qFormat/>
    <w:uiPriority w:val="0"/>
    <w:rPr>
      <w:vertAlign w:val="superscript"/>
    </w:rPr>
  </w:style>
  <w:style w:type="paragraph" w:customStyle="1" w:styleId="21">
    <w:name w:val="标题 5（有编号）（绿盟科技）"/>
    <w:basedOn w:val="22"/>
    <w:next w:val="2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4">
    <w:name w:val="UserStyle_01"/>
    <w:basedOn w:val="1"/>
    <w:next w:val="1"/>
    <w:qFormat/>
    <w:uiPriority w:val="0"/>
    <w:pPr>
      <w:textAlignment w:val="baseline"/>
    </w:pPr>
    <w:rPr>
      <w:rFonts w:ascii="仿宋_GB2312" w:hAnsi="Calibri" w:eastAsia="仿宋_GB2312"/>
      <w:szCs w:val="20"/>
    </w:rPr>
  </w:style>
  <w:style w:type="character" w:customStyle="1" w:styleId="25">
    <w:name w:val="默认段落字体1"/>
    <w:qFormat/>
    <w:uiPriority w:val="0"/>
  </w:style>
  <w:style w:type="paragraph" w:customStyle="1" w:styleId="26">
    <w:name w:val="Index"/>
    <w:basedOn w:val="1"/>
    <w:qFormat/>
    <w:uiPriority w:val="0"/>
    <w:pPr>
      <w:suppressLineNumbers/>
    </w:pPr>
  </w:style>
  <w:style w:type="paragraph" w:customStyle="1" w:styleId="27">
    <w:name w:val="Heading"/>
    <w:basedOn w:val="1"/>
    <w:next w:val="6"/>
    <w:qFormat/>
    <w:uiPriority w:val="0"/>
    <w:pPr>
      <w:keepNext/>
      <w:spacing w:before="240" w:after="120"/>
    </w:pPr>
    <w:rPr>
      <w:rFonts w:ascii="Liberation Sans" w:hAnsi="Liberation Sans" w:eastAsia="Noto Sans CJK SC Regular" w:cs="Noto Sans CJK SC Regular"/>
      <w:sz w:val="28"/>
      <w:szCs w:val="28"/>
    </w:rPr>
  </w:style>
  <w:style w:type="paragraph" w:customStyle="1" w:styleId="28">
    <w:name w:val="table of authorities1"/>
    <w:basedOn w:val="1"/>
    <w:next w:val="1"/>
    <w:qFormat/>
    <w:uiPriority w:val="0"/>
    <w:pPr>
      <w:ind w:left="420" w:leftChars="200"/>
    </w:pPr>
  </w:style>
  <w:style w:type="paragraph" w:customStyle="1" w:styleId="29">
    <w:name w:val="Heading #2|1"/>
    <w:qFormat/>
    <w:uiPriority w:val="0"/>
    <w:pPr>
      <w:widowControl w:val="0"/>
      <w:spacing w:after="310"/>
      <w:jc w:val="center"/>
      <w:outlineLvl w:val="1"/>
    </w:pPr>
    <w:rPr>
      <w:rFonts w:ascii="宋体" w:hAnsi="宋体" w:eastAsia="宋体" w:cs="宋体"/>
      <w:color w:val="000000"/>
      <w:sz w:val="42"/>
      <w:szCs w:val="42"/>
      <w:lang w:val="zh-TW" w:eastAsia="zh-TW" w:bidi="zh-TW"/>
    </w:rPr>
  </w:style>
  <w:style w:type="paragraph" w:customStyle="1" w:styleId="30">
    <w:name w:val="Body text|1"/>
    <w:qFormat/>
    <w:uiPriority w:val="0"/>
    <w:pPr>
      <w:widowControl w:val="0"/>
      <w:spacing w:line="422" w:lineRule="auto"/>
      <w:ind w:firstLine="400"/>
    </w:pPr>
    <w:rPr>
      <w:rFonts w:ascii="宋体" w:hAnsi="宋体" w:eastAsia="宋体" w:cs="宋体"/>
      <w:color w:val="000000"/>
      <w:sz w:val="30"/>
      <w:szCs w:val="30"/>
      <w:lang w:val="zh-TW" w:eastAsia="zh-TW" w:bidi="zh-TW"/>
    </w:rPr>
  </w:style>
  <w:style w:type="character" w:customStyle="1" w:styleId="31">
    <w:name w:val="页眉 Char"/>
    <w:link w:val="11"/>
    <w:qFormat/>
    <w:uiPriority w:val="99"/>
    <w:rPr>
      <w:rFonts w:ascii="Calibri" w:hAnsi="Calibri"/>
      <w:kern w:val="2"/>
      <w:sz w:val="18"/>
      <w:szCs w:val="24"/>
    </w:rPr>
  </w:style>
  <w:style w:type="character" w:customStyle="1" w:styleId="32">
    <w:name w:val="日期 Char"/>
    <w:link w:val="8"/>
    <w:qFormat/>
    <w:uiPriority w:val="0"/>
    <w:rPr>
      <w:rFonts w:ascii="仿宋" w:hAnsi="仿宋" w:eastAsia="仿宋"/>
      <w:b/>
      <w:kern w:val="2"/>
      <w:sz w:val="32"/>
      <w:szCs w:val="24"/>
    </w:rPr>
  </w:style>
  <w:style w:type="character" w:customStyle="1" w:styleId="33">
    <w:name w:val="页脚 Char"/>
    <w:link w:val="10"/>
    <w:qFormat/>
    <w:uiPriority w:val="99"/>
    <w:rPr>
      <w:rFonts w:ascii="仿宋" w:hAnsi="仿宋" w:eastAsia="仿宋"/>
      <w:b/>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4267</Words>
  <Characters>4477</Characters>
  <Lines>9</Lines>
  <Paragraphs>2</Paragraphs>
  <TotalTime>1</TotalTime>
  <ScaleCrop>false</ScaleCrop>
  <LinksUpToDate>false</LinksUpToDate>
  <CharactersWithSpaces>4484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2022-06-21T04:21:00Z</dcterms:created>
  <dc:creator>user</dc:creator>
  <cp:lastModifiedBy>user</cp:lastModifiedBy>
  <cp:lastPrinted>2024-07-16T17:58:00Z</cp:lastPrinted>
  <dcterms:modified xsi:type="dcterms:W3CDTF">2024-07-15T16:35:00Z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B96E9122C581309606958265F96EFAD8</vt:lpwstr>
  </property>
</Properties>
</file>