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both"/>
        <w:rPr>
          <w:rFonts w:ascii="Times New Roman" w:hAnsi="Times New Roman" w:eastAsia="方正公文黑体"/>
          <w:bCs w:val="0"/>
          <w:kern w:val="2"/>
          <w:sz w:val="32"/>
          <w:szCs w:val="32"/>
        </w:rPr>
      </w:pPr>
      <w:r>
        <w:rPr>
          <w:rFonts w:hint="eastAsia" w:ascii="方正公文黑体" w:hAnsi="方正公文黑体" w:eastAsia="方正公文黑体" w:cs="方正公文黑体"/>
          <w:bCs w:val="0"/>
          <w:kern w:val="2"/>
          <w:sz w:val="32"/>
          <w:szCs w:val="32"/>
        </w:rPr>
        <w:t>附件</w:t>
      </w:r>
      <w:bookmarkStart w:id="0" w:name="_GoBack"/>
      <w:bookmarkEnd w:id="0"/>
    </w:p>
    <w:p>
      <w:pPr>
        <w:jc w:val="center"/>
        <w:rPr>
          <w:rFonts w:ascii="方正小标宋_GBK" w:hAnsi="方正小标宋_GBK" w:eastAsia="方正小标宋_GBK" w:cs="方正小标宋_GBK"/>
          <w:b/>
          <w:color w:val="000000"/>
          <w:kern w:val="0"/>
          <w:sz w:val="44"/>
          <w:szCs w:val="44"/>
        </w:rPr>
      </w:pPr>
    </w:p>
    <w:p>
      <w:pPr>
        <w:jc w:val="center"/>
        <w:rPr>
          <w:rFonts w:ascii="方正小标宋_GBK" w:hAnsi="方正小标宋_GBK" w:eastAsia="方正小标宋_GBK" w:cs="方正小标宋_GBK"/>
          <w:b/>
          <w:color w:val="000000"/>
          <w:kern w:val="0"/>
          <w:sz w:val="44"/>
          <w:szCs w:val="44"/>
        </w:rPr>
      </w:pPr>
      <w:r>
        <w:rPr>
          <w:rFonts w:hint="eastAsia" w:ascii="方正小标宋_GBK" w:hAnsi="方正小标宋_GBK" w:eastAsia="方正小标宋_GBK" w:cs="方正小标宋_GBK"/>
          <w:b/>
          <w:color w:val="000000"/>
          <w:kern w:val="0"/>
          <w:sz w:val="44"/>
          <w:szCs w:val="44"/>
          <w:lang w:val="en-US" w:eastAsia="zh-CN"/>
        </w:rPr>
        <w:t>2025</w:t>
      </w:r>
      <w:r>
        <w:rPr>
          <w:rFonts w:hint="default" w:ascii="方正小标宋_GBK" w:hAnsi="方正小标宋_GBK" w:eastAsia="方正小标宋_GBK" w:cs="方正小标宋_GBK"/>
          <w:b/>
          <w:color w:val="000000"/>
          <w:kern w:val="0"/>
          <w:sz w:val="44"/>
          <w:szCs w:val="44"/>
        </w:rPr>
        <w:t>四川省平台经济产业链合作伙伴大会</w:t>
      </w:r>
      <w:r>
        <w:rPr>
          <w:rFonts w:hint="eastAsia" w:ascii="方正小标宋_GBK" w:hAnsi="方正小标宋_GBK" w:eastAsia="方正小标宋_GBK" w:cs="方正小标宋_GBK"/>
          <w:b/>
          <w:color w:val="000000"/>
          <w:kern w:val="0"/>
          <w:sz w:val="44"/>
          <w:szCs w:val="44"/>
        </w:rPr>
        <w:t>服务机构比选方案</w:t>
      </w:r>
    </w:p>
    <w:p>
      <w:pPr>
        <w:pStyle w:val="5"/>
        <w:ind w:firstLine="640"/>
      </w:pPr>
    </w:p>
    <w:p>
      <w:pPr>
        <w:ind w:firstLine="640"/>
      </w:pPr>
      <w:r>
        <w:rPr>
          <w:rFonts w:hint="eastAsia"/>
        </w:rPr>
        <w:t>按照工作安排，四川省商务厅将</w:t>
      </w:r>
      <w:r>
        <w:rPr>
          <w:rFonts w:hint="eastAsia"/>
          <w:lang w:eastAsia="zh-CN"/>
        </w:rPr>
        <w:t>举办</w:t>
      </w:r>
      <w:r>
        <w:rPr>
          <w:rFonts w:hint="eastAsia"/>
          <w:lang w:val="en-US" w:eastAsia="zh-CN"/>
        </w:rPr>
        <w:t>2025</w:t>
      </w:r>
      <w:r>
        <w:rPr>
          <w:rFonts w:hint="eastAsia"/>
        </w:rPr>
        <w:t>四川省平台经济产业链合作伙伴大会（以下简称</w:t>
      </w:r>
      <w:r>
        <w:rPr>
          <w:rFonts w:hint="default"/>
        </w:rPr>
        <w:t>大会</w:t>
      </w:r>
      <w:r>
        <w:rPr>
          <w:rFonts w:hint="eastAsia"/>
        </w:rPr>
        <w:t>）。为做好</w:t>
      </w:r>
      <w:r>
        <w:rPr>
          <w:rFonts w:hint="eastAsia"/>
          <w:lang w:eastAsia="zh-CN"/>
        </w:rPr>
        <w:t>大会</w:t>
      </w:r>
      <w:r>
        <w:rPr>
          <w:rFonts w:hint="default"/>
        </w:rPr>
        <w:t>筹备</w:t>
      </w:r>
      <w:r>
        <w:rPr>
          <w:rFonts w:hint="eastAsia"/>
        </w:rPr>
        <w:t>各项工作，按照《四川省商务厅购买服务比选暂行办法》等规定，拟通过比选方式确定该项目服务机构。现制定如下方案。</w:t>
      </w:r>
    </w:p>
    <w:p>
      <w:pPr>
        <w:pStyle w:val="15"/>
        <w:spacing w:line="580" w:lineRule="exact"/>
        <w:ind w:firstLine="629" w:firstLineChars="196"/>
        <w:rPr>
          <w:rFonts w:ascii="黑体" w:hAnsi="黑体" w:eastAsia="黑体"/>
          <w:b/>
          <w:color w:val="000000"/>
          <w:sz w:val="32"/>
          <w:szCs w:val="32"/>
        </w:rPr>
      </w:pPr>
      <w:r>
        <w:rPr>
          <w:rFonts w:hint="eastAsia" w:ascii="黑体" w:hAnsi="黑体" w:eastAsia="黑体"/>
          <w:b/>
          <w:color w:val="000000"/>
          <w:sz w:val="32"/>
          <w:szCs w:val="32"/>
        </w:rPr>
        <w:t>一、项目名称及服务时间</w:t>
      </w:r>
    </w:p>
    <w:p>
      <w:pPr>
        <w:pStyle w:val="15"/>
        <w:spacing w:line="580" w:lineRule="exact"/>
        <w:ind w:firstLine="627" w:firstLineChars="196"/>
        <w:rPr>
          <w:rFonts w:ascii="Times New Roman" w:hAnsi="Times New Roman" w:eastAsia="仿宋_GB2312" w:cstheme="minorBidi"/>
          <w:sz w:val="32"/>
          <w:szCs w:val="24"/>
        </w:rPr>
      </w:pPr>
      <w:r>
        <w:rPr>
          <w:rFonts w:hint="eastAsia" w:ascii="Times New Roman" w:hAnsi="Times New Roman" w:eastAsia="仿宋_GB2312" w:cstheme="minorBidi"/>
          <w:sz w:val="32"/>
          <w:szCs w:val="24"/>
        </w:rPr>
        <w:t>（一）项目名称：</w:t>
      </w:r>
      <w:r>
        <w:rPr>
          <w:rFonts w:hint="eastAsia" w:ascii="Times New Roman" w:hAnsi="Times New Roman" w:eastAsia="仿宋_GB2312" w:cstheme="minorBidi"/>
          <w:sz w:val="32"/>
          <w:szCs w:val="24"/>
          <w:lang w:val="en-US" w:eastAsia="zh-CN"/>
        </w:rPr>
        <w:t>2025</w:t>
      </w:r>
      <w:r>
        <w:rPr>
          <w:rFonts w:hint="eastAsia" w:ascii="Times New Roman" w:hAnsi="Times New Roman" w:eastAsia="仿宋_GB2312" w:cstheme="minorBidi"/>
          <w:sz w:val="32"/>
          <w:szCs w:val="24"/>
        </w:rPr>
        <w:t>四川省平台经济产业链合作伙伴大会服务机构</w:t>
      </w:r>
    </w:p>
    <w:p>
      <w:pPr>
        <w:pStyle w:val="15"/>
        <w:spacing w:line="580" w:lineRule="exact"/>
        <w:ind w:firstLine="627" w:firstLineChars="196"/>
        <w:rPr>
          <w:rFonts w:ascii="Times New Roman" w:hAnsi="Times New Roman" w:eastAsia="仿宋_GB2312" w:cstheme="minorBidi"/>
          <w:sz w:val="32"/>
          <w:szCs w:val="24"/>
        </w:rPr>
      </w:pPr>
      <w:r>
        <w:rPr>
          <w:rFonts w:hint="eastAsia" w:ascii="Times New Roman" w:hAnsi="Times New Roman" w:eastAsia="仿宋_GB2312" w:cstheme="minorBidi"/>
          <w:sz w:val="32"/>
          <w:szCs w:val="24"/>
        </w:rPr>
        <w:t>（二）服务时间：</w:t>
      </w:r>
    </w:p>
    <w:p>
      <w:pPr>
        <w:pStyle w:val="15"/>
        <w:spacing w:line="580" w:lineRule="exact"/>
        <w:ind w:firstLine="627" w:firstLineChars="196"/>
        <w:rPr>
          <w:rFonts w:hint="eastAsia" w:ascii="Times New Roman" w:hAnsi="Times New Roman" w:eastAsia="仿宋_GB2312" w:cstheme="minorBidi"/>
          <w:sz w:val="32"/>
          <w:szCs w:val="24"/>
        </w:rPr>
      </w:pPr>
      <w:r>
        <w:rPr>
          <w:rFonts w:hint="eastAsia" w:ascii="Times New Roman" w:hAnsi="Times New Roman" w:eastAsia="仿宋_GB2312" w:cstheme="minorBidi"/>
          <w:sz w:val="32"/>
          <w:szCs w:val="24"/>
        </w:rPr>
        <w:t>2025年</w:t>
      </w:r>
      <w:r>
        <w:rPr>
          <w:rFonts w:hint="default" w:ascii="Times New Roman" w:hAnsi="Times New Roman" w:eastAsia="仿宋_GB2312" w:cstheme="minorBidi"/>
          <w:sz w:val="32"/>
          <w:szCs w:val="24"/>
        </w:rPr>
        <w:t>8</w:t>
      </w:r>
      <w:r>
        <w:rPr>
          <w:rFonts w:hint="eastAsia" w:ascii="Times New Roman" w:hAnsi="Times New Roman" w:eastAsia="仿宋_GB2312" w:cstheme="minorBidi"/>
          <w:sz w:val="32"/>
          <w:szCs w:val="24"/>
        </w:rPr>
        <w:t>月（成都）</w:t>
      </w:r>
    </w:p>
    <w:p>
      <w:pPr>
        <w:pStyle w:val="4"/>
        <w:adjustRightInd w:val="0"/>
        <w:snapToGrid w:val="0"/>
        <w:spacing w:line="560" w:lineRule="exact"/>
        <w:ind w:left="0" w:leftChars="0" w:firstLine="642" w:firstLineChars="200"/>
        <w:rPr>
          <w:rFonts w:ascii="Times New Roman" w:hAnsi="Times New Roman" w:eastAsia="黑体"/>
          <w:b/>
          <w:sz w:val="32"/>
          <w:szCs w:val="32"/>
        </w:rPr>
      </w:pPr>
      <w:r>
        <w:rPr>
          <w:rFonts w:hint="eastAsia" w:eastAsia="黑体"/>
          <w:b/>
          <w:sz w:val="32"/>
          <w:szCs w:val="32"/>
          <w:lang w:eastAsia="zh-CN"/>
        </w:rPr>
        <w:t>二</w:t>
      </w:r>
      <w:r>
        <w:rPr>
          <w:rFonts w:ascii="Times New Roman" w:hAnsi="Times New Roman" w:eastAsia="黑体"/>
          <w:b/>
          <w:sz w:val="32"/>
          <w:szCs w:val="32"/>
        </w:rPr>
        <w:t>、比选单位资质要求</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（一）在中华人民共和国境内注册，具有独立法人资格。</w:t>
      </w:r>
    </w:p>
    <w:p>
      <w:pPr>
        <w:spacing w:line="56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rPr>
        <w:t>（二）具有良好的商业信誉和具有健全的财务会计制度</w:t>
      </w:r>
      <w:r>
        <w:rPr>
          <w:rFonts w:hint="eastAsia" w:ascii="Times New Roman" w:hAnsi="Times New Roman" w:eastAsia="仿宋_GB2312"/>
          <w:sz w:val="32"/>
          <w:szCs w:val="32"/>
          <w:lang w:eastAsia="zh-CN"/>
        </w:rPr>
        <w:t>；</w:t>
      </w:r>
    </w:p>
    <w:p>
      <w:pPr>
        <w:spacing w:line="56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（三）具有依法缴纳税收和社会保障资金的良好记录；</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ascii="Times New Roman" w:hAnsi="Times New Roman" w:eastAsia="仿宋_GB2312"/>
          <w:sz w:val="32"/>
          <w:szCs w:val="32"/>
          <w:lang w:eastAsia="zh-CN"/>
        </w:rPr>
        <w:t>四</w:t>
      </w:r>
      <w:r>
        <w:rPr>
          <w:rFonts w:ascii="Times New Roman" w:hAnsi="Times New Roman" w:eastAsia="仿宋_GB2312"/>
          <w:sz w:val="32"/>
          <w:szCs w:val="32"/>
        </w:rPr>
        <w:t>）具有在境</w:t>
      </w:r>
      <w:r>
        <w:rPr>
          <w:rFonts w:hint="eastAsia" w:ascii="Times New Roman" w:hAnsi="Times New Roman" w:eastAsia="仿宋_GB2312"/>
          <w:sz w:val="32"/>
          <w:szCs w:val="32"/>
          <w:lang w:eastAsia="zh-CN"/>
        </w:rPr>
        <w:t>内</w:t>
      </w:r>
      <w:r>
        <w:rPr>
          <w:rFonts w:ascii="Times New Roman" w:hAnsi="Times New Roman" w:eastAsia="仿宋_GB2312"/>
          <w:sz w:val="32"/>
          <w:szCs w:val="32"/>
        </w:rPr>
        <w:t>外组织筹备展会</w:t>
      </w:r>
      <w:r>
        <w:rPr>
          <w:rFonts w:hint="eastAsia" w:ascii="Times New Roman" w:hAnsi="Times New Roman" w:eastAsia="仿宋_GB2312"/>
          <w:sz w:val="32"/>
          <w:szCs w:val="32"/>
          <w:lang w:eastAsia="zh-CN"/>
        </w:rPr>
        <w:t>、资源对接会和促消费活动</w:t>
      </w:r>
      <w:r>
        <w:rPr>
          <w:rFonts w:ascii="Times New Roman" w:hAnsi="Times New Roman" w:eastAsia="仿宋_GB2312"/>
          <w:sz w:val="32"/>
          <w:szCs w:val="32"/>
        </w:rPr>
        <w:t>的经验和能力，提供3个以上案例。具备组织一定规模（</w:t>
      </w:r>
      <w:r>
        <w:rPr>
          <w:rFonts w:hint="eastAsia" w:ascii="Times New Roman" w:hAnsi="Times New Roman" w:eastAsia="仿宋_GB2312"/>
          <w:sz w:val="32"/>
          <w:szCs w:val="32"/>
          <w:lang w:val="en-US" w:eastAsia="zh-CN"/>
        </w:rPr>
        <w:t>50</w:t>
      </w:r>
      <w:r>
        <w:rPr>
          <w:rFonts w:ascii="Times New Roman" w:hAnsi="Times New Roman" w:eastAsia="仿宋_GB2312"/>
          <w:sz w:val="32"/>
          <w:szCs w:val="32"/>
        </w:rPr>
        <w:t>家以上）企业</w:t>
      </w:r>
      <w:r>
        <w:rPr>
          <w:rFonts w:hint="eastAsia" w:ascii="Times New Roman" w:hAnsi="Times New Roman" w:eastAsia="仿宋_GB2312"/>
          <w:sz w:val="32"/>
          <w:szCs w:val="32"/>
          <w:lang w:eastAsia="zh-CN"/>
        </w:rPr>
        <w:t>参展</w:t>
      </w:r>
      <w:r>
        <w:rPr>
          <w:rFonts w:ascii="Times New Roman" w:hAnsi="Times New Roman" w:eastAsia="仿宋_GB2312"/>
          <w:sz w:val="32"/>
          <w:szCs w:val="32"/>
        </w:rPr>
        <w:t>参会的能力。</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ascii="Times New Roman" w:hAnsi="Times New Roman" w:eastAsia="仿宋_GB2312"/>
          <w:sz w:val="32"/>
          <w:szCs w:val="32"/>
          <w:lang w:eastAsia="zh-CN"/>
        </w:rPr>
        <w:t>五</w:t>
      </w:r>
      <w:r>
        <w:rPr>
          <w:rFonts w:ascii="Times New Roman" w:hAnsi="Times New Roman" w:eastAsia="仿宋_GB2312"/>
          <w:sz w:val="32"/>
          <w:szCs w:val="32"/>
        </w:rPr>
        <w:t>）近三年没有相关严重违法失信记录。</w:t>
      </w:r>
    </w:p>
    <w:p>
      <w:pPr>
        <w:pStyle w:val="15"/>
        <w:spacing w:line="580" w:lineRule="exact"/>
        <w:ind w:firstLine="629" w:firstLineChars="196"/>
        <w:rPr>
          <w:rFonts w:ascii="黑体" w:hAnsi="黑体" w:eastAsia="黑体"/>
          <w:b/>
          <w:color w:val="000000"/>
          <w:sz w:val="32"/>
          <w:szCs w:val="32"/>
        </w:rPr>
      </w:pPr>
      <w:r>
        <w:rPr>
          <w:rFonts w:hint="eastAsia" w:ascii="黑体" w:hAnsi="黑体" w:eastAsia="黑体"/>
          <w:b/>
          <w:color w:val="000000"/>
          <w:sz w:val="32"/>
          <w:szCs w:val="32"/>
          <w:lang w:eastAsia="zh-CN"/>
        </w:rPr>
        <w:t>三</w:t>
      </w:r>
      <w:r>
        <w:rPr>
          <w:rFonts w:hint="eastAsia" w:ascii="黑体" w:hAnsi="黑体" w:eastAsia="黑体"/>
          <w:b/>
          <w:color w:val="000000"/>
          <w:sz w:val="32"/>
          <w:szCs w:val="32"/>
        </w:rPr>
        <w:t>、项目服务内容及要求</w:t>
      </w:r>
    </w:p>
    <w:p>
      <w:pPr>
        <w:ind w:firstLine="643"/>
        <w:rPr>
          <w:rFonts w:hint="eastAsia"/>
        </w:rPr>
      </w:pPr>
      <w:r>
        <w:rPr>
          <w:rFonts w:hint="eastAsia" w:ascii="楷体_GB2312" w:hAnsi="楷体_GB2312" w:eastAsia="楷体_GB2312" w:cs="楷体_GB2312"/>
          <w:b/>
          <w:bCs/>
        </w:rPr>
        <w:t>（一）制定实施方案。</w:t>
      </w:r>
      <w:r>
        <w:rPr>
          <w:rFonts w:hint="eastAsia" w:cs="Times New Roman"/>
          <w:color w:val="000000"/>
        </w:rPr>
        <w:t>按照商务厅要求</w:t>
      </w:r>
      <w:r>
        <w:rPr>
          <w:rFonts w:hint="eastAsia"/>
        </w:rPr>
        <w:t>，细化工作方案，包括</w:t>
      </w:r>
      <w:r>
        <w:rPr>
          <w:rFonts w:hint="default"/>
        </w:rPr>
        <w:t>大会策划思路、</w:t>
      </w:r>
      <w:r>
        <w:rPr>
          <w:rFonts w:hint="eastAsia"/>
        </w:rPr>
        <w:t>主题策划、</w:t>
      </w:r>
      <w:r>
        <w:rPr>
          <w:rFonts w:hint="default"/>
        </w:rPr>
        <w:t>议程设计</w:t>
      </w:r>
      <w:r>
        <w:rPr>
          <w:rFonts w:hint="eastAsia"/>
        </w:rPr>
        <w:t>、装修设计、参会组织、新闻宣传、</w:t>
      </w:r>
      <w:r>
        <w:rPr>
          <w:rFonts w:hint="default"/>
        </w:rPr>
        <w:t>会务执行</w:t>
      </w:r>
      <w:r>
        <w:rPr>
          <w:rFonts w:hint="eastAsia"/>
        </w:rPr>
        <w:t>、综合保障、安全管理、经费预决算、资料归档等。</w:t>
      </w:r>
    </w:p>
    <w:p>
      <w:pPr>
        <w:ind w:firstLine="643"/>
        <w:rPr>
          <w:rFonts w:ascii="Times New Roman" w:eastAsia="仿宋_GB2312"/>
          <w:b w:val="0"/>
          <w:color w:val="000000"/>
          <w:sz w:val="32"/>
        </w:rPr>
      </w:pPr>
      <w:r>
        <w:rPr>
          <w:rFonts w:hint="eastAsia" w:ascii="楷体_GB2312" w:hAnsi="楷体_GB2312" w:eastAsia="楷体_GB2312" w:cs="楷体_GB2312"/>
          <w:b/>
          <w:bCs/>
        </w:rPr>
        <w:t>（二）</w:t>
      </w:r>
      <w:r>
        <w:rPr>
          <w:rFonts w:hint="default" w:ascii="楷体_GB2312" w:hAnsi="楷体_GB2312" w:eastAsia="楷体_GB2312" w:cs="楷体_GB2312"/>
          <w:b/>
          <w:bCs/>
        </w:rPr>
        <w:t>展览</w:t>
      </w:r>
      <w:r>
        <w:rPr>
          <w:rFonts w:hint="eastAsia" w:ascii="楷体_GB2312" w:hAnsi="楷体_GB2312" w:eastAsia="楷体_GB2312" w:cs="楷体_GB2312"/>
          <w:b/>
          <w:bCs/>
        </w:rPr>
        <w:t>装修搭建。</w:t>
      </w:r>
      <w:r>
        <w:rPr>
          <w:rFonts w:hint="default"/>
          <w:b w:val="0"/>
          <w:color w:val="000000"/>
          <w:sz w:val="32"/>
        </w:rPr>
        <w:t>在大会外场</w:t>
      </w:r>
      <w:r>
        <w:rPr>
          <w:rFonts w:hint="eastAsia" w:ascii="Times New Roman" w:eastAsia="仿宋_GB2312"/>
          <w:b w:val="0"/>
          <w:color w:val="000000"/>
          <w:sz w:val="32"/>
        </w:rPr>
        <w:t>设计搭建</w:t>
      </w:r>
      <w:r>
        <w:rPr>
          <w:rFonts w:hint="default"/>
          <w:b w:val="0"/>
          <w:color w:val="000000"/>
          <w:sz w:val="32"/>
        </w:rPr>
        <w:t>展览区</w:t>
      </w:r>
      <w:r>
        <w:rPr>
          <w:rFonts w:hint="eastAsia" w:ascii="Times New Roman" w:eastAsia="仿宋_GB2312"/>
          <w:b w:val="0"/>
          <w:color w:val="000000"/>
          <w:sz w:val="32"/>
        </w:rPr>
        <w:t>，面积</w:t>
      </w:r>
      <w:r>
        <w:rPr>
          <w:rFonts w:hint="default"/>
          <w:b w:val="0"/>
          <w:color w:val="000000"/>
          <w:sz w:val="32"/>
        </w:rPr>
        <w:t>约200</w:t>
      </w:r>
      <w:r>
        <w:rPr>
          <w:rFonts w:hint="eastAsia" w:ascii="Times New Roman" w:eastAsia="仿宋_GB2312"/>
          <w:b w:val="0"/>
          <w:color w:val="000000"/>
          <w:sz w:val="32"/>
        </w:rPr>
        <w:t>平方米，内容拟规划</w:t>
      </w:r>
      <w:r>
        <w:rPr>
          <w:rFonts w:hint="default"/>
          <w:b w:val="0"/>
          <w:color w:val="000000"/>
          <w:sz w:val="32"/>
        </w:rPr>
        <w:t>一个</w:t>
      </w:r>
      <w:r>
        <w:rPr>
          <w:rFonts w:ascii="Times New Roman" w:hAnsi="Times New Roman" w:eastAsia="方正公文仿宋"/>
          <w:szCs w:val="40"/>
        </w:rPr>
        <w:t>四川电商产业图谱</w:t>
      </w:r>
      <w:r>
        <w:rPr>
          <w:rFonts w:eastAsia="方正公文仿宋"/>
          <w:szCs w:val="40"/>
        </w:rPr>
        <w:t>展示区、</w:t>
      </w:r>
      <w:r>
        <w:rPr>
          <w:rFonts w:eastAsia="方正公文仿宋"/>
          <w:bCs/>
          <w:szCs w:val="40"/>
        </w:rPr>
        <w:t>一个</w:t>
      </w:r>
      <w:r>
        <w:rPr>
          <w:rFonts w:ascii="Times New Roman" w:hAnsi="Times New Roman" w:eastAsia="方正公文仿宋"/>
          <w:szCs w:val="40"/>
        </w:rPr>
        <w:t>平台资源互动集市</w:t>
      </w:r>
      <w:r>
        <w:rPr>
          <w:rFonts w:eastAsia="方正公文仿宋"/>
          <w:szCs w:val="40"/>
        </w:rPr>
        <w:t>、一个</w:t>
      </w:r>
      <w:r>
        <w:rPr>
          <w:rFonts w:ascii="Times New Roman" w:hAnsi="Times New Roman" w:eastAsia="方正公文仿宋"/>
          <w:bCs/>
          <w:szCs w:val="40"/>
        </w:rPr>
        <w:t>“天府汇客厅”洽谈区“资源清单数字看板”</w:t>
      </w:r>
      <w:r>
        <w:rPr>
          <w:rFonts w:eastAsia="方正公文仿宋"/>
          <w:bCs/>
          <w:szCs w:val="40"/>
        </w:rPr>
        <w:t>。</w:t>
      </w:r>
      <w:r>
        <w:rPr>
          <w:rFonts w:hint="eastAsia" w:ascii="Times New Roman" w:eastAsia="仿宋_GB2312"/>
          <w:b w:val="0"/>
          <w:color w:val="000000"/>
          <w:sz w:val="32"/>
        </w:rPr>
        <w:t>运用声、光、电等技术呈现，提交有创意的原创设计方案效果图。遵循办好</w:t>
      </w:r>
      <w:r>
        <w:rPr>
          <w:rFonts w:hint="default"/>
          <w:b w:val="0"/>
          <w:color w:val="000000"/>
          <w:sz w:val="32"/>
        </w:rPr>
        <w:t>入场</w:t>
      </w:r>
      <w:r>
        <w:rPr>
          <w:rFonts w:hint="eastAsia" w:ascii="Times New Roman" w:eastAsia="仿宋_GB2312"/>
          <w:b w:val="0"/>
          <w:color w:val="000000"/>
          <w:sz w:val="32"/>
        </w:rPr>
        <w:t>相关手续，严格按照商务厅审定的设计方案进行布、撤展等，并做好现场安全施工等工作。</w:t>
      </w:r>
    </w:p>
    <w:p>
      <w:pPr>
        <w:ind w:firstLine="643"/>
        <w:rPr>
          <w:rFonts w:hint="default" w:ascii="楷体_GB2312" w:hAnsi="楷体_GB2312" w:eastAsia="楷体_GB2312" w:cs="楷体_GB2312"/>
          <w:b/>
          <w:bCs/>
        </w:rPr>
      </w:pPr>
      <w:r>
        <w:rPr>
          <w:rFonts w:hint="eastAsia" w:ascii="楷体_GB2312" w:hAnsi="楷体_GB2312" w:eastAsia="楷体_GB2312" w:cs="楷体_GB2312"/>
          <w:b/>
          <w:bCs/>
        </w:rPr>
        <w:t>（三）</w:t>
      </w:r>
      <w:r>
        <w:rPr>
          <w:rFonts w:hint="default" w:ascii="楷体_GB2312" w:hAnsi="楷体_GB2312" w:eastAsia="楷体_GB2312" w:cs="楷体_GB2312"/>
          <w:b/>
          <w:bCs/>
        </w:rPr>
        <w:t>会议</w:t>
      </w:r>
      <w:r>
        <w:rPr>
          <w:rFonts w:hint="eastAsia" w:ascii="楷体_GB2312" w:hAnsi="楷体_GB2312" w:eastAsia="楷体_GB2312" w:cs="楷体_GB2312"/>
          <w:b/>
          <w:bCs/>
        </w:rPr>
        <w:t>装修搭建</w:t>
      </w:r>
      <w:r>
        <w:rPr>
          <w:rFonts w:hint="default" w:ascii="楷体_GB2312" w:hAnsi="楷体_GB2312" w:eastAsia="楷体_GB2312" w:cs="楷体_GB2312"/>
          <w:b/>
          <w:bCs/>
        </w:rPr>
        <w:t>和会务服务。</w:t>
      </w:r>
      <w:r>
        <w:rPr>
          <w:rFonts w:hint="default" w:ascii="Times New Roman" w:eastAsia="仿宋_GB2312"/>
          <w:b w:val="0"/>
          <w:color w:val="000000"/>
          <w:sz w:val="32"/>
        </w:rPr>
        <w:t>提供大会所需的LED屏幕、灯光、舞台、音响、司仪台等设备设施系统和技术操作人员，提供大会议程单、桌卡、证件等物料印刷服务；提供大会主持、礼仪、摄影、摄像、速记等专业会务服务人员；为会议议程提供有创意的呈现策划和实施，以及完成领导交办的其他工作。</w:t>
      </w:r>
    </w:p>
    <w:p>
      <w:pPr>
        <w:ind w:firstLine="643"/>
      </w:pPr>
      <w:r>
        <w:rPr>
          <w:rFonts w:hint="eastAsia" w:ascii="楷体_GB2312" w:hAnsi="楷体_GB2312" w:eastAsia="楷体_GB2312" w:cs="楷体_GB2312"/>
          <w:b/>
          <w:bCs/>
        </w:rPr>
        <w:t>（四）开展新闻宣传。</w:t>
      </w:r>
      <w:r>
        <w:rPr>
          <w:rFonts w:hint="eastAsia" w:ascii="Times New Roman" w:eastAsia="仿宋_GB2312"/>
          <w:b w:val="0"/>
          <w:color w:val="000000"/>
          <w:sz w:val="32"/>
          <w:lang w:eastAsia="zh-CN"/>
        </w:rPr>
        <w:t>暖场片制作。</w:t>
      </w:r>
      <w:r>
        <w:rPr>
          <w:rFonts w:hint="eastAsia" w:ascii="Times New Roman" w:eastAsia="仿宋_GB2312"/>
          <w:b w:val="0"/>
          <w:color w:val="000000"/>
          <w:sz w:val="32"/>
        </w:rPr>
        <w:t>线上线下做好</w:t>
      </w:r>
      <w:r>
        <w:rPr>
          <w:rFonts w:hint="default" w:ascii="Times New Roman" w:eastAsia="仿宋_GB2312"/>
          <w:b w:val="0"/>
          <w:color w:val="000000"/>
          <w:sz w:val="32"/>
        </w:rPr>
        <w:t>大会</w:t>
      </w:r>
      <w:r>
        <w:rPr>
          <w:rFonts w:hint="eastAsia" w:ascii="Times New Roman" w:eastAsia="仿宋_GB2312"/>
          <w:b w:val="0"/>
          <w:color w:val="000000"/>
          <w:sz w:val="32"/>
        </w:rPr>
        <w:t>宣传工作，配合落实邀请省内主流新闻媒</w:t>
      </w:r>
      <w:r>
        <w:rPr>
          <w:rFonts w:hint="eastAsia"/>
        </w:rPr>
        <w:t>体对本次</w:t>
      </w:r>
      <w:r>
        <w:rPr>
          <w:rFonts w:hint="default"/>
        </w:rPr>
        <w:t>大会</w:t>
      </w:r>
      <w:r>
        <w:rPr>
          <w:rFonts w:hint="eastAsia"/>
        </w:rPr>
        <w:t>的宣传报道。</w:t>
      </w:r>
    </w:p>
    <w:p>
      <w:pPr>
        <w:ind w:firstLine="643"/>
      </w:pPr>
      <w:r>
        <w:rPr>
          <w:rFonts w:hint="eastAsia" w:ascii="楷体_GB2312" w:hAnsi="楷体_GB2312" w:eastAsia="楷体_GB2312" w:cs="楷体_GB2312"/>
          <w:b/>
          <w:bCs/>
        </w:rPr>
        <w:t>（五）综合保障工作。</w:t>
      </w:r>
      <w:r>
        <w:rPr>
          <w:rFonts w:hint="eastAsia"/>
        </w:rPr>
        <w:t>派出一定数量正式员工按要求做好</w:t>
      </w:r>
      <w:r>
        <w:rPr>
          <w:rFonts w:hint="default"/>
        </w:rPr>
        <w:t>大会</w:t>
      </w:r>
      <w:r>
        <w:rPr>
          <w:rFonts w:hint="eastAsia"/>
        </w:rPr>
        <w:t>现场服务和后勤保障工作。做好</w:t>
      </w:r>
      <w:r>
        <w:rPr>
          <w:rFonts w:hint="default"/>
        </w:rPr>
        <w:t>会后</w:t>
      </w:r>
      <w:r>
        <w:rPr>
          <w:rFonts w:hint="eastAsia"/>
        </w:rPr>
        <w:t>总结、资料归档、绩效评价等后续工作。期间所有的、知识产权、安全责任由服务机构承担。所有设计、策划、布展、装饰等内容须严格按照我厅要求完成。配合完成与活动有关的其他事项等。</w:t>
      </w:r>
    </w:p>
    <w:p>
      <w:pPr>
        <w:pStyle w:val="15"/>
        <w:spacing w:line="580" w:lineRule="exact"/>
        <w:ind w:firstLine="629" w:firstLineChars="196"/>
        <w:rPr>
          <w:rFonts w:ascii="黑体" w:hAnsi="黑体" w:eastAsia="黑体"/>
          <w:b/>
          <w:color w:val="000000"/>
          <w:sz w:val="32"/>
          <w:szCs w:val="32"/>
        </w:rPr>
      </w:pPr>
      <w:r>
        <w:rPr>
          <w:rFonts w:hint="eastAsia" w:ascii="黑体" w:hAnsi="黑体" w:eastAsia="黑体"/>
          <w:b/>
          <w:color w:val="000000"/>
          <w:sz w:val="32"/>
          <w:szCs w:val="32"/>
          <w:lang w:eastAsia="zh-CN"/>
        </w:rPr>
        <w:t>四</w:t>
      </w:r>
      <w:r>
        <w:rPr>
          <w:rFonts w:hint="eastAsia" w:ascii="黑体" w:hAnsi="黑体" w:eastAsia="黑体"/>
          <w:b/>
          <w:color w:val="000000"/>
          <w:sz w:val="32"/>
          <w:szCs w:val="32"/>
        </w:rPr>
        <w:t>、比选所需提交资料</w:t>
      </w:r>
    </w:p>
    <w:p>
      <w:pPr>
        <w:ind w:firstLine="640"/>
      </w:pPr>
      <w:r>
        <w:t>（一）</w:t>
      </w:r>
      <w:r>
        <w:rPr>
          <w:rFonts w:hint="eastAsia"/>
        </w:rPr>
        <w:t>四川省平台经济产业链合作伙伴大会服务机构比选报名表</w:t>
      </w:r>
      <w:r>
        <w:t>；</w:t>
      </w:r>
    </w:p>
    <w:p>
      <w:pPr>
        <w:ind w:firstLine="640"/>
      </w:pPr>
      <w:r>
        <w:t>（二）</w:t>
      </w:r>
      <w:r>
        <w:rPr>
          <w:rFonts w:hint="eastAsia"/>
        </w:rPr>
        <w:t>法定代表人授权委托书（须附法定代表人及授权人身份证复印件）；</w:t>
      </w:r>
    </w:p>
    <w:p>
      <w:pPr>
        <w:ind w:firstLine="640"/>
      </w:pPr>
      <w:r>
        <w:t>（三）</w:t>
      </w:r>
      <w:r>
        <w:rPr>
          <w:rFonts w:hint="eastAsia"/>
        </w:rPr>
        <w:t>项目比选说明书（含单位简介、预期目标等）；</w:t>
      </w:r>
    </w:p>
    <w:p>
      <w:pPr>
        <w:ind w:firstLine="640"/>
      </w:pPr>
      <w:r>
        <w:rPr>
          <w:rFonts w:hint="eastAsia"/>
        </w:rPr>
        <w:t>（四）“</w:t>
      </w:r>
      <w:r>
        <w:t>比选</w:t>
      </w:r>
      <w:r>
        <w:rPr>
          <w:rFonts w:hint="eastAsia"/>
        </w:rPr>
        <w:t>机构</w:t>
      </w:r>
      <w:r>
        <w:t>资格要求</w:t>
      </w:r>
      <w:r>
        <w:rPr>
          <w:rFonts w:hint="eastAsia"/>
        </w:rPr>
        <w:t>”</w:t>
      </w:r>
      <w:r>
        <w:t>证明材料</w:t>
      </w:r>
      <w:r>
        <w:rPr>
          <w:rFonts w:hint="eastAsia"/>
        </w:rPr>
        <w:t>；</w:t>
      </w:r>
    </w:p>
    <w:p>
      <w:pPr>
        <w:ind w:firstLine="640"/>
      </w:pPr>
      <w:r>
        <w:rPr>
          <w:rFonts w:hint="eastAsia"/>
        </w:rPr>
        <w:t>（五）总体构想；</w:t>
      </w:r>
    </w:p>
    <w:p>
      <w:pPr>
        <w:ind w:firstLine="640"/>
      </w:pPr>
      <w:r>
        <w:rPr>
          <w:rFonts w:hint="eastAsia"/>
        </w:rPr>
        <w:t>（六）工作实施方案（含</w:t>
      </w:r>
      <w:r>
        <w:rPr>
          <w:rFonts w:hint="default"/>
        </w:rPr>
        <w:t>大会策划背景思路、实施内容</w:t>
      </w:r>
      <w:r>
        <w:rPr>
          <w:rFonts w:hint="eastAsia"/>
        </w:rPr>
        <w:t>、新闻宣传、时间节点安排、人员配备等）；</w:t>
      </w:r>
    </w:p>
    <w:p>
      <w:pPr>
        <w:ind w:firstLine="640"/>
      </w:pPr>
      <w:r>
        <w:rPr>
          <w:rFonts w:hint="eastAsia"/>
        </w:rPr>
        <w:t>（七）</w:t>
      </w:r>
      <w:r>
        <w:rPr>
          <w:rFonts w:hint="default"/>
        </w:rPr>
        <w:t>大会</w:t>
      </w:r>
      <w:r>
        <w:rPr>
          <w:rFonts w:hint="eastAsia"/>
        </w:rPr>
        <w:t>设计方案；</w:t>
      </w:r>
    </w:p>
    <w:p>
      <w:pPr>
        <w:ind w:firstLine="640"/>
      </w:pPr>
      <w:r>
        <w:rPr>
          <w:rFonts w:hint="eastAsia"/>
        </w:rPr>
        <w:t>（八）整体报价方案；</w:t>
      </w:r>
    </w:p>
    <w:p>
      <w:pPr>
        <w:ind w:firstLine="640"/>
      </w:pPr>
      <w:r>
        <w:rPr>
          <w:rFonts w:hint="eastAsia"/>
        </w:rPr>
        <w:t>（九）类似业绩等其他与比选相关的资料。</w:t>
      </w:r>
    </w:p>
    <w:p>
      <w:pPr>
        <w:ind w:firstLine="643"/>
        <w:rPr>
          <w:rFonts w:ascii="黑体" w:hAnsi="黑体" w:eastAsia="黑体"/>
          <w:b/>
          <w:color w:val="000000"/>
          <w:szCs w:val="32"/>
        </w:rPr>
      </w:pPr>
      <w:r>
        <w:rPr>
          <w:rFonts w:hint="eastAsia" w:ascii="黑体" w:hAnsi="黑体" w:eastAsia="黑体"/>
          <w:b/>
          <w:color w:val="000000"/>
          <w:szCs w:val="32"/>
          <w:lang w:eastAsia="zh-CN"/>
        </w:rPr>
        <w:t>五</w:t>
      </w:r>
      <w:r>
        <w:rPr>
          <w:rFonts w:hint="eastAsia" w:ascii="黑体" w:hAnsi="黑体" w:eastAsia="黑体"/>
          <w:b/>
          <w:color w:val="000000"/>
          <w:szCs w:val="32"/>
        </w:rPr>
        <w:t>、比选程序</w:t>
      </w:r>
    </w:p>
    <w:p>
      <w:pPr>
        <w:pStyle w:val="13"/>
        <w:spacing w:after="0" w:line="580" w:lineRule="exact"/>
        <w:ind w:firstLine="640" w:firstLineChars="200"/>
        <w:rPr>
          <w:rFonts w:ascii="仿宋_GB2312" w:eastAsia="仿宋_GB2312"/>
          <w:b w:val="0"/>
          <w:color w:val="000000"/>
          <w:sz w:val="32"/>
        </w:rPr>
      </w:pPr>
      <w:r>
        <w:rPr>
          <w:rFonts w:hint="eastAsia" w:ascii="仿宋_GB2312" w:eastAsia="仿宋_GB2312"/>
          <w:b w:val="0"/>
          <w:color w:val="000000"/>
          <w:sz w:val="32"/>
        </w:rPr>
        <w:t>（一）比选当日，所有比选机构自行携带比选正式纸质文件在比选开始前半小时签到，并随机抽签确定陈述顺序。</w:t>
      </w:r>
    </w:p>
    <w:p>
      <w:pPr>
        <w:pStyle w:val="13"/>
        <w:spacing w:after="0" w:line="580" w:lineRule="exact"/>
        <w:ind w:firstLine="640" w:firstLineChars="200"/>
        <w:rPr>
          <w:rFonts w:ascii="仿宋_GB2312" w:eastAsia="仿宋_GB2312"/>
          <w:b w:val="0"/>
          <w:color w:val="000000"/>
          <w:sz w:val="32"/>
        </w:rPr>
      </w:pPr>
      <w:r>
        <w:rPr>
          <w:rFonts w:hint="eastAsia" w:ascii="仿宋_GB2312" w:eastAsia="仿宋_GB2312"/>
          <w:b w:val="0"/>
          <w:color w:val="000000"/>
          <w:sz w:val="32"/>
        </w:rPr>
        <w:t>（二）比选陈述时，参加比选的机构现场陈述人当场拆封本机构比选纸质文件交送各评委，进行陈述并答疑（每个机构陈述时间不超过5分钟）。</w:t>
      </w:r>
    </w:p>
    <w:p>
      <w:pPr>
        <w:pStyle w:val="13"/>
        <w:spacing w:after="0" w:line="580" w:lineRule="exact"/>
        <w:ind w:firstLine="640" w:firstLineChars="200"/>
        <w:rPr>
          <w:rFonts w:ascii="仿宋_GB2312" w:eastAsia="仿宋_GB2312"/>
          <w:b w:val="0"/>
          <w:color w:val="000000"/>
          <w:sz w:val="32"/>
        </w:rPr>
      </w:pPr>
      <w:r>
        <w:rPr>
          <w:rFonts w:hint="eastAsia" w:ascii="仿宋_GB2312" w:eastAsia="仿宋_GB2312"/>
          <w:b w:val="0"/>
          <w:color w:val="000000"/>
          <w:sz w:val="32"/>
        </w:rPr>
        <w:t>（三）评审小组根据比选单位资质要求证明材料、工作方案、设计方案和报价方案等内容评分，并按比选得分高低排定比选机构得分顺序，以最高得分确定为候选承办机构。</w:t>
      </w:r>
    </w:p>
    <w:p>
      <w:pPr>
        <w:pStyle w:val="13"/>
        <w:spacing w:after="0" w:line="580" w:lineRule="exact"/>
        <w:ind w:firstLine="640" w:firstLineChars="200"/>
        <w:rPr>
          <w:rFonts w:ascii="仿宋_GB2312" w:eastAsia="仿宋_GB2312"/>
          <w:b w:val="0"/>
          <w:color w:val="000000"/>
          <w:sz w:val="32"/>
        </w:rPr>
      </w:pPr>
      <w:r>
        <w:rPr>
          <w:rFonts w:hint="eastAsia" w:ascii="仿宋_GB2312" w:eastAsia="仿宋_GB2312"/>
          <w:b w:val="0"/>
          <w:color w:val="000000"/>
          <w:sz w:val="32"/>
        </w:rPr>
        <w:t>（四）候选承办机构在四川省商务厅网站上公示5个工作日；公示结束后无异议，商务厅向中选机构发出中选通知。</w:t>
      </w:r>
    </w:p>
    <w:p>
      <w:pPr>
        <w:pStyle w:val="13"/>
        <w:spacing w:after="0" w:line="580" w:lineRule="exact"/>
        <w:ind w:firstLine="640" w:firstLineChars="200"/>
        <w:rPr>
          <w:rFonts w:ascii="仿宋_GB2312" w:eastAsia="仿宋_GB2312"/>
          <w:b w:val="0"/>
          <w:color w:val="000000"/>
          <w:sz w:val="32"/>
        </w:rPr>
      </w:pPr>
      <w:r>
        <w:rPr>
          <w:rFonts w:hint="eastAsia" w:ascii="仿宋_GB2312" w:eastAsia="仿宋_GB2312"/>
          <w:b w:val="0"/>
          <w:color w:val="000000"/>
          <w:sz w:val="32"/>
        </w:rPr>
        <w:t>（五）由四川省商务厅与中选机构订立书面合同。</w:t>
      </w:r>
    </w:p>
    <w:p>
      <w:pPr>
        <w:pStyle w:val="15"/>
        <w:spacing w:line="580" w:lineRule="exact"/>
        <w:ind w:firstLine="629" w:firstLineChars="196"/>
        <w:rPr>
          <w:rFonts w:ascii="黑体" w:hAnsi="黑体" w:eastAsia="黑体"/>
          <w:b/>
          <w:color w:val="000000"/>
          <w:sz w:val="32"/>
          <w:szCs w:val="32"/>
        </w:rPr>
      </w:pPr>
      <w:r>
        <w:rPr>
          <w:rFonts w:hint="eastAsia" w:ascii="黑体" w:hAnsi="黑体" w:eastAsia="黑体"/>
          <w:b/>
          <w:color w:val="000000"/>
          <w:sz w:val="32"/>
          <w:szCs w:val="32"/>
          <w:lang w:eastAsia="zh-CN"/>
        </w:rPr>
        <w:t>六</w:t>
      </w:r>
      <w:r>
        <w:rPr>
          <w:rFonts w:hint="eastAsia" w:ascii="黑体" w:hAnsi="黑体" w:eastAsia="黑体"/>
          <w:b/>
          <w:color w:val="000000"/>
          <w:sz w:val="32"/>
          <w:szCs w:val="32"/>
        </w:rPr>
        <w:t>、比选发生费用</w:t>
      </w:r>
    </w:p>
    <w:p>
      <w:pPr>
        <w:pStyle w:val="15"/>
        <w:spacing w:line="580" w:lineRule="exact"/>
        <w:ind w:firstLine="627" w:firstLineChars="196"/>
        <w:rPr>
          <w:rFonts w:ascii="仿宋_GB2312" w:eastAsia="仿宋_GB2312"/>
          <w:color w:val="000000"/>
          <w:sz w:val="32"/>
        </w:rPr>
      </w:pPr>
      <w:r>
        <w:rPr>
          <w:rFonts w:hint="eastAsia" w:ascii="仿宋_GB2312" w:eastAsia="仿宋_GB2312"/>
          <w:color w:val="000000"/>
          <w:sz w:val="32"/>
        </w:rPr>
        <w:t>比选单位自行承担参加比选相关费用。无论是否中选，四川省商务厅对上述费用不承担任何义务和责任，且不退还比选文件。</w:t>
      </w:r>
    </w:p>
    <w:p>
      <w:pPr>
        <w:pStyle w:val="15"/>
        <w:spacing w:line="580" w:lineRule="exact"/>
        <w:ind w:firstLine="629" w:firstLineChars="196"/>
        <w:rPr>
          <w:rFonts w:ascii="黑体" w:hAnsi="黑体" w:eastAsia="黑体"/>
          <w:b/>
          <w:color w:val="000000"/>
          <w:sz w:val="32"/>
          <w:szCs w:val="32"/>
        </w:rPr>
      </w:pPr>
      <w:r>
        <w:rPr>
          <w:rFonts w:hint="eastAsia" w:ascii="黑体" w:hAnsi="黑体" w:eastAsia="黑体"/>
          <w:b/>
          <w:color w:val="000000"/>
          <w:sz w:val="32"/>
          <w:szCs w:val="32"/>
          <w:lang w:eastAsia="zh-CN"/>
        </w:rPr>
        <w:t>七</w:t>
      </w:r>
      <w:r>
        <w:rPr>
          <w:rFonts w:hint="eastAsia" w:ascii="黑体" w:hAnsi="黑体" w:eastAsia="黑体"/>
          <w:b/>
          <w:color w:val="000000"/>
          <w:sz w:val="32"/>
          <w:szCs w:val="32"/>
        </w:rPr>
        <w:t>、中选履约</w:t>
      </w:r>
    </w:p>
    <w:p>
      <w:pPr>
        <w:ind w:firstLine="640"/>
      </w:pPr>
      <w:r>
        <w:rPr>
          <w:rFonts w:hint="eastAsia"/>
        </w:rPr>
        <w:t>比选单位中标后须提交完整的设计方案及效果图（包括平面图、效果图、尺寸图、材质说明等）、产品布展、</w:t>
      </w:r>
      <w:r>
        <w:rPr>
          <w:rFonts w:hint="default"/>
        </w:rPr>
        <w:t>大会</w:t>
      </w:r>
      <w:r>
        <w:rPr>
          <w:rFonts w:hint="eastAsia"/>
        </w:rPr>
        <w:t>运营管理服务、后勤保障、时间任务表、应急预案、安全管理等方案。</w:t>
      </w:r>
      <w:r>
        <w:t>中选单位因特殊原因弃权或在合同签订后中途无法完成服务的，应出具书面情况说明，造成损失的，依法追究其责任。四川省商务厅将按本次比选分数从高到低顺延确定中选单位或重新举行比选。因不可抗力造成展会发生变化，我厅不承担责任。</w:t>
      </w:r>
    </w:p>
    <w:p>
      <w:pPr>
        <w:ind w:firstLine="640"/>
      </w:pPr>
      <w:r>
        <w:t>本比选方案由四川省商务厅负责解释。</w:t>
      </w:r>
    </w:p>
    <w:p>
      <w:pPr>
        <w:ind w:firstLine="0" w:firstLineChars="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Tahoma">
    <w:altName w:val="DejaVu Sans"/>
    <w:panose1 w:val="020B0604030504040204"/>
    <w:charset w:val="00"/>
    <w:family w:val="swiss"/>
    <w:pitch w:val="default"/>
    <w:sig w:usb0="00000000" w:usb1="00000000" w:usb2="00000029" w:usb3="00000000" w:csb0="000101FF" w:csb1="00000000"/>
  </w:font>
  <w:font w:name="方正公文黑体">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公文仿宋">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path/>
          <v:fill on="f" focussize="0,0"/>
          <v:stroke on="f" weight="0.5pt" joinstyle="miter"/>
          <v:imagedata o:title=""/>
          <o:lock v:ext="edit"/>
          <v:textbox inset="0mm,0mm,0mm,0mm" style="mso-fit-shape-to-text:t;">
            <w:txbxContent>
              <w:p>
                <w:pPr>
                  <w:pStyle w:val="6"/>
                  <w:ind w:firstLine="360"/>
                </w:pPr>
                <w:r>
                  <w:fldChar w:fldCharType="begin"/>
                </w:r>
                <w:r>
                  <w:instrText xml:space="preserve"> PAGE  \* MERGEFORMAT </w:instrText>
                </w:r>
                <w:r>
                  <w:fldChar w:fldCharType="separate"/>
                </w:r>
                <w: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A304274"/>
    <w:rsid w:val="00794F92"/>
    <w:rsid w:val="007F355F"/>
    <w:rsid w:val="00CB45E6"/>
    <w:rsid w:val="00CC268C"/>
    <w:rsid w:val="02B97306"/>
    <w:rsid w:val="0A304274"/>
    <w:rsid w:val="17B7418B"/>
    <w:rsid w:val="1B3E6242"/>
    <w:rsid w:val="25EF074B"/>
    <w:rsid w:val="2CF25F4F"/>
    <w:rsid w:val="2F2B032E"/>
    <w:rsid w:val="334D114A"/>
    <w:rsid w:val="38042FDA"/>
    <w:rsid w:val="3B7F0CCE"/>
    <w:rsid w:val="3DAFA3FB"/>
    <w:rsid w:val="3DFF98AB"/>
    <w:rsid w:val="3F1FAF40"/>
    <w:rsid w:val="3FB75B86"/>
    <w:rsid w:val="3FD74797"/>
    <w:rsid w:val="40862D94"/>
    <w:rsid w:val="41D74882"/>
    <w:rsid w:val="51BB20EF"/>
    <w:rsid w:val="54BF980A"/>
    <w:rsid w:val="55D6D484"/>
    <w:rsid w:val="57AED2F0"/>
    <w:rsid w:val="57DFEA68"/>
    <w:rsid w:val="5DF348F7"/>
    <w:rsid w:val="5EEFEEA0"/>
    <w:rsid w:val="5F171286"/>
    <w:rsid w:val="65FFFD92"/>
    <w:rsid w:val="67BE50EC"/>
    <w:rsid w:val="6DF7403F"/>
    <w:rsid w:val="6E2B84C1"/>
    <w:rsid w:val="6F772FE6"/>
    <w:rsid w:val="6FBF9936"/>
    <w:rsid w:val="74BF88AF"/>
    <w:rsid w:val="77FE0125"/>
    <w:rsid w:val="787212BF"/>
    <w:rsid w:val="78BD30CD"/>
    <w:rsid w:val="78D13B60"/>
    <w:rsid w:val="7CE1D181"/>
    <w:rsid w:val="7DDD3384"/>
    <w:rsid w:val="7DFB8B24"/>
    <w:rsid w:val="7FAE399A"/>
    <w:rsid w:val="7FB7B6ED"/>
    <w:rsid w:val="7FE3EF7D"/>
    <w:rsid w:val="83BE0A6C"/>
    <w:rsid w:val="979DBFE1"/>
    <w:rsid w:val="ADDFECFA"/>
    <w:rsid w:val="ADFB01B5"/>
    <w:rsid w:val="AFDB8A20"/>
    <w:rsid w:val="AFF291BD"/>
    <w:rsid w:val="B677A65F"/>
    <w:rsid w:val="B8EF4075"/>
    <w:rsid w:val="BB4B6977"/>
    <w:rsid w:val="BD3D2744"/>
    <w:rsid w:val="BF7F3575"/>
    <w:rsid w:val="BFDB8C5D"/>
    <w:rsid w:val="BFED6BB7"/>
    <w:rsid w:val="DBE7CBD6"/>
    <w:rsid w:val="DCF9861F"/>
    <w:rsid w:val="DD7FF00D"/>
    <w:rsid w:val="DFF72C66"/>
    <w:rsid w:val="E7D5BCB3"/>
    <w:rsid w:val="EBEF29D2"/>
    <w:rsid w:val="EF7E83D4"/>
    <w:rsid w:val="EFF85164"/>
    <w:rsid w:val="EFFF43C7"/>
    <w:rsid w:val="F27F219A"/>
    <w:rsid w:val="F73AFCA2"/>
    <w:rsid w:val="FD856066"/>
    <w:rsid w:val="FED8E92E"/>
    <w:rsid w:val="FF3F02EE"/>
    <w:rsid w:val="FFB95FD6"/>
    <w:rsid w:val="FFCFA93E"/>
    <w:rsid w:val="FFFD860E"/>
    <w:rsid w:val="FFFFA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80" w:lineRule="exact"/>
      <w:ind w:firstLine="883"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1"/>
    <w:next w:val="1"/>
    <w:qFormat/>
    <w:uiPriority w:val="0"/>
    <w:pPr>
      <w:keepNext/>
      <w:keepLines/>
      <w:ind w:firstLine="0" w:firstLineChars="0"/>
      <w:jc w:val="center"/>
      <w:outlineLvl w:val="0"/>
    </w:pPr>
    <w:rPr>
      <w:rFonts w:ascii="Calibri" w:hAnsi="Calibri" w:eastAsia="方正小标宋简体" w:cs="Times New Roman"/>
      <w:b/>
      <w:bCs/>
      <w:kern w:val="44"/>
      <w:sz w:val="44"/>
      <w:szCs w:val="4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unhideWhenUsed/>
    <w:qFormat/>
    <w:uiPriority w:val="99"/>
  </w:style>
  <w:style w:type="paragraph" w:styleId="4">
    <w:name w:val="table of authorities"/>
    <w:basedOn w:val="1"/>
    <w:next w:val="1"/>
    <w:qFormat/>
    <w:uiPriority w:val="0"/>
    <w:pPr>
      <w:ind w:left="420" w:leftChars="200"/>
    </w:pPr>
  </w:style>
  <w:style w:type="paragraph" w:styleId="5">
    <w:name w:val="Normal Indent"/>
    <w:basedOn w:val="1"/>
    <w:next w:val="1"/>
    <w:qFormat/>
    <w:uiPriority w:val="0"/>
    <w:pPr>
      <w:ind w:firstLine="42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paragraph" w:styleId="9">
    <w:name w:val="Normal (Web)"/>
    <w:basedOn w:val="1"/>
    <w:qFormat/>
    <w:uiPriority w:val="0"/>
    <w:pPr>
      <w:spacing w:beforeAutospacing="1" w:afterAutospacing="1"/>
      <w:jc w:val="left"/>
    </w:pPr>
    <w:rPr>
      <w:rFonts w:cs="Times New Roman"/>
      <w:kern w:val="0"/>
      <w:sz w:val="24"/>
    </w:rPr>
  </w:style>
  <w:style w:type="paragraph" w:styleId="10">
    <w:name w:val="Title"/>
    <w:basedOn w:val="1"/>
    <w:next w:val="1"/>
    <w:qFormat/>
    <w:uiPriority w:val="0"/>
    <w:pPr>
      <w:widowControl/>
      <w:spacing w:after="240" w:line="360" w:lineRule="auto"/>
      <w:jc w:val="center"/>
    </w:pPr>
    <w:rPr>
      <w:rFonts w:ascii="Arial" w:hAnsi="Arial"/>
      <w:b/>
      <w:smallCaps/>
      <w:kern w:val="28"/>
      <w:sz w:val="36"/>
      <w:lang w:eastAsia="en-US"/>
    </w:rPr>
  </w:style>
  <w:style w:type="paragraph" w:customStyle="1" w:styleId="13">
    <w:name w:val="正文 New"/>
    <w:next w:val="14"/>
    <w:qFormat/>
    <w:uiPriority w:val="0"/>
    <w:pPr>
      <w:adjustRightInd w:val="0"/>
      <w:snapToGrid w:val="0"/>
      <w:spacing w:after="200"/>
    </w:pPr>
    <w:rPr>
      <w:rFonts w:ascii="Tahoma" w:hAnsi="Times New Roman" w:eastAsia="宋体" w:cs="Times New Roman"/>
      <w:b/>
      <w:sz w:val="58"/>
      <w:szCs w:val="32"/>
      <w:lang w:val="en-US" w:eastAsia="zh-CN" w:bidi="ar-SA"/>
    </w:rPr>
  </w:style>
  <w:style w:type="paragraph" w:customStyle="1" w:styleId="14">
    <w:name w:val="图表目录1"/>
    <w:basedOn w:val="13"/>
    <w:next w:val="1"/>
    <w:qFormat/>
    <w:uiPriority w:val="0"/>
    <w:pPr>
      <w:spacing w:before="100" w:beforeAutospacing="1" w:after="100" w:afterAutospacing="1"/>
      <w:ind w:left="200" w:leftChars="200" w:hanging="200" w:hangingChars="200"/>
    </w:pPr>
    <w:rPr>
      <w:rFonts w:ascii="Times New Roman"/>
      <w:sz w:val="21"/>
      <w:szCs w:val="21"/>
    </w:rPr>
  </w:style>
  <w:style w:type="paragraph" w:customStyle="1" w:styleId="15">
    <w:name w:val="正文 New New"/>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256</Words>
  <Characters>1462</Characters>
  <Lines>12</Lines>
  <Paragraphs>3</Paragraphs>
  <TotalTime>2</TotalTime>
  <ScaleCrop>false</ScaleCrop>
  <LinksUpToDate>false</LinksUpToDate>
  <CharactersWithSpaces>1715</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2025-05-22T08:51:00Z</dcterms:created>
  <dc:creator>Van Cogh</dc:creator>
  <cp:lastModifiedBy>user</cp:lastModifiedBy>
  <cp:lastPrinted>2025-05-18T09:02:00Z</cp:lastPrinted>
  <dcterms:modified xsi:type="dcterms:W3CDTF">2025-07-25T12:15:53Z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A5AC3DB876924DB696563F91C43C0347_13</vt:lpwstr>
  </property>
  <property fmtid="{D5CDD505-2E9C-101B-9397-08002B2CF9AE}" pid="4" name="KSOTemplateDocerSaveRecord">
    <vt:lpwstr>eyJoZGlkIjoiN2FiNzUwNjBhZmY5NTVlMjFkMzc1Yzk5MjI5NDMyMmIiLCJ1c2VySWQiOiIxOTk3MDA0NTQifQ==</vt:lpwstr>
  </property>
</Properties>
</file>