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000000"/>
          <w:sz w:val="30"/>
          <w:szCs w:val="30"/>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9"/>
        <w:rPr>
          <w:rFonts w:ascii="方正小标宋简体" w:hAnsi="宋体" w:eastAsia="方正小标宋简体"/>
          <w:sz w:val="72"/>
          <w:szCs w:val="72"/>
        </w:rPr>
      </w:pPr>
      <w:bookmarkStart w:id="1" w:name="_Toc15378441"/>
      <w:bookmarkStart w:id="2" w:name="_Toc15377425"/>
      <w:bookmarkStart w:id="3" w:name="_Toc15377193"/>
      <w:bookmarkStart w:id="4" w:name="_Toc15396597"/>
      <w:bookmarkStart w:id="5" w:name="_Toc15396475"/>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p>
    <w:bookmarkEnd w:id="0"/>
    <w:p>
      <w:pPr>
        <w:adjustRightInd w:val="0"/>
        <w:snapToGrid w:val="0"/>
        <w:spacing w:line="360" w:lineRule="auto"/>
        <w:jc w:val="center"/>
        <w:outlineLvl w:val="9"/>
        <w:rPr>
          <w:rFonts w:ascii="方正小标宋简体" w:hAnsi="宋体" w:eastAsia="方正小标宋简体"/>
          <w:sz w:val="72"/>
          <w:szCs w:val="72"/>
        </w:rPr>
      </w:pPr>
      <w:bookmarkStart w:id="6" w:name="_Toc15306268"/>
      <w:bookmarkStart w:id="7" w:name="_Toc15377194"/>
      <w:bookmarkStart w:id="8" w:name="_Toc15378442"/>
      <w:bookmarkStart w:id="9" w:name="_Toc15377426"/>
      <w:bookmarkStart w:id="10" w:name="_Toc15396476"/>
      <w:bookmarkStart w:id="11" w:name="_Toc15396598"/>
      <w:r>
        <w:rPr>
          <w:rFonts w:hint="eastAsia" w:ascii="方正小标宋简体" w:hAnsi="宋体" w:eastAsia="方正小标宋简体"/>
          <w:sz w:val="72"/>
          <w:szCs w:val="72"/>
        </w:rPr>
        <w:t>四川省商务发展事务中心</w:t>
      </w:r>
    </w:p>
    <w:p>
      <w:pPr>
        <w:adjustRightInd w:val="0"/>
        <w:snapToGrid w:val="0"/>
        <w:spacing w:line="360" w:lineRule="auto"/>
        <w:jc w:val="center"/>
        <w:outlineLvl w:val="9"/>
        <w:rPr>
          <w:rFonts w:ascii="方正小标宋简体" w:hAnsi="宋体" w:eastAsia="方正小标宋简体"/>
          <w:sz w:val="72"/>
          <w:szCs w:val="72"/>
        </w:rPr>
      </w:pPr>
      <w:r>
        <w:rPr>
          <w:rFonts w:hint="eastAsia" w:ascii="方正小标宋简体" w:hAnsi="宋体" w:eastAsia="方正小标宋简体"/>
          <w:sz w:val="72"/>
          <w:szCs w:val="72"/>
          <w:lang w:eastAsia="zh-CN"/>
        </w:rPr>
        <w:t>单位</w:t>
      </w:r>
      <w:r>
        <w:rPr>
          <w:rFonts w:hint="eastAsia" w:ascii="方正小标宋简体" w:hAnsi="宋体" w:eastAsia="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公开时间：2021年9月10日</w:t>
      </w:r>
    </w:p>
    <w:p/>
    <w:sdt>
      <w:sdtPr>
        <w:rPr>
          <w:rFonts w:ascii="宋体" w:hAnsi="宋体" w:eastAsia="宋体" w:cs="Times New Roman"/>
          <w:kern w:val="2"/>
          <w:sz w:val="21"/>
          <w:szCs w:val="24"/>
          <w:lang w:val="en-US" w:eastAsia="zh-CN" w:bidi="ar-SA"/>
        </w:rPr>
        <w:id w:val="147466083"/>
        <w15:color w:val="DBDBDB"/>
        <w:docPartObj>
          <w:docPartGallery w:val="Table of Contents"/>
          <w:docPartUnique/>
        </w:docPartObj>
      </w:sdtPr>
      <w:sdtEndPr>
        <w:rPr>
          <w:rFonts w:hint="eastAsia" w:ascii="黑体" w:hAnsi="黑体" w:eastAsia="黑体" w:cs="Times New Roman"/>
          <w:b/>
          <w:bCs/>
          <w:kern w:val="44"/>
          <w:sz w:val="44"/>
          <w:szCs w:val="44"/>
          <w:lang w:val="en-US" w:eastAsia="zh-CN" w:bidi="ar-SA"/>
        </w:rPr>
      </w:sdtEndPr>
      <w:sdtContent>
        <w:p>
          <w:pPr>
            <w:spacing w:before="0" w:beforeLines="0" w:after="0" w:afterLines="0" w:line="240" w:lineRule="auto"/>
            <w:ind w:left="0" w:leftChars="0" w:right="0" w:rightChars="0" w:firstLine="0" w:firstLineChars="0"/>
            <w:jc w:val="center"/>
          </w:pPr>
        </w:p>
        <w:p>
          <w:pPr>
            <w:pStyle w:val="10"/>
            <w:tabs>
              <w:tab w:val="right" w:leader="dot" w:pos="8306"/>
              <w:tab w:val="clear" w:pos="8296"/>
            </w:tabs>
          </w:pPr>
          <w:r>
            <w:rPr>
              <w:rFonts w:hint="eastAsia" w:ascii="黑体" w:hAnsi="黑体" w:eastAsia="黑体"/>
              <w:b w:val="0"/>
            </w:rPr>
            <w:fldChar w:fldCharType="begin"/>
          </w:r>
          <w:r>
            <w:rPr>
              <w:rFonts w:hint="eastAsia" w:ascii="黑体" w:hAnsi="黑体" w:eastAsia="黑体"/>
              <w:b w:val="0"/>
            </w:rPr>
            <w:instrText xml:space="preserve">TOC \o "1-2" \h \u </w:instrText>
          </w:r>
          <w:r>
            <w:rPr>
              <w:rFonts w:hint="eastAsia" w:ascii="黑体" w:hAnsi="黑体" w:eastAsia="黑体"/>
              <w:b w:val="0"/>
            </w:rPr>
            <w:fldChar w:fldCharType="separate"/>
          </w:r>
          <w:r>
            <w:rPr>
              <w:rFonts w:hint="eastAsia" w:ascii="黑体" w:hAnsi="黑体" w:eastAsia="黑体"/>
            </w:rPr>
            <w:fldChar w:fldCharType="begin"/>
          </w:r>
          <w:r>
            <w:rPr>
              <w:rFonts w:hint="eastAsia" w:ascii="黑体" w:hAnsi="黑体" w:eastAsia="黑体"/>
            </w:rPr>
            <w:instrText xml:space="preserve"> HYPERLINK \l _Toc867 </w:instrText>
          </w:r>
          <w:r>
            <w:rPr>
              <w:rFonts w:hint="eastAsia" w:ascii="黑体" w:hAnsi="黑体" w:eastAsia="黑体"/>
            </w:rPr>
            <w:fldChar w:fldCharType="separate"/>
          </w:r>
          <w:r>
            <w:rPr>
              <w:rFonts w:hint="eastAsia" w:ascii="黑体" w:hAnsi="黑体" w:eastAsia="黑体"/>
            </w:rPr>
            <w:t>第一部分 单位</w:t>
          </w:r>
          <w:r>
            <w:rPr>
              <w:rFonts w:hint="eastAsia" w:ascii="黑体" w:hAnsi="黑体" w:eastAsia="黑体"/>
              <w:bCs w:val="0"/>
            </w:rPr>
            <w:t>概况</w:t>
          </w:r>
          <w:r>
            <w:tab/>
          </w:r>
          <w:r>
            <w:fldChar w:fldCharType="begin"/>
          </w:r>
          <w:r>
            <w:instrText xml:space="preserve"> PAGEREF _Toc867 \h </w:instrText>
          </w:r>
          <w:r>
            <w:fldChar w:fldCharType="separate"/>
          </w:r>
          <w:r>
            <w:t>4</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_Toc18000 </w:instrText>
          </w:r>
          <w:r>
            <w:rPr>
              <w:rFonts w:hint="eastAsia" w:ascii="黑体" w:hAnsi="黑体" w:eastAsia="黑体"/>
            </w:rPr>
            <w:fldChar w:fldCharType="separate"/>
          </w:r>
          <w:r>
            <w:rPr>
              <w:rFonts w:hint="eastAsia" w:ascii="黑体" w:hAnsi="黑体" w:eastAsia="黑体"/>
            </w:rPr>
            <w:t>一、 职能简介</w:t>
          </w:r>
          <w:r>
            <w:tab/>
          </w:r>
          <w:r>
            <w:fldChar w:fldCharType="begin"/>
          </w:r>
          <w:r>
            <w:instrText xml:space="preserve"> PAGEREF _Toc18000 \h </w:instrText>
          </w:r>
          <w:r>
            <w:fldChar w:fldCharType="separate"/>
          </w:r>
          <w:r>
            <w:t>4</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_Toc3552 </w:instrText>
          </w:r>
          <w:r>
            <w:rPr>
              <w:rFonts w:hint="eastAsia" w:ascii="黑体" w:hAnsi="黑体" w:eastAsia="黑体"/>
            </w:rPr>
            <w:fldChar w:fldCharType="separate"/>
          </w:r>
          <w:r>
            <w:rPr>
              <w:rFonts w:hint="eastAsia" w:ascii="黑体" w:hAnsi="黑体" w:eastAsia="黑体"/>
            </w:rPr>
            <w:t>二、 2020年重点工作完成情况</w:t>
          </w:r>
          <w:r>
            <w:tab/>
          </w:r>
          <w:r>
            <w:fldChar w:fldCharType="begin"/>
          </w:r>
          <w:r>
            <w:instrText xml:space="preserve"> PAGEREF _Toc3552 \h </w:instrText>
          </w:r>
          <w:r>
            <w:fldChar w:fldCharType="separate"/>
          </w:r>
          <w:r>
            <w:t>4</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_Toc25495 </w:instrText>
          </w:r>
          <w:r>
            <w:rPr>
              <w:rFonts w:hint="eastAsia" w:ascii="黑体" w:hAnsi="黑体" w:eastAsia="黑体"/>
            </w:rPr>
            <w:fldChar w:fldCharType="separate"/>
          </w:r>
          <w:r>
            <w:rPr>
              <w:rFonts w:hint="eastAsia" w:ascii="黑体" w:hAnsi="黑体" w:eastAsia="黑体"/>
              <w:lang w:eastAsia="zh-CN"/>
            </w:rPr>
            <w:t>三、 机构设置情况</w:t>
          </w:r>
          <w:r>
            <w:tab/>
          </w:r>
          <w:r>
            <w:fldChar w:fldCharType="begin"/>
          </w:r>
          <w:r>
            <w:instrText xml:space="preserve"> PAGEREF _Toc25495 \h </w:instrText>
          </w:r>
          <w:r>
            <w:fldChar w:fldCharType="separate"/>
          </w:r>
          <w:r>
            <w:t>10</w:t>
          </w:r>
          <w:r>
            <w:fldChar w:fldCharType="end"/>
          </w:r>
          <w:r>
            <w:rPr>
              <w:rFonts w:hint="eastAsia" w:ascii="黑体" w:hAnsi="黑体" w:eastAsia="黑体"/>
            </w:rPr>
            <w:fldChar w:fldCharType="end"/>
          </w:r>
        </w:p>
        <w:p>
          <w:pPr>
            <w:pStyle w:val="10"/>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_Toc1263 </w:instrText>
          </w:r>
          <w:r>
            <w:rPr>
              <w:rFonts w:hint="eastAsia" w:ascii="黑体" w:hAnsi="黑体" w:eastAsia="黑体"/>
            </w:rPr>
            <w:fldChar w:fldCharType="separate"/>
          </w:r>
          <w:r>
            <w:rPr>
              <w:rFonts w:hint="eastAsia" w:ascii="黑体" w:hAnsi="黑体" w:eastAsia="黑体"/>
            </w:rPr>
            <w:t>第二部分 2020年度</w:t>
          </w:r>
          <w:r>
            <w:rPr>
              <w:rFonts w:hint="eastAsia" w:ascii="黑体" w:hAnsi="黑体" w:eastAsia="黑体"/>
              <w:bCs/>
              <w:lang w:eastAsia="zh-CN"/>
            </w:rPr>
            <w:t>单位</w:t>
          </w:r>
          <w:r>
            <w:rPr>
              <w:rFonts w:hint="eastAsia" w:ascii="黑体" w:hAnsi="黑体" w:eastAsia="黑体"/>
              <w:bCs/>
            </w:rPr>
            <w:t>决算情况说明</w:t>
          </w:r>
          <w:r>
            <w:tab/>
          </w:r>
          <w:r>
            <w:fldChar w:fldCharType="begin"/>
          </w:r>
          <w:r>
            <w:instrText xml:space="preserve"> PAGEREF _Toc1263 \h </w:instrText>
          </w:r>
          <w:r>
            <w:fldChar w:fldCharType="separate"/>
          </w:r>
          <w:r>
            <w:t>11</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_Toc607 </w:instrText>
          </w:r>
          <w:r>
            <w:rPr>
              <w:rFonts w:hint="eastAsia" w:ascii="黑体" w:hAnsi="黑体" w:eastAsia="黑体"/>
            </w:rPr>
            <w:fldChar w:fldCharType="separate"/>
          </w:r>
          <w:r>
            <w:rPr>
              <w:rFonts w:hint="default" w:ascii="黑体" w:hAnsi="黑体" w:eastAsia="黑体"/>
            </w:rPr>
            <w:t>一、</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_Toc607 \h </w:instrText>
          </w:r>
          <w:r>
            <w:fldChar w:fldCharType="separate"/>
          </w:r>
          <w:r>
            <w:t>11</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_Toc19161 </w:instrText>
          </w:r>
          <w:r>
            <w:rPr>
              <w:rFonts w:hint="eastAsia" w:ascii="黑体" w:hAnsi="黑体" w:eastAsia="黑体"/>
            </w:rPr>
            <w:fldChar w:fldCharType="separate"/>
          </w:r>
          <w:r>
            <w:rPr>
              <w:rFonts w:hint="default" w:ascii="黑体" w:hAnsi="黑体" w:eastAsia="黑体"/>
            </w:rPr>
            <w:t>二、</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_Toc19161 \h </w:instrText>
          </w:r>
          <w:r>
            <w:fldChar w:fldCharType="separate"/>
          </w:r>
          <w:r>
            <w:t>11</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_Toc16253 </w:instrText>
          </w:r>
          <w:r>
            <w:rPr>
              <w:rFonts w:hint="eastAsia" w:ascii="黑体" w:hAnsi="黑体" w:eastAsia="黑体"/>
            </w:rPr>
            <w:fldChar w:fldCharType="separate"/>
          </w:r>
          <w:r>
            <w:rPr>
              <w:rFonts w:hint="default" w:ascii="黑体" w:hAnsi="黑体" w:eastAsia="黑体"/>
            </w:rPr>
            <w:t>三、</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_Toc16253 \h </w:instrText>
          </w:r>
          <w:r>
            <w:fldChar w:fldCharType="separate"/>
          </w:r>
          <w:r>
            <w:t>12</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_Toc1542 </w:instrText>
          </w:r>
          <w:r>
            <w:rPr>
              <w:rFonts w:hint="eastAsia" w:ascii="黑体" w:hAnsi="黑体" w:eastAsia="黑体"/>
            </w:rP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_Toc1542 \h </w:instrText>
          </w:r>
          <w:r>
            <w:fldChar w:fldCharType="separate"/>
          </w:r>
          <w:r>
            <w:t>12</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_Toc22782 </w:instrText>
          </w:r>
          <w:r>
            <w:rPr>
              <w:rFonts w:hint="eastAsia" w:ascii="黑体" w:hAnsi="黑体" w:eastAsia="黑体"/>
            </w:rPr>
            <w:fldChar w:fldCharType="separate"/>
          </w:r>
          <w:r>
            <w:rPr>
              <w:rFonts w:hint="eastAsia" w:ascii="黑体" w:hAnsi="黑体" w:eastAsia="黑体"/>
            </w:rPr>
            <w:t>五、一般公共预算财政拨款支出决算情况说明</w:t>
          </w:r>
          <w:r>
            <w:tab/>
          </w:r>
          <w:r>
            <w:fldChar w:fldCharType="begin"/>
          </w:r>
          <w:r>
            <w:instrText xml:space="preserve"> PAGEREF _Toc22782 \h </w:instrText>
          </w:r>
          <w:r>
            <w:fldChar w:fldCharType="separate"/>
          </w:r>
          <w:r>
            <w:t>13</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_Toc28812 </w:instrText>
          </w:r>
          <w:r>
            <w:rPr>
              <w:rFonts w:hint="eastAsia" w:ascii="黑体" w:hAnsi="黑体" w:eastAsia="黑体"/>
            </w:rPr>
            <w:fldChar w:fldCharType="separate"/>
          </w:r>
          <w:r>
            <w:rPr>
              <w:rFonts w:hint="eastAsia" w:ascii="黑体" w:hAnsi="黑体" w:eastAsia="黑体"/>
            </w:rPr>
            <w:t>六、一般公共预算财政拨款基本支出决算情况说明</w:t>
          </w:r>
          <w:r>
            <w:tab/>
          </w:r>
          <w:r>
            <w:fldChar w:fldCharType="begin"/>
          </w:r>
          <w:r>
            <w:instrText xml:space="preserve"> PAGEREF _Toc28812 \h </w:instrText>
          </w:r>
          <w:r>
            <w:fldChar w:fldCharType="separate"/>
          </w:r>
          <w:r>
            <w:t>16</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_Toc11248 </w:instrText>
          </w:r>
          <w:r>
            <w:rPr>
              <w:rFonts w:hint="eastAsia" w:ascii="黑体" w:hAnsi="黑体" w:eastAsia="黑体"/>
            </w:rP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_Toc11248 \h </w:instrText>
          </w:r>
          <w:r>
            <w:fldChar w:fldCharType="separate"/>
          </w:r>
          <w:r>
            <w:t>16</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_Toc6475 </w:instrText>
          </w:r>
          <w:r>
            <w:rPr>
              <w:rFonts w:hint="eastAsia" w:ascii="黑体" w:hAnsi="黑体" w:eastAsia="黑体"/>
            </w:rP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_Toc6475 \h </w:instrText>
          </w:r>
          <w:r>
            <w:fldChar w:fldCharType="separate"/>
          </w:r>
          <w:r>
            <w:t>18</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_Toc16788 </w:instrText>
          </w:r>
          <w:r>
            <w:rPr>
              <w:rFonts w:hint="eastAsia" w:ascii="黑体" w:hAnsi="黑体" w:eastAsia="黑体"/>
            </w:rPr>
            <w:fldChar w:fldCharType="separate"/>
          </w:r>
          <w:r>
            <w:rPr>
              <w:rFonts w:hint="eastAsia" w:ascii="黑体" w:hAnsi="黑体" w:eastAsia="黑体"/>
            </w:rPr>
            <w:t>九、 国有资本经营预算支出决算情况说明</w:t>
          </w:r>
          <w:r>
            <w:tab/>
          </w:r>
          <w:r>
            <w:fldChar w:fldCharType="begin"/>
          </w:r>
          <w:r>
            <w:instrText xml:space="preserve"> PAGEREF _Toc16788 \h </w:instrText>
          </w:r>
          <w:r>
            <w:fldChar w:fldCharType="separate"/>
          </w:r>
          <w:r>
            <w:t>18</w:t>
          </w:r>
          <w: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_Toc19160 </w:instrText>
          </w:r>
          <w:r>
            <w:rPr>
              <w:rFonts w:hint="eastAsia" w:ascii="黑体" w:hAnsi="黑体" w:eastAsia="黑体"/>
            </w:rPr>
            <w:fldChar w:fldCharType="separate"/>
          </w:r>
          <w:r>
            <w:rPr>
              <w:rFonts w:hint="eastAsia" w:ascii="黑体" w:hAnsi="黑体" w:eastAsia="黑体"/>
            </w:rPr>
            <w:t>十、 其他重要事项的情况说明</w:t>
          </w:r>
          <w:r>
            <w:tab/>
          </w:r>
          <w:r>
            <w:fldChar w:fldCharType="begin"/>
          </w:r>
          <w:r>
            <w:instrText xml:space="preserve"> PAGEREF _Toc19160 \h </w:instrText>
          </w:r>
          <w:r>
            <w:fldChar w:fldCharType="separate"/>
          </w:r>
          <w:r>
            <w:t>18</w:t>
          </w:r>
          <w:r>
            <w:fldChar w:fldCharType="end"/>
          </w:r>
          <w:r>
            <w:rPr>
              <w:rFonts w:hint="eastAsia" w:ascii="黑体" w:hAnsi="黑体" w:eastAsia="黑体"/>
            </w:rPr>
            <w:fldChar w:fldCharType="end"/>
          </w:r>
        </w:p>
        <w:p>
          <w:pPr>
            <w:pStyle w:val="10"/>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_Toc28447 </w:instrText>
          </w:r>
          <w:r>
            <w:rPr>
              <w:rFonts w:hint="eastAsia" w:ascii="黑体" w:hAnsi="黑体" w:eastAsia="黑体"/>
            </w:rPr>
            <w:fldChar w:fldCharType="separate"/>
          </w:r>
          <w:r>
            <w:rPr>
              <w:rFonts w:hint="eastAsia" w:ascii="黑体" w:hAnsi="黑体" w:eastAsia="黑体" w:cs="黑体"/>
              <w:szCs w:val="44"/>
            </w:rPr>
            <w:t xml:space="preserve">第三部分 </w:t>
          </w:r>
          <w:r>
            <w:rPr>
              <w:rFonts w:hint="eastAsia" w:ascii="黑体" w:hAnsi="黑体" w:eastAsia="黑体"/>
              <w:szCs w:val="44"/>
            </w:rPr>
            <w:t>名</w:t>
          </w:r>
          <w:r>
            <w:rPr>
              <w:rFonts w:hint="eastAsia" w:ascii="黑体" w:hAnsi="黑体" w:eastAsia="黑体"/>
            </w:rPr>
            <w:t>词解释</w:t>
          </w:r>
          <w:r>
            <w:tab/>
          </w:r>
          <w:r>
            <w:fldChar w:fldCharType="begin"/>
          </w:r>
          <w:r>
            <w:instrText xml:space="preserve"> PAGEREF _Toc28447 \h </w:instrText>
          </w:r>
          <w:r>
            <w:fldChar w:fldCharType="separate"/>
          </w:r>
          <w:r>
            <w:t>30</w:t>
          </w:r>
          <w:r>
            <w:fldChar w:fldCharType="end"/>
          </w:r>
          <w:r>
            <w:rPr>
              <w:rFonts w:hint="eastAsia" w:ascii="黑体" w:hAnsi="黑体" w:eastAsia="黑体"/>
            </w:rPr>
            <w:fldChar w:fldCharType="end"/>
          </w:r>
        </w:p>
        <w:p>
          <w:pPr>
            <w:pStyle w:val="10"/>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_Toc11969 </w:instrText>
          </w:r>
          <w:r>
            <w:rPr>
              <w:rFonts w:hint="eastAsia" w:ascii="黑体" w:hAnsi="黑体" w:eastAsia="黑体"/>
            </w:rPr>
            <w:fldChar w:fldCharType="separate"/>
          </w:r>
          <w:r>
            <w:rPr>
              <w:rFonts w:hint="eastAsia" w:ascii="黑体" w:hAnsi="黑体" w:eastAsia="黑体"/>
              <w:szCs w:val="44"/>
            </w:rPr>
            <w:t>第</w:t>
          </w:r>
          <w:r>
            <w:rPr>
              <w:rFonts w:hint="eastAsia" w:ascii="黑体" w:hAnsi="黑体" w:eastAsia="黑体"/>
            </w:rPr>
            <w:t>四部分 附件</w:t>
          </w:r>
          <w:r>
            <w:tab/>
          </w:r>
          <w:r>
            <w:fldChar w:fldCharType="begin"/>
          </w:r>
          <w:r>
            <w:instrText xml:space="preserve"> PAGEREF _Toc11969 \h </w:instrText>
          </w:r>
          <w:r>
            <w:fldChar w:fldCharType="separate"/>
          </w:r>
          <w:r>
            <w:t>32</w:t>
          </w:r>
          <w:r>
            <w:fldChar w:fldCharType="end"/>
          </w:r>
          <w:r>
            <w:rPr>
              <w:rFonts w:hint="eastAsia" w:ascii="黑体" w:hAnsi="黑体" w:eastAsia="黑体"/>
            </w:rPr>
            <w:fldChar w:fldCharType="end"/>
          </w:r>
        </w:p>
        <w:p>
          <w:pPr>
            <w:pStyle w:val="10"/>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_Toc25707 </w:instrText>
          </w:r>
          <w:r>
            <w:rPr>
              <w:rFonts w:hint="eastAsia" w:ascii="黑体" w:hAnsi="黑体" w:eastAsia="黑体"/>
            </w:rPr>
            <w:fldChar w:fldCharType="separate"/>
          </w:r>
          <w:r>
            <w:rPr>
              <w:rFonts w:hint="eastAsia" w:ascii="黑体" w:hAnsi="黑体" w:eastAsia="黑体"/>
              <w:szCs w:val="44"/>
            </w:rPr>
            <w:t>第</w:t>
          </w:r>
          <w:r>
            <w:rPr>
              <w:rFonts w:hint="eastAsia" w:ascii="黑体" w:hAnsi="黑体" w:eastAsia="黑体"/>
            </w:rPr>
            <w:t>五部分 附表</w:t>
          </w:r>
          <w:r>
            <w:tab/>
          </w:r>
          <w:r>
            <w:fldChar w:fldCharType="begin"/>
          </w:r>
          <w:r>
            <w:instrText xml:space="preserve"> PAGEREF _Toc25707 \h </w:instrText>
          </w:r>
          <w:r>
            <w:fldChar w:fldCharType="separate"/>
          </w:r>
          <w:r>
            <w:t>48</w:t>
          </w:r>
          <w: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_Toc14319 </w:instrText>
          </w:r>
          <w:r>
            <w:rPr>
              <w:rFonts w:hint="eastAsia" w:ascii="黑体" w:hAnsi="黑体" w:eastAsia="黑体"/>
            </w:rPr>
            <w:fldChar w:fldCharType="separate"/>
          </w:r>
          <w:r>
            <w:rPr>
              <w:rFonts w:hint="eastAsia" w:ascii="黑体" w:hAnsi="黑体" w:eastAsia="黑体"/>
              <w:lang w:val="en-US" w:eastAsia="zh-CN"/>
            </w:rPr>
            <w:t>一、收入支出决算</w:t>
          </w:r>
          <w:r>
            <w:rPr>
              <w:rFonts w:hint="eastAsia" w:ascii="黑体" w:hAnsi="黑体" w:eastAsia="黑体"/>
            </w:rPr>
            <w:t>总表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_Toc14319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_Toc10569 </w:instrText>
          </w:r>
          <w:r>
            <w:rPr>
              <w:rFonts w:hint="eastAsia" w:ascii="黑体" w:hAnsi="黑体" w:eastAsia="黑体"/>
            </w:rPr>
            <w:fldChar w:fldCharType="separate"/>
          </w:r>
          <w:r>
            <w:rPr>
              <w:rFonts w:hint="eastAsia" w:ascii="黑体" w:hAnsi="黑体" w:eastAsia="黑体"/>
            </w:rPr>
            <w:t>二、收入决算表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_Toc10569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_Toc30010 </w:instrText>
          </w:r>
          <w:r>
            <w:rPr>
              <w:rFonts w:hint="eastAsia" w:ascii="黑体" w:hAnsi="黑体" w:eastAsia="黑体"/>
            </w:rPr>
            <w:fldChar w:fldCharType="separate"/>
          </w:r>
          <w:r>
            <w:rPr>
              <w:rFonts w:hint="eastAsia" w:ascii="黑体" w:hAnsi="黑体" w:eastAsia="黑体"/>
            </w:rPr>
            <w:t>三、支出决算表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_Toc30010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_Toc18007 </w:instrText>
          </w:r>
          <w:r>
            <w:rPr>
              <w:rFonts w:hint="eastAsia" w:ascii="黑体" w:hAnsi="黑体" w:eastAsia="黑体"/>
            </w:rPr>
            <w:fldChar w:fldCharType="separate"/>
          </w:r>
          <w:r>
            <w:rPr>
              <w:rFonts w:hint="eastAsia" w:ascii="黑体" w:hAnsi="黑体" w:eastAsia="黑体"/>
            </w:rPr>
            <w:t>四、财政拨款收入支出决算总表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_Toc18007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_Toc13668 </w:instrText>
          </w:r>
          <w:r>
            <w:rPr>
              <w:rFonts w:hint="eastAsia" w:ascii="黑体" w:hAnsi="黑体" w:eastAsia="黑体"/>
            </w:rPr>
            <w:fldChar w:fldCharType="separate"/>
          </w:r>
          <w:r>
            <w:rPr>
              <w:rFonts w:hint="eastAsia" w:ascii="黑体" w:hAnsi="黑体" w:eastAsia="黑体"/>
            </w:rPr>
            <w:t>五、财政拨款支出决算明细表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_Toc13668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_Toc32129 </w:instrText>
          </w:r>
          <w:r>
            <w:rPr>
              <w:rFonts w:hint="eastAsia" w:ascii="黑体" w:hAnsi="黑体" w:eastAsia="黑体"/>
            </w:rPr>
            <w:fldChar w:fldCharType="separate"/>
          </w:r>
          <w:r>
            <w:rPr>
              <w:rFonts w:hint="eastAsia" w:ascii="黑体" w:hAnsi="黑体" w:eastAsia="黑体"/>
            </w:rPr>
            <w:t>六、一般公共预算财政拨款支出决算表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_Toc32129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_Toc28690 </w:instrText>
          </w:r>
          <w:r>
            <w:rPr>
              <w:rFonts w:hint="eastAsia" w:ascii="黑体" w:hAnsi="黑体" w:eastAsia="黑体"/>
            </w:rPr>
            <w:fldChar w:fldCharType="separate"/>
          </w:r>
          <w:r>
            <w:rPr>
              <w:rFonts w:hint="eastAsia" w:ascii="黑体" w:hAnsi="黑体" w:eastAsia="黑体"/>
            </w:rPr>
            <w:t>七、一般公共预算财政拨款支出决算明细表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_Toc28690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_Toc22425 </w:instrText>
          </w:r>
          <w:r>
            <w:rPr>
              <w:rFonts w:hint="eastAsia" w:ascii="黑体" w:hAnsi="黑体" w:eastAsia="黑体"/>
            </w:rPr>
            <w:fldChar w:fldCharType="separate"/>
          </w:r>
          <w:r>
            <w:rPr>
              <w:rFonts w:hint="eastAsia" w:ascii="黑体" w:hAnsi="黑体" w:eastAsia="黑体"/>
            </w:rPr>
            <w:t>八、一般公共预算财政拨款基本支出决算表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_Toc22425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_Toc17285 </w:instrText>
          </w:r>
          <w:r>
            <w:rPr>
              <w:rFonts w:hint="eastAsia" w:ascii="黑体" w:hAnsi="黑体" w:eastAsia="黑体"/>
            </w:rPr>
            <w:fldChar w:fldCharType="separate"/>
          </w:r>
          <w:r>
            <w:rPr>
              <w:rFonts w:hint="eastAsia" w:ascii="黑体" w:hAnsi="黑体" w:eastAsia="黑体"/>
            </w:rPr>
            <w:t>九、一般公共预算财政拨款项目支出决算表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_Toc17285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_Toc14254 </w:instrText>
          </w:r>
          <w:r>
            <w:rPr>
              <w:rFonts w:hint="eastAsia" w:ascii="黑体" w:hAnsi="黑体" w:eastAsia="黑体"/>
            </w:rPr>
            <w:fldChar w:fldCharType="separate"/>
          </w:r>
          <w:r>
            <w:rPr>
              <w:rFonts w:hint="eastAsia" w:ascii="黑体" w:hAnsi="黑体" w:eastAsia="黑体"/>
            </w:rPr>
            <w:t>十、一般公共预算财政拨款“三公”经费支出决算表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_Toc14254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_Toc5404 </w:instrText>
          </w:r>
          <w:r>
            <w:rPr>
              <w:rFonts w:hint="eastAsia" w:ascii="黑体" w:hAnsi="黑体" w:eastAsia="黑体"/>
            </w:rPr>
            <w:fldChar w:fldCharType="separate"/>
          </w:r>
          <w:r>
            <w:rPr>
              <w:rFonts w:hint="eastAsia" w:ascii="黑体" w:hAnsi="黑体" w:eastAsia="黑体"/>
            </w:rPr>
            <w:t>十一、政府性基金预算财政拨款收入支出决算表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_Toc5404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_Toc27138 </w:instrText>
          </w:r>
          <w:r>
            <w:rPr>
              <w:rFonts w:hint="eastAsia" w:ascii="黑体" w:hAnsi="黑体" w:eastAsia="黑体"/>
            </w:rPr>
            <w:fldChar w:fldCharType="separate"/>
          </w:r>
          <w:r>
            <w:rPr>
              <w:rFonts w:hint="eastAsia" w:ascii="黑体" w:hAnsi="黑体" w:eastAsia="黑体"/>
            </w:rPr>
            <w:t>十二、政府性基金预算财政拨款“三公”经费支出决算表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_Toc27138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rPr>
              <w:rFonts w:hint="eastAsia" w:ascii="黑体" w:hAnsi="黑体" w:eastAsia="黑体"/>
            </w:rPr>
          </w:pPr>
          <w:r>
            <w:rPr>
              <w:rFonts w:hint="eastAsia" w:ascii="黑体" w:hAnsi="黑体" w:eastAsia="黑体"/>
            </w:rPr>
            <w:fldChar w:fldCharType="begin"/>
          </w:r>
          <w:r>
            <w:rPr>
              <w:rFonts w:hint="eastAsia" w:ascii="黑体" w:hAnsi="黑体" w:eastAsia="黑体"/>
            </w:rPr>
            <w:instrText xml:space="preserve"> HYPERLINK \l _Toc4842 </w:instrText>
          </w:r>
          <w:r>
            <w:rPr>
              <w:rFonts w:hint="eastAsia" w:ascii="黑体" w:hAnsi="黑体" w:eastAsia="黑体"/>
            </w:rPr>
            <w:fldChar w:fldCharType="separate"/>
          </w:r>
          <w:r>
            <w:rPr>
              <w:rFonts w:hint="eastAsia" w:ascii="黑体" w:hAnsi="黑体" w:eastAsia="黑体"/>
            </w:rPr>
            <w:t>十三、国有资本经营预算财政拨款收入支出决算表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_Toc4842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11"/>
            <w:tabs>
              <w:tab w:val="right" w:leader="dot" w:pos="8306"/>
              <w:tab w:val="clear" w:pos="8296"/>
            </w:tabs>
          </w:pPr>
          <w:r>
            <w:rPr>
              <w:rFonts w:hint="eastAsia" w:ascii="黑体" w:hAnsi="黑体" w:eastAsia="黑体"/>
            </w:rPr>
            <w:fldChar w:fldCharType="begin"/>
          </w:r>
          <w:r>
            <w:rPr>
              <w:rFonts w:hint="eastAsia" w:ascii="黑体" w:hAnsi="黑体" w:eastAsia="黑体"/>
            </w:rPr>
            <w:instrText xml:space="preserve"> HYPERLINK \l _Toc5077 </w:instrText>
          </w:r>
          <w:r>
            <w:rPr>
              <w:rFonts w:hint="eastAsia" w:ascii="黑体" w:hAnsi="黑体" w:eastAsia="黑体"/>
            </w:rPr>
            <w:fldChar w:fldCharType="separate"/>
          </w:r>
          <w:r>
            <w:rPr>
              <w:rFonts w:hint="eastAsia" w:ascii="黑体" w:hAnsi="黑体" w:eastAsia="黑体"/>
            </w:rPr>
            <w:t>十四、国有资本经营预算财政拨款支出决算表</w:t>
          </w:r>
          <w:r>
            <w:rPr>
              <w:rFonts w:hint="eastAsia" w:ascii="黑体" w:hAnsi="黑体" w:eastAsia="黑体"/>
            </w:rPr>
            <w:tab/>
          </w:r>
          <w:r>
            <w:rPr>
              <w:rFonts w:hint="eastAsia" w:ascii="黑体" w:hAnsi="黑体" w:eastAsia="黑体"/>
            </w:rPr>
            <w:fldChar w:fldCharType="begin"/>
          </w:r>
          <w:r>
            <w:rPr>
              <w:rFonts w:hint="eastAsia" w:ascii="黑体" w:hAnsi="黑体" w:eastAsia="黑体"/>
            </w:rPr>
            <w:instrText xml:space="preserve"> PAGEREF _Toc5077 \h </w:instrText>
          </w:r>
          <w:r>
            <w:rPr>
              <w:rFonts w:hint="eastAsia" w:ascii="黑体" w:hAnsi="黑体" w:eastAsia="黑体"/>
            </w:rPr>
            <w:fldChar w:fldCharType="separate"/>
          </w:r>
          <w:r>
            <w:rPr>
              <w:rFonts w:hint="eastAsia" w:ascii="黑体" w:hAnsi="黑体" w:eastAsia="黑体"/>
            </w:rPr>
            <w:t>49</w:t>
          </w:r>
          <w:r>
            <w:rPr>
              <w:rFonts w:hint="eastAsia" w:ascii="黑体" w:hAnsi="黑体" w:eastAsia="黑体"/>
            </w:rPr>
            <w:fldChar w:fldCharType="end"/>
          </w:r>
          <w:r>
            <w:rPr>
              <w:rFonts w:hint="eastAsia" w:ascii="黑体" w:hAnsi="黑体" w:eastAsia="黑体"/>
            </w:rPr>
            <w:fldChar w:fldCharType="end"/>
          </w:r>
        </w:p>
        <w:p>
          <w:pPr>
            <w:pStyle w:val="3"/>
            <w:jc w:val="both"/>
            <w:outlineLvl w:val="9"/>
            <w:rPr>
              <w:rFonts w:hint="eastAsia" w:ascii="黑体" w:hAnsi="黑体" w:eastAsia="黑体"/>
              <w:b w:val="0"/>
            </w:rPr>
          </w:pPr>
          <w:r>
            <w:rPr>
              <w:rFonts w:hint="eastAsia" w:ascii="黑体" w:hAnsi="黑体" w:eastAsia="黑体"/>
            </w:rPr>
            <w:fldChar w:fldCharType="end"/>
          </w:r>
        </w:p>
      </w:sdtContent>
    </w:sdt>
    <w:p>
      <w:pPr>
        <w:pStyle w:val="3"/>
        <w:jc w:val="both"/>
        <w:outlineLvl w:val="9"/>
        <w:rPr>
          <w:rFonts w:hint="default" w:ascii="黑体" w:hAnsi="黑体" w:eastAsia="黑体"/>
          <w:b w:val="0"/>
          <w:lang w:val="en-US" w:eastAsia="zh-CN"/>
        </w:rPr>
      </w:pPr>
    </w:p>
    <w:p>
      <w:pPr>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pStyle w:val="2"/>
        <w:rPr>
          <w:rFonts w:hint="default" w:ascii="黑体" w:hAnsi="黑体" w:eastAsia="黑体"/>
          <w:b w:val="0"/>
          <w:lang w:val="en-US" w:eastAsia="zh-CN"/>
        </w:rPr>
      </w:pPr>
    </w:p>
    <w:p>
      <w:pPr>
        <w:rPr>
          <w:rFonts w:hint="eastAsia"/>
        </w:rPr>
      </w:pPr>
    </w:p>
    <w:p>
      <w:pPr>
        <w:pStyle w:val="3"/>
        <w:jc w:val="center"/>
        <w:rPr>
          <w:rStyle w:val="25"/>
          <w:rFonts w:ascii="黑体" w:hAnsi="黑体" w:eastAsia="黑体"/>
          <w:b/>
          <w:bCs w:val="0"/>
        </w:rPr>
      </w:pPr>
      <w:bookmarkStart w:id="147" w:name="_GoBack"/>
      <w:bookmarkStart w:id="12" w:name="_Toc867"/>
      <w:r>
        <w:rPr>
          <w:rFonts w:hint="eastAsia" w:ascii="黑体" w:hAnsi="黑体" w:eastAsia="黑体"/>
          <w:b w:val="0"/>
        </w:rPr>
        <w:t>第一部分 单位</w:t>
      </w:r>
      <w:r>
        <w:rPr>
          <w:rStyle w:val="25"/>
          <w:rFonts w:hint="eastAsia" w:ascii="黑体" w:hAnsi="黑体" w:eastAsia="黑体"/>
          <w:b w:val="0"/>
          <w:bCs w:val="0"/>
        </w:rPr>
        <w:t>概况</w:t>
      </w:r>
      <w:bookmarkEnd w:id="12"/>
    </w:p>
    <w:bookmarkEnd w:id="147"/>
    <w:p>
      <w:pPr>
        <w:widowControl/>
        <w:jc w:val="left"/>
        <w:rPr>
          <w:rFonts w:ascii="黑体" w:eastAsia="黑体"/>
          <w:sz w:val="32"/>
          <w:szCs w:val="32"/>
        </w:rPr>
      </w:pPr>
    </w:p>
    <w:p>
      <w:pPr>
        <w:pStyle w:val="4"/>
        <w:numPr>
          <w:ilvl w:val="0"/>
          <w:numId w:val="1"/>
        </w:numPr>
        <w:rPr>
          <w:rFonts w:hint="eastAsia" w:ascii="黑体" w:hAnsi="黑体" w:eastAsia="黑体"/>
          <w:b w:val="0"/>
        </w:rPr>
      </w:pPr>
      <w:bookmarkStart w:id="13" w:name="_Toc18000"/>
      <w:bookmarkStart w:id="14" w:name="_Toc155129255_WPSOffice_Level2"/>
      <w:bookmarkStart w:id="15" w:name="_Toc15396600"/>
      <w:bookmarkStart w:id="16" w:name="_Toc15377197"/>
      <w:r>
        <w:rPr>
          <w:rFonts w:hint="eastAsia" w:ascii="黑体" w:hAnsi="黑体" w:eastAsia="黑体"/>
          <w:b w:val="0"/>
        </w:rPr>
        <w:t>职能简介</w:t>
      </w:r>
      <w:bookmarkEnd w:id="13"/>
      <w:bookmarkEnd w:id="14"/>
    </w:p>
    <w:p>
      <w:pPr>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rPr>
        <w:t>四川省商务发展事务中心是根据《中共四川省委机构编制委员会办公室关于省商务厅所属事业单位整                                                                                                                                                                                                                                                                                                                                                                                                                                                                                                                                                                   合规范等事项的通知》（川编办发[2015]75号）要求，整合省国际经济合作事务中心，省对外贸易服务中心，省外商投资企业服务中心，组建成立的公益二类事业单位。主要承担促进服务业、商贸流通、开放性经济发展等事务性工作。</w:t>
      </w:r>
    </w:p>
    <w:p>
      <w:pPr>
        <w:pStyle w:val="4"/>
        <w:numPr>
          <w:ilvl w:val="0"/>
          <w:numId w:val="1"/>
        </w:numPr>
        <w:rPr>
          <w:rFonts w:ascii="黑体" w:hAnsi="黑体" w:eastAsia="黑体"/>
          <w:b w:val="0"/>
        </w:rPr>
      </w:pPr>
      <w:bookmarkStart w:id="17" w:name="_Toc3552"/>
      <w:bookmarkStart w:id="18" w:name="_Toc1121244782_WPSOffice_Level2"/>
      <w:r>
        <w:rPr>
          <w:rFonts w:hint="eastAsia" w:ascii="黑体" w:hAnsi="黑体" w:eastAsia="黑体"/>
          <w:b w:val="0"/>
        </w:rPr>
        <w:t>2020年重点工作</w:t>
      </w:r>
      <w:bookmarkEnd w:id="15"/>
      <w:bookmarkEnd w:id="16"/>
      <w:r>
        <w:rPr>
          <w:rFonts w:hint="eastAsia" w:ascii="黑体" w:hAnsi="黑体" w:eastAsia="黑体"/>
          <w:b w:val="0"/>
        </w:rPr>
        <w:t>完成情况</w:t>
      </w:r>
      <w:bookmarkEnd w:id="17"/>
      <w:bookmarkEnd w:id="18"/>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（一）</w:t>
      </w:r>
      <w:r>
        <w:rPr>
          <w:rFonts w:hint="eastAsia" w:ascii="仿宋_GB2312" w:hAnsi="仿宋_GB2312" w:eastAsia="仿宋_GB2312" w:cs="仿宋_GB2312"/>
          <w:kern w:val="2"/>
          <w:sz w:val="32"/>
          <w:szCs w:val="32"/>
        </w:rPr>
        <w:t>筑牢根基，党建工作持续加强。</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心始终坚持把党建工作作为一切工作的出发点，紧密结合干部职工队伍建设和业务发展实际，持续加强党建工作。一是夯实理论武装。支部严格按照党章党规开展组织生活，本年度共召开党员大会4次，主题党日活动1次，书记上党课1次，党纪党规测试1次；二是严守廉政底线。注重廉政教育，组织观看专题片，促使支部党员懂法纪、明规矩，知敬畏、存戒惧。落实三重一大，党务公开、党内重大事项公示等工作制度，做到程序化、规范化、制度化；三是加强队伍建设。重视对入党积极分子的培养锻炼，严谨负责地为14名暂停党籍的党员办理了恢复其组织关系的手续。</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（二）</w:t>
      </w:r>
      <w:r>
        <w:rPr>
          <w:rFonts w:hint="eastAsia" w:ascii="仿宋_GB2312" w:hAnsi="仿宋_GB2312" w:eastAsia="仿宋_GB2312" w:cs="仿宋_GB2312"/>
          <w:kern w:val="2"/>
          <w:sz w:val="32"/>
          <w:szCs w:val="32"/>
        </w:rPr>
        <w:t>主动作为，疫情防控取得成效。</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是做好本单位疫情防控工作。中心把坚决打赢疫情防控阻击战、市场保供攻坚战作为最大政治任务，成立疫情防控领导小组，牵头制定《疫情防控工作方案》，建立层级防控体系。在承办各种会展活动中，把疫情防控摆在重要位置抓实抓细，特别是在第三届进博会期间，协同厅秩序处印发防疫指引，提前采购防疫物资，组织参会人员进行两次核酸采样，确保我省交易团所有参会人员安全赴沪，平安回蓉；二是发挥支部战斗堡垒作用。全体干部职工在党组织带领下，发挥党员模范带头作用，借助国内外资源和渠道优势，全力发动驻外机构、国内外企业和亲戚朋友，多渠道筹集医用口罩、护目镜、防护服等省内紧缺医疗防疫物资。累计从荷兰等9个国家采集到24批医疗物资信息；三是助力商务领域疫情防控。捐赠或协助捐赠医用防护服625套、鸡肉500吨、紫米粥、牛奶等各类物资2000件，总价值500余万元，为我省相关单位疫情防控贡献了力量。</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（三）</w:t>
      </w:r>
      <w:r>
        <w:rPr>
          <w:rFonts w:hint="eastAsia" w:ascii="仿宋_GB2312" w:hAnsi="仿宋_GB2312" w:eastAsia="仿宋_GB2312" w:cs="仿宋_GB2312"/>
          <w:kern w:val="2"/>
          <w:sz w:val="32"/>
          <w:szCs w:val="32"/>
        </w:rPr>
        <w:t>精准发力，商务扶贫深入推进。</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心党支部加强组织领导，建立工作机制，形成专项脱贫工作方案，采取“以购代捐”、结对帮扶、教育帮扶等措施积极开展扶贫工作。一是为贫困地区捐赠抗疫物资。疫情防控期间，中心向双溜索乡捐赠医用口罩410只、额温枪2只、消毒粉7公斤，向越西县人民医院捐赠N95口罩1010只，助力当地防疫；二是切实解决帮扶对象实际困难。定期与定点帮扶对象联系，关心其生产生活情况，为木苏镇团结村与彭州市合作发展糖醋蒜产业牵线搭桥，延伸双溜索乡大蒜产业链，继续资助困难学生上学读书；三是扎实开展“以购代捐”工作。组织参与“以购代捐”6次，共计购买产品近1.6万元；四是支持驻村干部工作。积极与部分川菜企业联系，帮助驻村干部所在的木苏镇销售2千斤蒜苗，并补贴运费1万元，帮助降低运费成本，以实际行动支持驻村干部工作。</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（四）</w:t>
      </w:r>
      <w:r>
        <w:rPr>
          <w:rFonts w:hint="eastAsia" w:ascii="仿宋_GB2312" w:hAnsi="仿宋_GB2312" w:eastAsia="仿宋_GB2312" w:cs="仿宋_GB2312"/>
          <w:kern w:val="2"/>
          <w:sz w:val="32"/>
          <w:szCs w:val="32"/>
        </w:rPr>
        <w:t>苦练内功，内部管理高效有序。</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照“以制度促规范，以规范促工作”的思路，中心狠抓内部管理，进一步激发工作活力。一是制度建设更加完善。对所有已出台的规章制度再次梳理修订，形成《制度汇编》，从职能职责、党风廉政建设、行政管理、人力资源管理、财务管理制度等六大部分，对工作各个方面进行规定，内容详实具体，操作性强，为推动各项工作良好运转提供制度保障；二是后勤保障更加顺畅。切实做好办公区的环境卫生及绿化管理，加强对固定资产及办公设备管理，做好办公设备维护维修工作，妥善解决过渡办公用房问题，有序组织实施搬家，积极想办法解决员工午餐问题；三是人员结构更加优化。严格选人用人，努力实现人力资源优化配置，认真做好本单位职工的招聘与续聘，优化员工年龄、知识结构。2020年，共计续聘职工6人，其中编内2人、编外4人，与1名编外人员解除劳动合同。目前，中心5个业务部门共19人，平均年龄38岁，大学本科及以上学历17人，业务部门人员结构进一步朝着年轻化和专业化方向发展；四是纪律执行更加严格。财务报销、比选招投标、项目风险评估等重大廉政风险领域的工作纪律和流程更加完善，干部职工纪律意识、规矩意识、风险意识进一步加强，全年未发现违反纪律和规矩的现象出现。</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（五）</w:t>
      </w:r>
      <w:r>
        <w:rPr>
          <w:rFonts w:hint="eastAsia" w:ascii="仿宋_GB2312" w:hAnsi="仿宋_GB2312" w:eastAsia="仿宋_GB2312" w:cs="仿宋_GB2312"/>
          <w:kern w:val="2"/>
          <w:sz w:val="32"/>
          <w:szCs w:val="32"/>
        </w:rPr>
        <w:t>提质增效，各项业务稳步推进。</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2020年上半年由于疫情冲击，中心各项业务受到一定影响，下半年随着国内疫情得到有效控制，生产生活逐步恢复正常，中心全体干部职工，开拓进取，努力工作，尽最大努力减轻疫情对业务工作带来的影响，取得了一定成绩。一是在经贸活动方面。先后承办10多项国家、省级层面的重要经贸活动，如对外经贸新春交流会，“台资企业拓内销”线上推介对接活动，第三届进博会首场招商路演、第三届进博会四川省国家级经济技术开发区产业链全球合作对接会，承担第三届进博会、中国国际服务贸易交易会、127、128届广交会、17届东盟博览会四川交易团的服务工作，参与主办第九届茶博会咖啡展，第八届健康和养老四川国际产业博览会，以上活动均得到了有关领导和企业的高度认可；二是在商贸流通方面。结合商务扶贫工作和流通领域供给侧改革，承办全国农商互联暨精准扶贫产销对接，川货全国行重庆站，川货新春大拜年深圳行、阿坝州消费扶贫实景直播等活动，共计组织超过数百家企业在省内省外通过展示展销、产销对接、品牌推介、市场考察等方式，与当地知名商超和采购商开展精准对接，助推四川产品特别是扶贫产品“川货出川”；三是在人才培训方面，充分发挥财政资金优势，紧密结合当前企业需求，采用线上线下培训相结合的方式，针对抗疫惠企、产业链精准招商实务、川企管理创新能力、对外经贸热点分析与外贸实务政策、出国就业人员素质等方面开展培训，共计培训机关企事业单位工作人员、学生千人次；四是在商务代理方面。常年为130多家在川外资企业和常驻境外经贸代表机构提供“一站式”综合服务。全年提供新设、变更、年报等服务58次，接受咨询600余人次。为24户企业提供财税服务，接受咨询180余人次。为外籍人员入川工作生活提供服务110余人次，接受咨询500余人次。特别是成功帮助英特尔滞留在马来西亚的公司高管家属申请邀请函，解决企业实际困难，得到企业好评。</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（六）</w:t>
      </w:r>
      <w:r>
        <w:rPr>
          <w:rFonts w:hint="eastAsia" w:ascii="仿宋_GB2312" w:hAnsi="仿宋_GB2312" w:eastAsia="仿宋_GB2312" w:cs="仿宋_GB2312"/>
          <w:kern w:val="2"/>
          <w:sz w:val="32"/>
          <w:szCs w:val="32"/>
        </w:rPr>
        <w:t>发挥作用，完成厅有关处室交办的其他工作。</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心积极发挥自身人员和执行优势，协助商务厅有关处室完成工作。如：协助贸发处启动省综合保税区协会筹备工作，协助市建处挂牌督战凉山州消费扶贫工作、省农商互联暨农产品供应链项目评审工作、举办报废机动车回收拆解管理工作线上培训班，协助贸发处完成省综合保税区发展评估工作，协助秩序处做好疫情防控工作，协助外经处向海外务工同胞发放爱心包，协助流通业处举办省级步行街改造提升试点视频答辩会，协助审计处做好审计协调与文件归档等工作。中心干部职工通过完成厅处室交办的工作不仅学习了业务，提升了能力，也密切了与厅有关处室的关系，为今后的发展奠定基础。</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（七）</w:t>
      </w:r>
      <w:r>
        <w:rPr>
          <w:rFonts w:hint="eastAsia" w:ascii="仿宋_GB2312" w:hAnsi="仿宋_GB2312" w:eastAsia="仿宋_GB2312" w:cs="仿宋_GB2312"/>
          <w:kern w:val="2"/>
          <w:sz w:val="32"/>
          <w:szCs w:val="32"/>
        </w:rPr>
        <w:t>树牢意识，全面贯彻落实安全生产工作各项要求。</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中心高度重视安全生产有关工作，统筹部署，把握重点，狠抓落实，不断创新，把安全生产工作向纵深推进。一是认真落实安全生产责任制。结合商务领域2020年“119”消防宣传月活动进行了消防安全专项培训，加强了全体职工的消防安全意识，学到了切实可行的安全防范知识；二是将安全工作与业务工作同计划、同安排、同检查。根据与商务厅签订的安全生产责任书要求，积极落实好各部门的安全生产责任制度，完善内部各项管理制度，明确岗位责任；三是牢固树立“安全生产从我做起、从小事做起”的良好意识。充分认识安全生产工作的重要地位和作用，树立“安全生产重于一切”的思想；四是开展安全生产大检查，把安全隐患消灭在萌芽状态。每周定期派专人对中心临时租用办公区、北站东二路5号库房、数码出租房的安全保卫工作进行检查并建立安全检查台账，对查出的安全隐患登记建档并责令整改，有效地遏制了各类事故的发生。</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（八）</w:t>
      </w:r>
      <w:r>
        <w:rPr>
          <w:rFonts w:hint="eastAsia" w:ascii="仿宋_GB2312" w:hAnsi="仿宋_GB2312" w:eastAsia="仿宋_GB2312" w:cs="仿宋_GB2312"/>
          <w:kern w:val="2"/>
          <w:sz w:val="32"/>
          <w:szCs w:val="32"/>
        </w:rPr>
        <w:t>强化学习，切实推进中心法制建设相关工作。</w:t>
      </w:r>
    </w:p>
    <w:p>
      <w:pPr>
        <w:pStyle w:val="2"/>
        <w:adjustRightInd w:val="0"/>
        <w:snapToGrid w:val="0"/>
        <w:spacing w:before="93" w:line="600" w:lineRule="exact"/>
        <w:ind w:firstLine="672" w:firstLineChars="210"/>
        <w:outlineLvl w:val="2"/>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是不断加强学习，持续强化法治意识，组织中心全体人员认真学了《民法典》等最新的法律法规和相关法律知识的学习，不断强化法治意识，切实增强认真守法用法的自觉性；二是严格依法依规办事，牢固树立法治观念，中心班子和各科室在处理各类问题时，牢牢把握并始终坚持在法治的框架内解决的原则，特别在日常工作和重大项目执行过程中，切实加强了与中心常年法律顾问联系，及时就有关问题进行法律咨询和合法性审查，凡签订的各项业务合同必须经法律顾问进行审查，以此确保中心运转经营规范化、管理制度化。</w:t>
      </w:r>
    </w:p>
    <w:p>
      <w:pPr>
        <w:pStyle w:val="4"/>
        <w:numPr>
          <w:ilvl w:val="0"/>
          <w:numId w:val="1"/>
        </w:numPr>
        <w:rPr>
          <w:rFonts w:hint="eastAsia" w:ascii="黑体" w:hAnsi="黑体" w:eastAsia="黑体"/>
          <w:b w:val="0"/>
          <w:lang w:eastAsia="zh-CN"/>
        </w:rPr>
      </w:pPr>
      <w:bookmarkStart w:id="19" w:name="_Toc25495"/>
      <w:r>
        <w:rPr>
          <w:rFonts w:hint="eastAsia" w:ascii="黑体" w:hAnsi="黑体" w:eastAsia="黑体"/>
          <w:b w:val="0"/>
          <w:lang w:eastAsia="zh-CN"/>
        </w:rPr>
        <w:t>机构设置情况</w:t>
      </w:r>
      <w:bookmarkEnd w:id="19"/>
    </w:p>
    <w:p>
      <w:pPr>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eastAsia="zh-CN"/>
        </w:rPr>
        <w:t>中心由</w:t>
      </w:r>
      <w:r>
        <w:rPr>
          <w:rFonts w:hint="eastAsia" w:ascii="仿宋_GB2312" w:hAnsi="仿宋_GB2312" w:eastAsia="仿宋_GB2312" w:cs="仿宋_GB2312"/>
          <w:sz w:val="32"/>
          <w:szCs w:val="32"/>
          <w:lang w:val="en-US" w:eastAsia="zh-CN"/>
        </w:rPr>
        <w:t>7个科室组成，分别是：</w:t>
      </w:r>
      <w:r>
        <w:rPr>
          <w:rFonts w:hint="eastAsia" w:ascii="仿宋_GB2312" w:hAnsi="仿宋_GB2312" w:eastAsia="仿宋_GB2312" w:cs="仿宋_GB2312"/>
          <w:sz w:val="32"/>
          <w:szCs w:val="32"/>
        </w:rPr>
        <w:t>办公室、人事科、商务交流培训科、国际经济合作科、贸易投资促进科、商务代理服务科、商贸流通促进科。</w:t>
      </w:r>
    </w:p>
    <w:p>
      <w:pPr>
        <w:pStyle w:val="2"/>
        <w:numPr>
          <w:ilvl w:val="0"/>
          <w:numId w:val="0"/>
        </w:numPr>
        <w:adjustRightInd w:val="0"/>
        <w:snapToGrid w:val="0"/>
        <w:spacing w:before="93" w:line="600" w:lineRule="exact"/>
        <w:ind w:leftChars="0"/>
        <w:outlineLvl w:val="2"/>
        <w:rPr>
          <w:rFonts w:hint="eastAsia" w:hAnsi="仿宋_GB2312" w:cs="仿宋_GB2312"/>
          <w:kern w:val="2"/>
          <w:sz w:val="32"/>
          <w:szCs w:val="32"/>
          <w:lang w:eastAsia="zh-CN"/>
        </w:rPr>
      </w:pP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20" w:name="_Toc1263"/>
      <w:bookmarkStart w:id="21" w:name="_Toc155129255_WPSOffice_Level1"/>
      <w:bookmarkStart w:id="22" w:name="_Toc15377204"/>
      <w:bookmarkStart w:id="23" w:name="_Toc15396602"/>
      <w:r>
        <w:rPr>
          <w:rFonts w:hint="eastAsia" w:ascii="黑体" w:hAnsi="黑体" w:eastAsia="黑体"/>
          <w:b w:val="0"/>
        </w:rPr>
        <w:t>第二部分 2020年度</w:t>
      </w:r>
      <w:r>
        <w:rPr>
          <w:rStyle w:val="25"/>
          <w:rFonts w:hint="eastAsia" w:ascii="黑体" w:hAnsi="黑体" w:eastAsia="黑体"/>
          <w:b w:val="0"/>
          <w:bCs/>
          <w:lang w:eastAsia="zh-CN"/>
        </w:rPr>
        <w:t>单位</w:t>
      </w:r>
      <w:r>
        <w:rPr>
          <w:rStyle w:val="25"/>
          <w:rFonts w:hint="eastAsia" w:ascii="黑体" w:hAnsi="黑体" w:eastAsia="黑体"/>
          <w:b w:val="0"/>
          <w:bCs/>
        </w:rPr>
        <w:t>决算情况说明</w:t>
      </w:r>
      <w:bookmarkEnd w:id="20"/>
      <w:bookmarkEnd w:id="21"/>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96603"/>
      <w:bookmarkStart w:id="25" w:name="_Toc15377205"/>
      <w:bookmarkStart w:id="26" w:name="_Toc607"/>
      <w:bookmarkStart w:id="27" w:name="_Toc1499770673_WPSOffice_Level2"/>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bookmarkEnd w:id="26"/>
      <w:bookmarkEnd w:id="27"/>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年度收、支总计</w:t>
      </w:r>
      <w:r>
        <w:rPr>
          <w:rFonts w:hint="eastAsia" w:ascii="仿宋_GB2312" w:hAnsi="仿宋_GB2312" w:eastAsia="仿宋_GB2312" w:cs="仿宋_GB2312"/>
          <w:color w:val="auto"/>
          <w:sz w:val="32"/>
          <w:szCs w:val="32"/>
          <w:lang w:val="en-US" w:eastAsia="zh-CN"/>
        </w:rPr>
        <w:t>1035.03</w:t>
      </w:r>
      <w:r>
        <w:rPr>
          <w:rFonts w:hint="eastAsia" w:ascii="仿宋_GB2312" w:hAnsi="仿宋_GB2312" w:eastAsia="仿宋_GB2312" w:cs="仿宋_GB2312"/>
          <w:color w:val="auto"/>
          <w:sz w:val="32"/>
          <w:szCs w:val="32"/>
        </w:rPr>
        <w:t>万元。与201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年相比，收、支总计各减少</w:t>
      </w:r>
      <w:r>
        <w:rPr>
          <w:rFonts w:hint="eastAsia" w:ascii="仿宋_GB2312" w:hAnsi="仿宋_GB2312" w:eastAsia="仿宋_GB2312" w:cs="仿宋_GB2312"/>
          <w:color w:val="auto"/>
          <w:sz w:val="32"/>
          <w:szCs w:val="32"/>
          <w:lang w:val="en-US" w:eastAsia="zh-CN"/>
        </w:rPr>
        <w:t>2266.61</w:t>
      </w:r>
      <w:r>
        <w:rPr>
          <w:rFonts w:hint="eastAsia" w:ascii="仿宋_GB2312" w:hAnsi="仿宋_GB2312" w:eastAsia="仿宋_GB2312" w:cs="仿宋_GB2312"/>
          <w:color w:val="auto"/>
          <w:sz w:val="32"/>
          <w:szCs w:val="32"/>
        </w:rPr>
        <w:t>万元，下降</w:t>
      </w:r>
      <w:r>
        <w:rPr>
          <w:rFonts w:hint="eastAsia" w:ascii="仿宋_GB2312" w:hAnsi="仿宋_GB2312" w:eastAsia="仿宋_GB2312" w:cs="仿宋_GB2312"/>
          <w:color w:val="auto"/>
          <w:sz w:val="32"/>
          <w:szCs w:val="32"/>
          <w:lang w:val="en-US" w:eastAsia="zh-CN"/>
        </w:rPr>
        <w:t>68.65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主要变动原因是2019年以权责发生制（财务会计）填列的决算报表，包含了往来款项，2020年度以收付实现制（预算会计）填列的决算报表。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（图1：收、支决算总计变动情况图）（柱状图）</w:t>
      </w:r>
    </w:p>
    <w:p>
      <w:pPr>
        <w:pStyle w:val="2"/>
        <w:spacing w:before="93"/>
        <w:rPr>
          <w:rFonts w:ascii="仿宋_GB2312" w:eastAsia="仿宋_GB2312"/>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28" w:name="_Toc15377206"/>
      <w:bookmarkStart w:id="29" w:name="_Toc24667380_WPSOffice_Level2"/>
      <w:bookmarkStart w:id="30" w:name="_Toc15396604"/>
      <w:bookmarkStart w:id="31" w:name="_Toc19161"/>
      <w:r>
        <w:rPr>
          <w:rFonts w:hint="eastAsia" w:ascii="黑体" w:hAnsi="黑体" w:eastAsia="黑体"/>
          <w:sz w:val="32"/>
          <w:szCs w:val="32"/>
        </w:rPr>
        <w:t>收</w:t>
      </w:r>
      <w:r>
        <w:rPr>
          <w:rStyle w:val="26"/>
          <w:rFonts w:hint="eastAsia" w:ascii="黑体" w:hAnsi="黑体" w:eastAsia="黑体"/>
          <w:b w:val="0"/>
        </w:rPr>
        <w:t>入决算情况说明</w:t>
      </w:r>
      <w:bookmarkEnd w:id="28"/>
      <w:bookmarkEnd w:id="29"/>
      <w:bookmarkEnd w:id="30"/>
      <w:bookmarkEnd w:id="31"/>
    </w:p>
    <w:p>
      <w:pPr>
        <w:spacing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年收入合计1242.01万元，其中：一般公共预算财政拨款收入466.98万元，占37.60%；政府性基金预算财政拨款收入0万元，占0%；上级补助收入0万元，占0%；事业收入0万元，占0%；经营收入775.03万元，占62.4%；附属单位上缴收入0万元，占0%；其他收入0万元，占0%。</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（图2：收入决算结构图）（饼状图）</w:t>
      </w:r>
    </w:p>
    <w:p>
      <w:pPr>
        <w:pStyle w:val="2"/>
        <w:spacing w:before="93"/>
        <w:rPr>
          <w:rFonts w:ascii="仿宋_GB2312" w:eastAsia="仿宋_GB2312"/>
          <w:sz w:val="32"/>
          <w:szCs w:val="32"/>
        </w:rPr>
      </w:pPr>
      <w:r>
        <w:drawing>
          <wp:inline distT="0" distB="0" distL="0" distR="0">
            <wp:extent cx="4999990" cy="2484755"/>
            <wp:effectExtent l="4445" t="4445" r="5715" b="63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2"/>
        </w:numPr>
        <w:spacing w:line="600" w:lineRule="exact"/>
        <w:ind w:firstLineChars="0"/>
        <w:outlineLvl w:val="1"/>
        <w:rPr>
          <w:rStyle w:val="26"/>
          <w:rFonts w:ascii="黑体" w:hAnsi="黑体" w:eastAsia="黑体"/>
          <w:b w:val="0"/>
        </w:rPr>
      </w:pPr>
      <w:bookmarkStart w:id="32" w:name="_Toc1797533286_WPSOffice_Level2"/>
      <w:bookmarkStart w:id="33" w:name="_Toc15377207"/>
      <w:bookmarkStart w:id="34" w:name="_Toc15396605"/>
      <w:bookmarkStart w:id="35" w:name="_Toc16253"/>
      <w:r>
        <w:rPr>
          <w:rFonts w:hint="eastAsia" w:ascii="黑体" w:hAnsi="黑体" w:eastAsia="黑体"/>
          <w:sz w:val="32"/>
          <w:szCs w:val="32"/>
        </w:rPr>
        <w:t>支</w:t>
      </w:r>
      <w:r>
        <w:rPr>
          <w:rStyle w:val="26"/>
          <w:rFonts w:hint="eastAsia" w:ascii="黑体" w:hAnsi="黑体" w:eastAsia="黑体"/>
          <w:b w:val="0"/>
        </w:rPr>
        <w:t>出决算情况说明</w:t>
      </w:r>
      <w:bookmarkEnd w:id="32"/>
      <w:bookmarkEnd w:id="33"/>
      <w:bookmarkEnd w:id="34"/>
      <w:bookmarkEnd w:id="35"/>
    </w:p>
    <w:p>
      <w:pPr>
        <w:spacing w:line="600" w:lineRule="exact"/>
        <w:ind w:firstLine="640" w:firstLineChars="200"/>
        <w:outlineLvl w:val="9"/>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rPr>
        <w:t>2020年本年支出合计1229.89万元，其中：基本支出248.48万元，占20.20%；项目支出218.50万元，占17.77%；上缴上级支出0万元，占0%；经营支出762.91万元，占62.03%；对附属单位补助支出0万元，占0%。</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（图3：支出决算结构图）（饼状图）</w:t>
      </w:r>
    </w:p>
    <w:p>
      <w:pPr>
        <w:pStyle w:val="2"/>
        <w:spacing w:before="93"/>
        <w:rPr>
          <w:rFonts w:ascii="仿宋_GB2312" w:eastAsia="仿宋_GB2312"/>
          <w:sz w:val="32"/>
          <w:szCs w:val="32"/>
        </w:rPr>
      </w:pPr>
      <w:r>
        <w:drawing>
          <wp:inline distT="0" distB="0" distL="0" distR="0">
            <wp:extent cx="5104765" cy="2399665"/>
            <wp:effectExtent l="5080" t="4445" r="14605" b="1524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rPr>
      </w:pPr>
      <w:bookmarkStart w:id="36" w:name="_Toc15396606"/>
      <w:bookmarkStart w:id="37" w:name="_Toc1542"/>
      <w:bookmarkStart w:id="38" w:name="_Toc99887790_WPSOffice_Level2"/>
      <w:bookmarkStart w:id="39"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6"/>
      <w:bookmarkEnd w:id="37"/>
      <w:bookmarkEnd w:id="38"/>
      <w:bookmarkEnd w:id="39"/>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2020年财政拨款收、支总计466.98万元。与2019年442.98万元相比，财政拨款收、支总计各增加24万元，增长5.42%。主要变动原因是财政资金政策性增加及根据实际工作开展情况项目资金的增加。</w:t>
      </w:r>
    </w:p>
    <w:p>
      <w:pPr>
        <w:spacing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（图4：财政拨款收、支决算总计变动情况）（柱状图）</w:t>
      </w:r>
    </w:p>
    <w:p>
      <w:pPr>
        <w:pStyle w:val="2"/>
        <w:spacing w:before="93"/>
        <w:rPr>
          <w:rFonts w:ascii="仿宋" w:hAnsi="仿宋" w:eastAsia="仿宋"/>
          <w:b/>
          <w:sz w:val="32"/>
          <w:szCs w:val="32"/>
        </w:rPr>
      </w:pPr>
      <w:r>
        <w:drawing>
          <wp:inline distT="0" distB="0" distL="0" distR="0">
            <wp:extent cx="5124450" cy="2239010"/>
            <wp:effectExtent l="4445" t="4445" r="14605" b="234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bookmarkStart w:id="40" w:name="_Toc15396607"/>
      <w:bookmarkStart w:id="41" w:name="_Toc15377209"/>
      <w:bookmarkStart w:id="42" w:name="_Toc693219197_WPSOffice_Level2"/>
      <w:bookmarkStart w:id="43" w:name="_Toc22782"/>
      <w:r>
        <w:rPr>
          <w:rStyle w:val="26"/>
          <w:rFonts w:hint="eastAsia" w:ascii="黑体" w:hAnsi="黑体" w:eastAsia="黑体"/>
          <w:b w:val="0"/>
        </w:rPr>
        <w:t>五、一般公共预算财政拨款支出决算情况说明</w:t>
      </w:r>
      <w:bookmarkEnd w:id="40"/>
      <w:bookmarkEnd w:id="41"/>
      <w:bookmarkEnd w:id="42"/>
      <w:bookmarkEnd w:id="43"/>
    </w:p>
    <w:p>
      <w:pPr>
        <w:spacing w:line="600" w:lineRule="exact"/>
        <w:ind w:firstLine="643" w:firstLineChars="200"/>
        <w:outlineLvl w:val="2"/>
        <w:rPr>
          <w:rFonts w:hint="eastAsia" w:ascii="仿宋_GB2312" w:hAnsi="仿宋_GB2312" w:eastAsia="仿宋_GB2312" w:cs="仿宋_GB2312"/>
          <w:b/>
          <w:sz w:val="32"/>
          <w:szCs w:val="32"/>
        </w:rPr>
      </w:pPr>
      <w:bookmarkStart w:id="44" w:name="_Toc15377210"/>
      <w:r>
        <w:rPr>
          <w:rFonts w:hint="eastAsia" w:ascii="仿宋_GB2312" w:hAnsi="仿宋_GB2312" w:eastAsia="仿宋_GB2312" w:cs="仿宋_GB2312"/>
          <w:b/>
          <w:sz w:val="32"/>
          <w:szCs w:val="32"/>
        </w:rPr>
        <w:t>（一）一般公共预算财政拨款支出决算总体情况</w:t>
      </w:r>
      <w:bookmarkEnd w:id="44"/>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2020年一般公共预算财政拨款支出466.98万元，占本年支出合计的37.97%。与2019年相比，一般公共预算财政拨款增加24万元，增长5.42%。主要变动原因是财政资金政策性增加及根据实际工作开展情况项目资金的增加。</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（图5：一般公共预算财政拨款支出决算变动情况）（柱状图）</w:t>
      </w:r>
    </w:p>
    <w:p>
      <w:pPr>
        <w:pStyle w:val="2"/>
        <w:spacing w:before="93"/>
        <w:rPr>
          <w:rFonts w:ascii="仿宋" w:hAnsi="仿宋" w:eastAsia="仿宋"/>
          <w:sz w:val="32"/>
          <w:szCs w:val="32"/>
        </w:rPr>
      </w:pPr>
      <w:r>
        <w:drawing>
          <wp:inline distT="0" distB="0" distL="0" distR="0">
            <wp:extent cx="5001260" cy="2524760"/>
            <wp:effectExtent l="4445" t="4445" r="23495"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hint="eastAsia" w:ascii="仿宋_GB2312" w:hAnsi="仿宋_GB2312" w:eastAsia="仿宋_GB2312" w:cs="仿宋_GB2312"/>
          <w:b/>
          <w:sz w:val="32"/>
          <w:szCs w:val="32"/>
        </w:rPr>
      </w:pPr>
      <w:bookmarkStart w:id="45" w:name="_Toc15377211"/>
      <w:r>
        <w:rPr>
          <w:rFonts w:hint="eastAsia" w:ascii="仿宋_GB2312" w:hAnsi="仿宋_GB2312" w:eastAsia="仿宋_GB2312" w:cs="仿宋_GB2312"/>
          <w:b/>
          <w:sz w:val="32"/>
          <w:szCs w:val="32"/>
        </w:rPr>
        <w:t>（二）一般公共预算财政拨款支出决算结构情况</w:t>
      </w:r>
      <w:bookmarkEnd w:id="45"/>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466.98万元，主要用于以下方面:一般公共服务（类）支出449.07万元，占96.16%；教育支出（类）0.79万元，占0.17%；科学技术（类）支出0万元，占0%；文化旅游体育与传媒（类）支出0万元，占0%；社会保障和就业（类）支出17.12万元，占3.67%；卫生健康（类）支出0万元，占0%；住房保障（类）支出0万元，占0%。</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（图6：一般公共预算财政拨款支出决算结构）（饼状图）</w:t>
      </w:r>
    </w:p>
    <w:p>
      <w:pPr>
        <w:pStyle w:val="2"/>
        <w:spacing w:before="93"/>
        <w:rPr>
          <w:rFonts w:ascii="仿宋" w:hAnsi="仿宋" w:eastAsia="仿宋"/>
          <w:sz w:val="32"/>
          <w:szCs w:val="32"/>
        </w:rPr>
      </w:pPr>
    </w:p>
    <w:p>
      <w:pPr>
        <w:spacing w:line="600" w:lineRule="exact"/>
        <w:ind w:firstLine="640" w:firstLineChars="200"/>
        <w:rPr>
          <w:rFonts w:ascii="仿宋" w:hAnsi="仿宋" w:eastAsia="仿宋"/>
          <w:sz w:val="32"/>
          <w:szCs w:val="32"/>
        </w:rPr>
      </w:pPr>
    </w:p>
    <w:p>
      <w:pPr>
        <w:pStyle w:val="2"/>
        <w:spacing w:before="93"/>
        <w:rPr>
          <w:rFonts w:ascii="仿宋" w:hAnsi="仿宋" w:eastAsia="仿宋"/>
          <w:sz w:val="32"/>
          <w:szCs w:val="32"/>
        </w:rPr>
      </w:pPr>
      <w:r>
        <w:drawing>
          <wp:inline distT="0" distB="0" distL="0" distR="0">
            <wp:extent cx="4657725" cy="2181225"/>
            <wp:effectExtent l="4445" t="5080" r="5080" b="444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hint="eastAsia" w:ascii="仿宋_GB2312" w:hAnsi="仿宋_GB2312" w:eastAsia="仿宋_GB2312" w:cs="仿宋_GB2312"/>
          <w:b/>
          <w:sz w:val="32"/>
          <w:szCs w:val="32"/>
        </w:rPr>
      </w:pPr>
      <w:bookmarkStart w:id="46" w:name="_Toc15377212"/>
      <w:r>
        <w:rPr>
          <w:rFonts w:hint="eastAsia" w:ascii="仿宋_GB2312" w:hAnsi="仿宋_GB2312" w:eastAsia="仿宋_GB2312" w:cs="仿宋_GB2312"/>
          <w:b/>
          <w:sz w:val="32"/>
          <w:szCs w:val="32"/>
        </w:rPr>
        <w:t>（三）一般公共预算财政拨款支出决算具体情况</w:t>
      </w:r>
      <w:bookmarkEnd w:id="46"/>
    </w:p>
    <w:p>
      <w:pPr>
        <w:spacing w:line="600" w:lineRule="exact"/>
        <w:ind w:firstLine="643" w:firstLineChars="200"/>
        <w:outlineLvl w:val="2"/>
        <w:rPr>
          <w:rFonts w:hint="eastAsia" w:ascii="仿宋_GB2312" w:hAnsi="仿宋_GB2312" w:eastAsia="仿宋_GB2312" w:cs="仿宋_GB2312"/>
          <w:sz w:val="32"/>
          <w:szCs w:val="32"/>
        </w:rPr>
      </w:pPr>
      <w:bookmarkStart w:id="47" w:name="_Toc15377213"/>
      <w:bookmarkStart w:id="48" w:name="_Toc15378460"/>
      <w:bookmarkStart w:id="49" w:name="_Toc15377444"/>
      <w:r>
        <w:rPr>
          <w:rFonts w:hint="eastAsia" w:ascii="仿宋_GB2312" w:hAnsi="仿宋_GB2312" w:eastAsia="仿宋_GB2312" w:cs="仿宋_GB2312"/>
          <w:b/>
          <w:sz w:val="32"/>
          <w:szCs w:val="32"/>
        </w:rPr>
        <w:t>2020年一般公共预算支出决算数为449.07万</w:t>
      </w:r>
      <w:r>
        <w:rPr>
          <w:rFonts w:hint="eastAsia" w:ascii="仿宋_GB2312" w:hAnsi="仿宋_GB2312" w:eastAsia="仿宋_GB2312" w:cs="仿宋_GB2312"/>
          <w:sz w:val="32"/>
          <w:szCs w:val="32"/>
        </w:rPr>
        <w:t>，</w:t>
      </w:r>
      <w:r>
        <w:rPr>
          <w:rStyle w:val="15"/>
          <w:rFonts w:hint="eastAsia" w:ascii="仿宋_GB2312" w:hAnsi="仿宋_GB2312" w:eastAsia="仿宋_GB2312" w:cs="仿宋_GB2312"/>
          <w:bCs/>
          <w:sz w:val="32"/>
          <w:szCs w:val="32"/>
        </w:rPr>
        <w:t>完成2020年年初预算474.27万元的94.69%。其中：</w:t>
      </w:r>
      <w:bookmarkEnd w:id="47"/>
      <w:bookmarkEnd w:id="48"/>
      <w:bookmarkEnd w:id="49"/>
    </w:p>
    <w:p>
      <w:pPr>
        <w:spacing w:line="600" w:lineRule="exact"/>
        <w:ind w:firstLine="643" w:firstLineChars="200"/>
        <w:rPr>
          <w:rStyle w:val="15"/>
          <w:rFonts w:hint="eastAsia" w:ascii="仿宋_GB2312" w:hAnsi="仿宋_GB2312" w:eastAsia="仿宋_GB2312" w:cs="仿宋_GB2312"/>
          <w:b w:val="0"/>
          <w:bCs/>
          <w:color w:val="0000FF"/>
          <w:sz w:val="32"/>
          <w:szCs w:val="32"/>
        </w:rPr>
      </w:pPr>
      <w:r>
        <w:rPr>
          <w:rStyle w:val="15"/>
          <w:rFonts w:hint="eastAsia" w:ascii="仿宋_GB2312" w:hAnsi="仿宋_GB2312" w:eastAsia="仿宋_GB2312" w:cs="仿宋_GB2312"/>
          <w:bCs/>
          <w:sz w:val="32"/>
          <w:szCs w:val="32"/>
        </w:rPr>
        <w:t>1.一般公共服务（类）商贸事务（款）事业运行（项）:</w:t>
      </w:r>
      <w:r>
        <w:rPr>
          <w:rStyle w:val="15"/>
          <w:rFonts w:hint="eastAsia" w:ascii="仿宋_GB2312" w:hAnsi="仿宋_GB2312" w:eastAsia="仿宋_GB2312" w:cs="仿宋_GB2312"/>
          <w:b w:val="0"/>
          <w:bCs/>
          <w:sz w:val="32"/>
          <w:szCs w:val="32"/>
        </w:rPr>
        <w:t xml:space="preserve"> 支出决算为4.09万元，完成预算0%，决算数大于预算数的主要原因是该款项系财政年末追加的扶贫人员津补贴及其他工资福利支出。</w:t>
      </w:r>
    </w:p>
    <w:p>
      <w:pPr>
        <w:spacing w:line="6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 </w:t>
      </w:r>
      <w:r>
        <w:rPr>
          <w:rStyle w:val="15"/>
          <w:rFonts w:hint="eastAsia" w:ascii="仿宋_GB2312" w:hAnsi="仿宋_GB2312" w:eastAsia="仿宋_GB2312" w:cs="仿宋_GB2312"/>
          <w:bCs/>
          <w:sz w:val="32"/>
          <w:szCs w:val="32"/>
        </w:rPr>
        <w:t xml:space="preserve"> </w:t>
      </w:r>
      <w:r>
        <w:rPr>
          <w:rStyle w:val="15"/>
          <w:rFonts w:hint="eastAsia" w:ascii="仿宋_GB2312" w:hAnsi="仿宋_GB2312" w:eastAsia="仿宋_GB2312" w:cs="仿宋_GB2312"/>
          <w:bCs/>
          <w:sz w:val="32"/>
          <w:szCs w:val="32"/>
          <w:lang w:val="en-US" w:eastAsia="zh-CN"/>
        </w:rPr>
        <w:t>2.</w:t>
      </w:r>
      <w:r>
        <w:rPr>
          <w:rStyle w:val="15"/>
          <w:rFonts w:hint="eastAsia" w:ascii="仿宋_GB2312" w:hAnsi="仿宋_GB2312" w:eastAsia="仿宋_GB2312" w:cs="仿宋_GB2312"/>
          <w:bCs/>
          <w:sz w:val="32"/>
          <w:szCs w:val="32"/>
        </w:rPr>
        <w:t>一般公</w:t>
      </w:r>
      <w:r>
        <w:rPr>
          <w:rStyle w:val="15"/>
          <w:rFonts w:hint="eastAsia" w:ascii="仿宋_GB2312" w:hAnsi="仿宋_GB2312" w:eastAsia="仿宋_GB2312" w:cs="仿宋_GB2312"/>
          <w:sz w:val="32"/>
          <w:szCs w:val="32"/>
        </w:rPr>
        <w:t>共服务（类）商贸事务（款）其他商贸事务支出（项）：</w:t>
      </w:r>
      <w:r>
        <w:rPr>
          <w:rStyle w:val="15"/>
          <w:rFonts w:hint="eastAsia" w:ascii="仿宋_GB2312" w:hAnsi="仿宋_GB2312" w:eastAsia="仿宋_GB2312" w:cs="仿宋_GB2312"/>
          <w:b w:val="0"/>
          <w:bCs/>
          <w:sz w:val="32"/>
          <w:szCs w:val="32"/>
        </w:rPr>
        <w:t>支出决算为444.98万元，完成预算98.20%，决算数小于预算数的主要原因是新冠疫情的突发，导致培训费、因公出国（境）费、差旅费等项目进行了年初预算的压缩。</w:t>
      </w:r>
    </w:p>
    <w:p>
      <w:pPr>
        <w:spacing w:line="600" w:lineRule="exact"/>
        <w:ind w:firstLine="643" w:firstLineChars="200"/>
        <w:rPr>
          <w:rFonts w:hint="eastAsia" w:ascii="仿宋_GB2312" w:hAnsi="仿宋_GB2312" w:eastAsia="仿宋_GB2312" w:cs="仿宋_GB2312"/>
          <w:b/>
          <w:sz w:val="32"/>
          <w:szCs w:val="32"/>
        </w:rPr>
      </w:pPr>
      <w:r>
        <w:rPr>
          <w:rStyle w:val="15"/>
          <w:rFonts w:hint="eastAsia" w:ascii="仿宋_GB2312" w:hAnsi="仿宋_GB2312" w:eastAsia="仿宋_GB2312" w:cs="仿宋_GB2312"/>
          <w:bCs/>
          <w:sz w:val="32"/>
          <w:szCs w:val="32"/>
          <w:lang w:val="en-US" w:eastAsia="zh-CN"/>
        </w:rPr>
        <w:t>3</w:t>
      </w:r>
      <w:r>
        <w:rPr>
          <w:rStyle w:val="15"/>
          <w:rFonts w:hint="eastAsia" w:ascii="仿宋_GB2312" w:hAnsi="仿宋_GB2312" w:eastAsia="仿宋_GB2312" w:cs="仿宋_GB2312"/>
          <w:bCs/>
          <w:sz w:val="32"/>
          <w:szCs w:val="32"/>
        </w:rPr>
        <w:t>.教育（类）</w:t>
      </w:r>
      <w:r>
        <w:rPr>
          <w:rStyle w:val="15"/>
          <w:rFonts w:hint="eastAsia" w:ascii="仿宋_GB2312" w:hAnsi="仿宋_GB2312" w:eastAsia="仿宋_GB2312" w:cs="仿宋_GB2312"/>
          <w:bCs/>
          <w:sz w:val="32"/>
          <w:szCs w:val="32"/>
          <w:lang w:eastAsia="zh-CN"/>
        </w:rPr>
        <w:t>进修及培训</w:t>
      </w:r>
      <w:r>
        <w:rPr>
          <w:rStyle w:val="15"/>
          <w:rFonts w:hint="eastAsia" w:ascii="仿宋_GB2312" w:hAnsi="仿宋_GB2312" w:eastAsia="仿宋_GB2312" w:cs="仿宋_GB2312"/>
          <w:bCs/>
          <w:sz w:val="32"/>
          <w:szCs w:val="32"/>
        </w:rPr>
        <w:t>（款）</w:t>
      </w:r>
      <w:r>
        <w:rPr>
          <w:rStyle w:val="15"/>
          <w:rFonts w:hint="eastAsia" w:ascii="仿宋_GB2312" w:hAnsi="仿宋_GB2312" w:eastAsia="仿宋_GB2312" w:cs="仿宋_GB2312"/>
          <w:bCs/>
          <w:sz w:val="32"/>
          <w:szCs w:val="32"/>
          <w:lang w:eastAsia="zh-CN"/>
        </w:rPr>
        <w:t>培训支出</w:t>
      </w:r>
      <w:r>
        <w:rPr>
          <w:rStyle w:val="15"/>
          <w:rFonts w:hint="eastAsia" w:ascii="仿宋_GB2312" w:hAnsi="仿宋_GB2312" w:eastAsia="仿宋_GB2312" w:cs="仿宋_GB2312"/>
          <w:bCs/>
          <w:sz w:val="32"/>
          <w:szCs w:val="32"/>
        </w:rPr>
        <w:t>（项）:</w:t>
      </w:r>
      <w:r>
        <w:rPr>
          <w:rStyle w:val="15"/>
          <w:rFonts w:hint="eastAsia" w:ascii="仿宋_GB2312" w:hAnsi="仿宋_GB2312" w:eastAsia="仿宋_GB2312" w:cs="仿宋_GB2312"/>
          <w:b w:val="0"/>
          <w:bCs/>
          <w:sz w:val="32"/>
          <w:szCs w:val="32"/>
        </w:rPr>
        <w:t xml:space="preserve"> 支出决算为0.79万元，完成预算19.75%，决算数小于预算数的主要原因是培训费年初预算数为4万，因新冠疫情突发，故实际预算批复数据为0.8万元。</w:t>
      </w:r>
    </w:p>
    <w:p>
      <w:pPr>
        <w:spacing w:line="600" w:lineRule="exact"/>
        <w:ind w:firstLine="643" w:firstLineChars="200"/>
        <w:rPr>
          <w:rFonts w:hint="eastAsia" w:ascii="仿宋_GB2312" w:hAnsi="仿宋_GB2312" w:eastAsia="仿宋_GB2312" w:cs="仿宋_GB2312"/>
          <w:b/>
          <w:sz w:val="32"/>
          <w:szCs w:val="32"/>
        </w:rPr>
      </w:pPr>
      <w:r>
        <w:rPr>
          <w:rStyle w:val="15"/>
          <w:rFonts w:hint="eastAsia" w:ascii="仿宋_GB2312" w:hAnsi="仿宋_GB2312" w:eastAsia="仿宋_GB2312" w:cs="仿宋_GB2312"/>
          <w:bCs/>
          <w:sz w:val="32"/>
          <w:szCs w:val="32"/>
          <w:lang w:val="en-US" w:eastAsia="zh-CN"/>
        </w:rPr>
        <w:t>4</w:t>
      </w:r>
      <w:r>
        <w:rPr>
          <w:rStyle w:val="15"/>
          <w:rFonts w:hint="eastAsia" w:ascii="仿宋_GB2312" w:hAnsi="仿宋_GB2312" w:eastAsia="仿宋_GB2312" w:cs="仿宋_GB2312"/>
          <w:bCs/>
          <w:sz w:val="32"/>
          <w:szCs w:val="32"/>
        </w:rPr>
        <w:t>.社会保障和就业（类）</w:t>
      </w:r>
      <w:r>
        <w:rPr>
          <w:rStyle w:val="15"/>
          <w:rFonts w:hint="eastAsia" w:ascii="仿宋_GB2312" w:hAnsi="仿宋_GB2312" w:eastAsia="仿宋_GB2312" w:cs="仿宋_GB2312"/>
          <w:bCs/>
          <w:sz w:val="32"/>
          <w:szCs w:val="32"/>
          <w:lang w:eastAsia="zh-CN"/>
        </w:rPr>
        <w:t>行政事业单位养老支出</w:t>
      </w:r>
      <w:r>
        <w:rPr>
          <w:rStyle w:val="15"/>
          <w:rFonts w:hint="eastAsia" w:ascii="仿宋_GB2312" w:hAnsi="仿宋_GB2312" w:eastAsia="仿宋_GB2312" w:cs="仿宋_GB2312"/>
          <w:bCs/>
          <w:sz w:val="32"/>
          <w:szCs w:val="32"/>
        </w:rPr>
        <w:t>（款）</w:t>
      </w:r>
      <w:r>
        <w:rPr>
          <w:rStyle w:val="15"/>
          <w:rFonts w:hint="eastAsia" w:ascii="仿宋_GB2312" w:hAnsi="仿宋_GB2312" w:eastAsia="仿宋_GB2312" w:cs="仿宋_GB2312"/>
          <w:bCs/>
          <w:sz w:val="32"/>
          <w:szCs w:val="32"/>
          <w:lang w:eastAsia="zh-CN"/>
        </w:rPr>
        <w:t>机关事业单位职业年金缴费支出</w:t>
      </w:r>
      <w:r>
        <w:rPr>
          <w:rStyle w:val="15"/>
          <w:rFonts w:hint="eastAsia" w:ascii="仿宋_GB2312" w:hAnsi="仿宋_GB2312" w:eastAsia="仿宋_GB2312" w:cs="仿宋_GB2312"/>
          <w:bCs/>
          <w:sz w:val="32"/>
          <w:szCs w:val="32"/>
        </w:rPr>
        <w:t>（项）:</w:t>
      </w:r>
      <w:r>
        <w:rPr>
          <w:rStyle w:val="15"/>
          <w:rFonts w:hint="eastAsia" w:ascii="仿宋_GB2312" w:hAnsi="仿宋_GB2312" w:eastAsia="仿宋_GB2312" w:cs="仿宋_GB2312"/>
          <w:b w:val="0"/>
          <w:bCs/>
          <w:sz w:val="32"/>
          <w:szCs w:val="32"/>
        </w:rPr>
        <w:t xml:space="preserve"> 支出决算为17.12万元，完成预算100%。</w:t>
      </w:r>
    </w:p>
    <w:p>
      <w:pPr>
        <w:tabs>
          <w:tab w:val="right" w:pos="8306"/>
        </w:tabs>
        <w:spacing w:line="600" w:lineRule="exact"/>
        <w:ind w:firstLine="640"/>
        <w:outlineLvl w:val="1"/>
        <w:rPr>
          <w:rStyle w:val="26"/>
        </w:rPr>
      </w:pPr>
      <w:bookmarkStart w:id="50" w:name="_Toc15396608"/>
      <w:bookmarkStart w:id="51" w:name="_Toc1088172623_WPSOffice_Level2"/>
      <w:bookmarkStart w:id="52" w:name="_Toc15377214"/>
      <w:bookmarkStart w:id="53" w:name="_Toc28812"/>
      <w:r>
        <w:rPr>
          <w:rStyle w:val="26"/>
          <w:rFonts w:hint="eastAsia" w:ascii="黑体" w:hAnsi="黑体" w:eastAsia="黑体"/>
          <w:b w:val="0"/>
        </w:rPr>
        <w:t>六、一般公共预算财政拨款基本支出决算情况说明</w:t>
      </w:r>
      <w:bookmarkEnd w:id="50"/>
      <w:bookmarkEnd w:id="51"/>
      <w:bookmarkEnd w:id="52"/>
      <w:bookmarkEnd w:id="53"/>
      <w:r>
        <w:rPr>
          <w:rStyle w:val="26"/>
          <w:rFonts w:ascii="黑体" w:hAnsi="黑体" w:eastAsia="黑体"/>
          <w:b w:val="0"/>
        </w:rPr>
        <w:tab/>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2020年一般公共预算财政拨款基本支出248.48万元，其中：</w:t>
      </w:r>
    </w:p>
    <w:p>
      <w:pPr>
        <w:spacing w:line="600" w:lineRule="exact"/>
        <w:ind w:firstLine="645"/>
        <w:rPr>
          <w:rFonts w:ascii="仿宋" w:hAnsi="仿宋" w:eastAsia="仿宋"/>
          <w:b/>
          <w:sz w:val="32"/>
          <w:szCs w:val="32"/>
        </w:rPr>
      </w:pPr>
      <w:r>
        <w:rPr>
          <w:rFonts w:hint="eastAsia" w:ascii="仿宋_GB2312" w:hAnsi="仿宋_GB2312" w:eastAsia="仿宋_GB2312" w:cs="仿宋_GB2312"/>
          <w:sz w:val="32"/>
          <w:szCs w:val="32"/>
        </w:rPr>
        <w:t>人员经费237.05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公用经费11.43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54" w:name="_Toc1195882891_WPSOffice_Level2"/>
      <w:bookmarkStart w:id="55" w:name="_Toc15377215"/>
      <w:bookmarkStart w:id="56" w:name="_Toc15396609"/>
      <w:bookmarkStart w:id="57" w:name="_Toc11248"/>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4"/>
      <w:bookmarkEnd w:id="55"/>
      <w:bookmarkEnd w:id="56"/>
      <w:bookmarkEnd w:id="57"/>
    </w:p>
    <w:p>
      <w:pPr>
        <w:spacing w:line="600" w:lineRule="exact"/>
        <w:ind w:firstLine="640"/>
        <w:outlineLvl w:val="2"/>
        <w:rPr>
          <w:rFonts w:hint="eastAsia" w:ascii="仿宋_GB2312" w:hAnsi="仿宋_GB2312" w:eastAsia="仿宋_GB2312" w:cs="仿宋_GB2312"/>
          <w:b/>
          <w:sz w:val="32"/>
          <w:szCs w:val="32"/>
        </w:rPr>
      </w:pPr>
      <w:bookmarkStart w:id="58" w:name="_Toc15377216"/>
      <w:r>
        <w:rPr>
          <w:rFonts w:hint="eastAsia" w:ascii="仿宋_GB2312" w:hAnsi="仿宋_GB2312" w:eastAsia="仿宋_GB2312" w:cs="仿宋_GB2312"/>
          <w:b/>
          <w:sz w:val="32"/>
          <w:szCs w:val="32"/>
        </w:rPr>
        <w:t>（一）“三公”经费财政拨款支出决算总体情况说明</w:t>
      </w:r>
      <w:bookmarkEnd w:id="58"/>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2020年“三公”经费财政拨款支出决算为0万元。</w:t>
      </w:r>
    </w:p>
    <w:p>
      <w:pPr>
        <w:spacing w:line="600" w:lineRule="exact"/>
        <w:ind w:firstLine="640"/>
        <w:outlineLvl w:val="2"/>
        <w:rPr>
          <w:rFonts w:hint="eastAsia" w:ascii="仿宋_GB2312" w:hAnsi="仿宋_GB2312" w:eastAsia="仿宋_GB2312" w:cs="仿宋_GB2312"/>
          <w:b/>
          <w:sz w:val="32"/>
          <w:szCs w:val="32"/>
        </w:rPr>
      </w:pPr>
      <w:bookmarkStart w:id="59" w:name="_Toc15377217"/>
      <w:r>
        <w:rPr>
          <w:rFonts w:hint="eastAsia" w:ascii="仿宋_GB2312" w:hAnsi="仿宋_GB2312" w:eastAsia="仿宋_GB2312" w:cs="仿宋_GB2312"/>
          <w:b/>
          <w:sz w:val="32"/>
          <w:szCs w:val="32"/>
        </w:rPr>
        <w:t>（二）“三公”经费财政拨款支出决算具体情况说明</w:t>
      </w:r>
      <w:bookmarkEnd w:id="59"/>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2020年“三公”经费财政拨款支出决算中，因公出国（境）费支出决算0万元，占0%；公务用车购置及运行维护费支出决算0万元，占0%；公务接待费支出决算0万元，占0%。具体情况如下：</w:t>
      </w:r>
    </w:p>
    <w:p>
      <w:pPr>
        <w:pStyle w:val="2"/>
        <w:rPr>
          <w:rFonts w:hint="eastAsia"/>
        </w:rPr>
      </w:pPr>
      <w:r>
        <w:rPr>
          <w:rFonts w:hint="eastAsia" w:ascii="仿宋" w:hAnsi="仿宋" w:eastAsia="仿宋"/>
          <w:sz w:val="32"/>
          <w:szCs w:val="32"/>
        </w:rPr>
        <w:t>（图7：“三公”经费财政拨款支出结构）（饼状图）</w:t>
      </w:r>
    </w:p>
    <w:p>
      <w:pPr>
        <w:pStyle w:val="2"/>
        <w:rPr>
          <w:rFonts w:hint="eastAsia" w:ascii="仿宋" w:hAnsi="仿宋" w:eastAsia="仿宋"/>
          <w:sz w:val="32"/>
          <w:szCs w:val="32"/>
        </w:rPr>
      </w:pPr>
      <w:r>
        <w:rPr>
          <w:rFonts w:hint="eastAsia" w:eastAsia="仿宋"/>
          <w:highlight w:val="none"/>
          <w:lang w:eastAsia="zh-CN"/>
        </w:rPr>
        <w:drawing>
          <wp:inline distT="0" distB="0" distL="114300" distR="114300">
            <wp:extent cx="4432935" cy="2343785"/>
            <wp:effectExtent l="4445" t="4445" r="20320"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b/>
          <w:sz w:val="32"/>
          <w:szCs w:val="32"/>
        </w:rPr>
      </w:pPr>
      <w:r>
        <w:rPr>
          <w:rFonts w:hint="eastAsia" w:ascii="仿宋" w:hAnsi="仿宋" w:eastAsia="仿宋" w:cs="仿宋"/>
          <w:b/>
          <w:sz w:val="32"/>
          <w:szCs w:val="32"/>
        </w:rPr>
        <w:t>1.因公出国（境）经费支出</w:t>
      </w:r>
      <w:r>
        <w:rPr>
          <w:rFonts w:hint="eastAsia" w:ascii="仿宋" w:hAnsi="仿宋" w:eastAsia="仿宋" w:cs="仿宋"/>
          <w:sz w:val="32"/>
          <w:szCs w:val="32"/>
        </w:rPr>
        <w:t>0万元，</w:t>
      </w:r>
      <w:r>
        <w:rPr>
          <w:rStyle w:val="15"/>
          <w:rFonts w:hint="eastAsia" w:ascii="仿宋" w:hAnsi="仿宋" w:eastAsia="仿宋" w:cs="仿宋"/>
          <w:b w:val="0"/>
          <w:bCs/>
          <w:sz w:val="32"/>
          <w:szCs w:val="32"/>
        </w:rPr>
        <w:t>完成预算</w:t>
      </w:r>
      <w:r>
        <w:rPr>
          <w:rStyle w:val="15"/>
          <w:rFonts w:hint="eastAsia" w:ascii="仿宋" w:hAnsi="仿宋" w:eastAsia="仿宋" w:cs="仿宋"/>
          <w:b w:val="0"/>
          <w:bCs/>
          <w:sz w:val="32"/>
          <w:szCs w:val="32"/>
          <w:lang w:val="en-US" w:eastAsia="zh-CN"/>
        </w:rPr>
        <w:t>10</w:t>
      </w:r>
      <w:r>
        <w:rPr>
          <w:rStyle w:val="15"/>
          <w:rFonts w:hint="eastAsia" w:ascii="仿宋" w:hAnsi="仿宋" w:eastAsia="仿宋" w:cs="仿宋"/>
          <w:b w:val="0"/>
          <w:bCs/>
          <w:sz w:val="32"/>
          <w:szCs w:val="32"/>
        </w:rPr>
        <w:t>0%。</w:t>
      </w:r>
      <w:r>
        <w:rPr>
          <w:rFonts w:hint="eastAsia" w:ascii="仿宋" w:hAnsi="仿宋" w:eastAsia="仿宋" w:cs="仿宋"/>
          <w:sz w:val="32"/>
          <w:szCs w:val="32"/>
        </w:rPr>
        <w:t>全年安排因公出国（境）团组0次，出国（境）0人。因公出国（境）支出决算比2019年减少0万元，</w:t>
      </w:r>
      <w:r>
        <w:rPr>
          <w:rFonts w:hint="eastAsia" w:ascii="仿宋" w:hAnsi="仿宋" w:eastAsia="仿宋" w:cs="仿宋"/>
          <w:sz w:val="32"/>
          <w:szCs w:val="32"/>
          <w:lang w:eastAsia="zh-CN"/>
        </w:rPr>
        <w:t>下</w:t>
      </w:r>
      <w:r>
        <w:rPr>
          <w:rFonts w:hint="eastAsia" w:ascii="仿宋" w:hAnsi="仿宋" w:eastAsia="仿宋" w:cs="仿宋"/>
          <w:sz w:val="32"/>
          <w:szCs w:val="32"/>
        </w:rPr>
        <w:t>降0%。</w:t>
      </w:r>
    </w:p>
    <w:p>
      <w:pPr>
        <w:spacing w:line="600" w:lineRule="exact"/>
        <w:ind w:firstLine="640"/>
        <w:rPr>
          <w:rFonts w:hint="eastAsia" w:ascii="仿宋" w:hAnsi="仿宋" w:eastAsia="仿宋" w:cs="仿宋"/>
          <w:b/>
          <w:sz w:val="32"/>
          <w:szCs w:val="32"/>
        </w:rPr>
      </w:pPr>
      <w:r>
        <w:rPr>
          <w:rFonts w:hint="eastAsia" w:ascii="仿宋" w:hAnsi="仿宋" w:eastAsia="仿宋" w:cs="仿宋"/>
          <w:b/>
          <w:sz w:val="32"/>
          <w:szCs w:val="32"/>
        </w:rPr>
        <w:t>2.公务用车购置及运行维护费支出</w:t>
      </w:r>
      <w:r>
        <w:rPr>
          <w:rFonts w:hint="eastAsia" w:ascii="仿宋" w:hAnsi="仿宋" w:eastAsia="仿宋" w:cs="仿宋"/>
          <w:sz w:val="32"/>
          <w:szCs w:val="32"/>
        </w:rPr>
        <w:t>0万元,</w:t>
      </w:r>
      <w:r>
        <w:rPr>
          <w:rStyle w:val="15"/>
          <w:rFonts w:hint="eastAsia" w:ascii="仿宋" w:hAnsi="仿宋" w:eastAsia="仿宋" w:cs="仿宋"/>
          <w:b w:val="0"/>
          <w:bCs/>
          <w:sz w:val="32"/>
          <w:szCs w:val="32"/>
        </w:rPr>
        <w:t>完成预算</w:t>
      </w:r>
      <w:r>
        <w:rPr>
          <w:rStyle w:val="15"/>
          <w:rFonts w:hint="eastAsia" w:ascii="仿宋" w:hAnsi="仿宋" w:eastAsia="仿宋" w:cs="仿宋"/>
          <w:b w:val="0"/>
          <w:bCs/>
          <w:sz w:val="32"/>
          <w:szCs w:val="32"/>
          <w:lang w:val="en-US" w:eastAsia="zh-CN"/>
        </w:rPr>
        <w:t>10</w:t>
      </w:r>
      <w:r>
        <w:rPr>
          <w:rStyle w:val="15"/>
          <w:rFonts w:hint="eastAsia" w:ascii="仿宋" w:hAnsi="仿宋" w:eastAsia="仿宋" w:cs="仿宋"/>
          <w:b w:val="0"/>
          <w:bCs/>
          <w:sz w:val="32"/>
          <w:szCs w:val="32"/>
        </w:rPr>
        <w:t>0%。</w:t>
      </w:r>
      <w:r>
        <w:rPr>
          <w:rFonts w:hint="eastAsia" w:ascii="仿宋" w:hAnsi="仿宋" w:eastAsia="仿宋" w:cs="仿宋"/>
          <w:sz w:val="32"/>
          <w:szCs w:val="32"/>
        </w:rPr>
        <w:t>公务用车购置及运行维护费支出决算比2019年减少0万元，下降0%。</w:t>
      </w:r>
    </w:p>
    <w:p>
      <w:pPr>
        <w:spacing w:line="600" w:lineRule="exact"/>
        <w:ind w:firstLine="640" w:firstLineChars="200"/>
        <w:rPr>
          <w:rFonts w:ascii="仿宋_GB2312" w:eastAsia="仿宋_GB2312"/>
          <w:b/>
          <w:sz w:val="32"/>
          <w:szCs w:val="32"/>
        </w:rPr>
      </w:pPr>
      <w:r>
        <w:rPr>
          <w:rFonts w:hint="eastAsia" w:ascii="仿宋" w:hAnsi="仿宋" w:eastAsia="仿宋" w:cs="仿宋"/>
          <w:sz w:val="32"/>
          <w:szCs w:val="32"/>
        </w:rPr>
        <w:t>其中：</w:t>
      </w:r>
      <w:r>
        <w:rPr>
          <w:rFonts w:hint="eastAsia" w:ascii="仿宋" w:hAnsi="仿宋" w:eastAsia="仿宋" w:cs="仿宋"/>
          <w:b/>
          <w:sz w:val="32"/>
          <w:szCs w:val="32"/>
        </w:rPr>
        <w:t>公务用车购置支出</w:t>
      </w:r>
      <w:r>
        <w:rPr>
          <w:rFonts w:hint="eastAsia" w:ascii="仿宋" w:hAnsi="仿宋" w:eastAsia="仿宋" w:cs="仿宋"/>
          <w:sz w:val="32"/>
          <w:szCs w:val="32"/>
        </w:rPr>
        <w:t>0万元。全</w:t>
      </w:r>
      <w:r>
        <w:rPr>
          <w:rFonts w:hint="eastAsia" w:ascii="仿宋_GB2312" w:eastAsia="仿宋_GB2312"/>
          <w:sz w:val="32"/>
          <w:szCs w:val="32"/>
        </w:rPr>
        <w:t>年按规定更新购置公务用车0辆，其中：轿车0辆、金额0万元，越野车0辆、金额0万元，载客汽车0辆、金额0万元0。截至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公务用车运行维护费支出</w:t>
      </w:r>
      <w:r>
        <w:rPr>
          <w:rFonts w:hint="eastAsia" w:ascii="仿宋" w:hAnsi="仿宋" w:eastAsia="仿宋" w:cs="仿宋"/>
          <w:sz w:val="32"/>
          <w:szCs w:val="32"/>
        </w:rPr>
        <w:t>0万元。</w:t>
      </w:r>
    </w:p>
    <w:p>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3.公务接待费支出</w:t>
      </w:r>
      <w:r>
        <w:rPr>
          <w:rFonts w:hint="eastAsia" w:ascii="仿宋" w:hAnsi="仿宋" w:eastAsia="仿宋" w:cs="仿宋"/>
          <w:sz w:val="32"/>
          <w:szCs w:val="32"/>
        </w:rPr>
        <w:t>0万元，</w:t>
      </w:r>
      <w:r>
        <w:rPr>
          <w:rStyle w:val="15"/>
          <w:rFonts w:hint="eastAsia" w:ascii="仿宋" w:hAnsi="仿宋" w:eastAsia="仿宋" w:cs="仿宋"/>
          <w:b w:val="0"/>
          <w:bCs/>
          <w:sz w:val="32"/>
          <w:szCs w:val="32"/>
        </w:rPr>
        <w:t>完成预算</w:t>
      </w:r>
      <w:r>
        <w:rPr>
          <w:rStyle w:val="15"/>
          <w:rFonts w:hint="eastAsia" w:ascii="仿宋" w:hAnsi="仿宋" w:eastAsia="仿宋" w:cs="仿宋"/>
          <w:b w:val="0"/>
          <w:bCs/>
          <w:sz w:val="32"/>
          <w:szCs w:val="32"/>
          <w:lang w:val="en-US" w:eastAsia="zh-CN"/>
        </w:rPr>
        <w:t>10</w:t>
      </w:r>
      <w:r>
        <w:rPr>
          <w:rStyle w:val="15"/>
          <w:rFonts w:hint="eastAsia" w:ascii="仿宋" w:hAnsi="仿宋" w:eastAsia="仿宋" w:cs="仿宋"/>
          <w:b w:val="0"/>
          <w:bCs/>
          <w:sz w:val="32"/>
          <w:szCs w:val="32"/>
        </w:rPr>
        <w:t>0%。</w:t>
      </w:r>
      <w:r>
        <w:rPr>
          <w:rFonts w:hint="eastAsia" w:ascii="仿宋" w:hAnsi="仿宋" w:eastAsia="仿宋" w:cs="仿宋"/>
          <w:sz w:val="32"/>
          <w:szCs w:val="32"/>
        </w:rPr>
        <w:t>公务接待费支出决算比2019年减少0万元，下降0%。</w:t>
      </w:r>
    </w:p>
    <w:p>
      <w:pPr>
        <w:spacing w:line="600" w:lineRule="exact"/>
        <w:ind w:firstLine="640"/>
        <w:rPr>
          <w:rFonts w:hint="eastAsia" w:ascii="仿宋" w:hAnsi="仿宋" w:eastAsia="仿宋" w:cs="仿宋"/>
          <w:sz w:val="32"/>
          <w:szCs w:val="32"/>
        </w:rPr>
      </w:pPr>
      <w:r>
        <w:rPr>
          <w:rFonts w:hint="eastAsia" w:ascii="仿宋" w:hAnsi="仿宋" w:eastAsia="仿宋" w:cs="仿宋"/>
          <w:b/>
          <w:sz w:val="32"/>
          <w:szCs w:val="32"/>
        </w:rPr>
        <w:t>国内公务接待支出</w:t>
      </w:r>
      <w:r>
        <w:rPr>
          <w:rFonts w:hint="eastAsia" w:ascii="仿宋" w:hAnsi="仿宋" w:eastAsia="仿宋" w:cs="仿宋"/>
          <w:sz w:val="32"/>
          <w:szCs w:val="32"/>
        </w:rPr>
        <w:t>0万元。</w:t>
      </w:r>
    </w:p>
    <w:p>
      <w:pPr>
        <w:spacing w:line="60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外事接待支出</w:t>
      </w:r>
      <w:r>
        <w:rPr>
          <w:rFonts w:hint="eastAsia" w:ascii="仿宋" w:hAnsi="仿宋" w:eastAsia="仿宋" w:cs="仿宋"/>
          <w:sz w:val="32"/>
          <w:szCs w:val="32"/>
        </w:rPr>
        <w:t>0万元，外事接待0批次，0人，共计支出0万元。</w:t>
      </w:r>
      <w:bookmarkStart w:id="60" w:name="_Toc15377218"/>
      <w:bookmarkStart w:id="61" w:name="_Toc15396610"/>
    </w:p>
    <w:p>
      <w:pPr>
        <w:spacing w:line="600" w:lineRule="exact"/>
        <w:ind w:firstLine="640"/>
        <w:outlineLvl w:val="1"/>
        <w:rPr>
          <w:rStyle w:val="26"/>
          <w:rFonts w:ascii="黑体" w:hAnsi="黑体" w:eastAsia="黑体"/>
        </w:rPr>
      </w:pPr>
      <w:bookmarkStart w:id="62" w:name="_Toc990972376_WPSOffice_Level2"/>
      <w:bookmarkStart w:id="63" w:name="_Toc6475"/>
      <w:r>
        <w:rPr>
          <w:rFonts w:hint="eastAsia" w:ascii="黑体" w:eastAsia="黑体"/>
          <w:sz w:val="32"/>
          <w:szCs w:val="32"/>
        </w:rPr>
        <w:t>八、</w:t>
      </w:r>
      <w:r>
        <w:rPr>
          <w:rStyle w:val="26"/>
          <w:rFonts w:hint="eastAsia" w:ascii="黑体" w:hAnsi="黑体" w:eastAsia="黑体"/>
          <w:b w:val="0"/>
        </w:rPr>
        <w:t>政府性基金预算支出决算情况说明</w:t>
      </w:r>
      <w:bookmarkEnd w:id="60"/>
      <w:bookmarkEnd w:id="61"/>
      <w:bookmarkEnd w:id="62"/>
      <w:bookmarkEnd w:id="63"/>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2020年政府性基金预算财政拨款支出0万元。</w:t>
      </w:r>
    </w:p>
    <w:p>
      <w:pPr>
        <w:numPr>
          <w:ilvl w:val="0"/>
          <w:numId w:val="3"/>
        </w:numPr>
        <w:spacing w:line="600" w:lineRule="exact"/>
        <w:ind w:firstLine="640"/>
        <w:outlineLvl w:val="1"/>
        <w:rPr>
          <w:rStyle w:val="26"/>
          <w:rFonts w:ascii="黑体" w:hAnsi="黑体" w:eastAsia="黑体"/>
          <w:b w:val="0"/>
        </w:rPr>
      </w:pPr>
      <w:bookmarkStart w:id="64" w:name="_Toc15396611"/>
      <w:bookmarkStart w:id="65" w:name="_Toc15377219"/>
      <w:bookmarkStart w:id="66" w:name="_Toc326137875_WPSOffice_Level2"/>
      <w:bookmarkStart w:id="67" w:name="_Toc16788"/>
      <w:r>
        <w:rPr>
          <w:rStyle w:val="26"/>
          <w:rFonts w:hint="eastAsia" w:ascii="黑体" w:hAnsi="黑体" w:eastAsia="黑体"/>
          <w:b w:val="0"/>
        </w:rPr>
        <w:t>国有资本经营预算支出决算情况说明</w:t>
      </w:r>
      <w:bookmarkEnd w:id="64"/>
      <w:bookmarkEnd w:id="65"/>
      <w:bookmarkEnd w:id="66"/>
      <w:bookmarkEnd w:id="67"/>
    </w:p>
    <w:p>
      <w:pPr>
        <w:spacing w:line="600" w:lineRule="exact"/>
        <w:ind w:firstLine="640"/>
        <w:rPr>
          <w:rFonts w:hint="eastAsia" w:ascii="仿宋_GB2312" w:hAnsi="仿宋_GB2312" w:eastAsia="仿宋_GB2312" w:cs="仿宋_GB2312"/>
          <w:sz w:val="44"/>
          <w:szCs w:val="44"/>
        </w:rPr>
      </w:pPr>
      <w:r>
        <w:rPr>
          <w:rFonts w:hint="eastAsia" w:ascii="仿宋_GB2312" w:hAnsi="仿宋_GB2312" w:eastAsia="仿宋_GB2312" w:cs="仿宋_GB2312"/>
          <w:sz w:val="32"/>
          <w:szCs w:val="32"/>
        </w:rPr>
        <w:t>2020年国有资本经营预算财政拨款支出0万元。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68" w:name="_Toc30970984_WPSOffice_Level2"/>
      <w:bookmarkStart w:id="69" w:name="_Toc15396612"/>
      <w:bookmarkStart w:id="70" w:name="_Toc15377221"/>
      <w:bookmarkStart w:id="71" w:name="_Toc19160"/>
      <w:r>
        <w:rPr>
          <w:rStyle w:val="26"/>
          <w:rFonts w:hint="eastAsia" w:ascii="黑体" w:hAnsi="黑体" w:eastAsia="黑体"/>
          <w:b w:val="0"/>
        </w:rPr>
        <w:t>其他重要事项的情况说明</w:t>
      </w:r>
      <w:bookmarkEnd w:id="68"/>
      <w:bookmarkEnd w:id="69"/>
      <w:bookmarkEnd w:id="70"/>
      <w:bookmarkEnd w:id="71"/>
    </w:p>
    <w:p>
      <w:pPr>
        <w:spacing w:line="600" w:lineRule="exact"/>
        <w:ind w:firstLine="643" w:firstLineChars="200"/>
        <w:outlineLvl w:val="2"/>
        <w:rPr>
          <w:rFonts w:hint="eastAsia" w:ascii="仿宋_GB2312" w:hAnsi="仿宋_GB2312" w:eastAsia="仿宋_GB2312" w:cs="仿宋_GB2312"/>
          <w:sz w:val="32"/>
          <w:szCs w:val="32"/>
        </w:rPr>
      </w:pPr>
      <w:bookmarkStart w:id="72" w:name="_Toc15377222"/>
      <w:r>
        <w:rPr>
          <w:rFonts w:hint="eastAsia" w:ascii="仿宋_GB2312" w:hAnsi="仿宋_GB2312" w:eastAsia="仿宋_GB2312" w:cs="仿宋_GB2312"/>
          <w:b/>
          <w:sz w:val="32"/>
          <w:szCs w:val="32"/>
        </w:rPr>
        <w:t>（一）机关运行经费支出情况</w:t>
      </w:r>
      <w:bookmarkEnd w:id="72"/>
    </w:p>
    <w:p>
      <w:pPr>
        <w:spacing w:line="600" w:lineRule="exact"/>
        <w:ind w:firstLine="640" w:firstLineChars="200"/>
        <w:rPr>
          <w:rFonts w:hint="eastAsia" w:ascii="仿宋_GB2312" w:hAnsi="仿宋_GB2312" w:eastAsia="仿宋_GB2312" w:cs="仿宋_GB2312"/>
          <w:sz w:val="32"/>
          <w:szCs w:val="32"/>
          <w:highlight w:val="none"/>
        </w:rPr>
      </w:pPr>
      <w:bookmarkStart w:id="73" w:name="_Toc15377223"/>
      <w:r>
        <w:rPr>
          <w:rFonts w:hint="eastAsia" w:ascii="仿宋_GB2312" w:hAnsi="仿宋_GB2312" w:eastAsia="仿宋_GB2312" w:cs="仿宋_GB2312"/>
          <w:sz w:val="32"/>
          <w:szCs w:val="32"/>
          <w:highlight w:val="none"/>
        </w:rPr>
        <w:t>四川省商务发展事务中心</w:t>
      </w:r>
      <w:r>
        <w:rPr>
          <w:rFonts w:hint="eastAsia" w:ascii="仿宋_GB2312" w:hAnsi="仿宋_GB2312" w:eastAsia="仿宋_GB2312" w:cs="仿宋_GB2312"/>
          <w:sz w:val="32"/>
          <w:szCs w:val="32"/>
          <w:highlight w:val="none"/>
          <w:lang w:eastAsia="zh-CN"/>
        </w:rPr>
        <w:t>为事业单位，无机关运行经费</w:t>
      </w:r>
      <w:r>
        <w:rPr>
          <w:rFonts w:hint="eastAsia" w:ascii="仿宋_GB2312" w:hAnsi="仿宋_GB2312" w:eastAsia="仿宋_GB2312" w:cs="仿宋_GB2312"/>
          <w:sz w:val="32"/>
          <w:szCs w:val="32"/>
          <w:highlight w:val="none"/>
        </w:rPr>
        <w:t>。</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（二）政府采购支出情况</w:t>
      </w:r>
      <w:bookmarkEnd w:id="73"/>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2020年，四川省商务发展事务中心政府采购支出总额0万元。</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sz w:val="32"/>
          <w:szCs w:val="32"/>
        </w:rPr>
      </w:pPr>
      <w:bookmarkStart w:id="74" w:name="_Toc15377224"/>
      <w:r>
        <w:rPr>
          <w:rFonts w:hint="eastAsia" w:ascii="仿宋_GB2312" w:hAnsi="仿宋_GB2312" w:eastAsia="仿宋_GB2312" w:cs="仿宋_GB2312"/>
          <w:b/>
          <w:sz w:val="32"/>
          <w:szCs w:val="32"/>
        </w:rPr>
        <w:t>（三）国有资产占有使用情况</w:t>
      </w:r>
      <w:bookmarkEnd w:id="74"/>
    </w:p>
    <w:p>
      <w:pPr>
        <w:autoSpaceDE w:val="0"/>
        <w:autoSpaceDN w:val="0"/>
        <w:adjustRightInd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截至2020年12月31日，四川省商务发展事务中心共有车辆0辆。单价50万元以上通用设备0台（套），单价100万元以上专用设备0台（套）。</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在2020年度预算编制阶段，组织对四川省外派劳务援助工作经费、四川省商务人才招聘会、会展业促进项目、商务培训项目开展了预算事前绩效评估，对4个项目编制了绩效目标，预算执行过程中，选取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个项目开展绩效监控，年终执行完毕后，对4个项目开展了绩效目标完成情况自评。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按要求对2020年部门整体支出开展绩效自评，从评价情况来看严格按照年初预算资金用途使用专项资金，整体完成情况较好。本部门还自行组织了4个项目支出绩效评价，从评价情况来看都完成既定项目目标，实现了一定的社会效益和经济效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1.项目绩效目标完成情况。</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在2020年度部门决算中反映四川省外派劳务援助工作经费、四川省商务人才招聘会、会展业促进项目、商务培训项目等4个项目绩效目标实际完成情况。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四川省外派劳务援助工作经费项目绩效目标完成情况综述。项目全年预算数12万元，执行数为12万元，完成预算的100%。通过项目实施培训，外派劳务人员增强了遵纪守约意识。2020年全年全省外派劳务运行平稳，未发生外派劳务人员严重劳务纠纷事件。发现的主要问题：由于受疫情的影响，2020年培训人员后派出人员大幅下降，造成外派劳务人员出国期望值下降，外派劳务公司经营效益大幅下降。</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改进措施：随着疫情防控工作进入常态化，国内外疫情形势处于一种错综复杂的形势，但疫情一旦好转，形势稳定，外派劳务的需求将出现井喷式的增长，为了抓住机会，中心更应该用一种超前的眼光，提前布局外派劳务培训，为外派劳务健康发展贡献力量。</w:t>
      </w:r>
    </w:p>
    <w:p>
      <w:pPr>
        <w:numPr>
          <w:ilvl w:val="0"/>
          <w:numId w:val="4"/>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四川省商务人才招聘会项目绩效目标完成情况综述。项目全年预算数8万元，执行数为8万元，完成预算的100%。通过项目实施，</w:t>
      </w:r>
      <w:r>
        <w:rPr>
          <w:rFonts w:hint="eastAsia" w:ascii="仿宋_GB2312" w:hAnsi="仿宋_GB2312" w:eastAsia="仿宋_GB2312" w:cs="仿宋_GB2312"/>
          <w:sz w:val="32"/>
          <w:szCs w:val="32"/>
          <w:lang w:val="zh-CN"/>
        </w:rPr>
        <w:t>求职者和用人单位都收获颇丰。四川省商务发展事务中心也将为商务类人才持续提供各类形式的就业支持。</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zh-CN"/>
        </w:rPr>
        <w:t>规模偏小，不能产生规模效应；疫情影响，就业岗位较少；供需不匹配。</w:t>
      </w:r>
      <w:r>
        <w:rPr>
          <w:rFonts w:hint="eastAsia" w:ascii="仿宋_GB2312" w:hAnsi="仿宋_GB2312" w:eastAsia="仿宋_GB2312" w:cs="仿宋_GB2312"/>
          <w:sz w:val="32"/>
          <w:szCs w:val="32"/>
        </w:rPr>
        <w:t>下一步改进措施：暂无。</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展业促进项目绩效目标完成情况综述。项目全年预算数40万元，执行数为39.93万元，完成预算的99.83%。通过项目实施，参加举办了第九届茶博会首届咖啡展和第八届健康和养老四川国际产业博览会，促进了会展行业的发展。发现的主要问题：规模偏小，不能产生良好的产业效益；疫情影响，采购商偏少；参展的企业类别单一。下一步改进措施：一是，进一步了解企业需求，量身打造服务项目。同时将参展企业纳入现有的企业信息数据库，保持常态化的客户关系维护及跟踪管理服务，做好数据资源的整合及动态更新工作，不断提升信息化技术应用水平，有助于更好地掌握市场信息和发展趋势，开辟新的合作空间；二是，借助川茶产业生态优势、资源优势和文化优势，顺应市场变化，关注消费者需求，助推四川茶博会办出特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体现专业化、国际化、市场化、品牌化水平，激发跨国界、跨文化多元合作的无限潜能，为我省经济高质量发展贡献力量。</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务培训项目绩效目标完成情况综述。项目全年预算数80万元，执行数为79.99万元，完成预算的99.99%。通过项目实施，促进了商务培训的发展。发现的主要问题：培训课程缺乏体系化；培训课程需要长期实施和周期性；培训资金缺乏；培训师资匮乏，尤其是优秀师资。受授课老师讲课费标准限制，很难邀请到优秀师资。下一步改进措施：根据疫情防控工作要求，严格落实《常态化疫情防控形势下线下培训会议管理方案》；借助外部专家库，研发体系化课程，提升培训课程含金量；合理合规使用培训资金，适当调高培训师资费用标准；随着疫情好转，形势稳定，外派劳务的需求将出现井喷式的增长，为了抓住机会，中心更应该用一种超前的眼光，提前布局外派劳务培训。</w:t>
      </w:r>
    </w:p>
    <w:p>
      <w:pPr>
        <w:spacing w:line="580" w:lineRule="exact"/>
        <w:ind w:firstLine="640" w:firstLineChars="200"/>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pStyle w:val="2"/>
      </w:pPr>
    </w:p>
    <w:p>
      <w:pPr>
        <w:pStyle w:val="2"/>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36"/>
                <w:szCs w:val="36"/>
              </w:rPr>
            </w:pPr>
            <w:r>
              <w:rPr>
                <w:rFonts w:hint="eastAsia" w:ascii="仿宋_GB2312" w:hAnsi="仿宋_GB2312" w:eastAsia="仿宋_GB2312" w:cs="仿宋_GB2312"/>
                <w:b/>
                <w:bCs/>
                <w:kern w:val="0"/>
                <w:sz w:val="36"/>
                <w:szCs w:val="36"/>
              </w:rPr>
              <w:t>项目绩效目标完成情况表</w:t>
            </w:r>
            <w:r>
              <w:rPr>
                <w:rFonts w:hint="eastAsia" w:ascii="仿宋_GB2312" w:hAnsi="仿宋_GB2312" w:eastAsia="仿宋_GB2312" w:cs="仿宋_GB2312"/>
                <w:b/>
                <w:bCs/>
                <w:kern w:val="0"/>
                <w:sz w:val="36"/>
                <w:szCs w:val="36"/>
              </w:rPr>
              <w:br w:type="textWrapping"/>
            </w:r>
            <w:r>
              <w:rPr>
                <w:rFonts w:hint="eastAsia" w:ascii="仿宋_GB2312" w:hAnsi="仿宋_GB2312" w:eastAsia="仿宋_GB2312" w:cs="仿宋_GB2312"/>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四川省外派劳务援助中心工作经费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四川省商务发展事务中心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7.99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聘请律师担任法律顾问，为外派劳务人员提供法律援助和服务；负责全省对外劳务合作服务平台管理及指导工作，负责对外派劳务人员培训。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对外劳务合作微信小程序系统开发</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期数、人数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举办外派劳务培训班2期，培训外派劳务人员100人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对外劳务合作微信小程序系统开发</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培训合格率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培训合格率95%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程序已开发完成合格率95%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项目按时完成率95%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项目按时完成率100%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纠纷率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外派劳务纠纷率小于2%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程序已建立了劳务纠纷处理机制</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满意度大于95%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满意度大于95%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r>
    </w:tbl>
    <w:p>
      <w:pPr>
        <w:spacing w:line="580" w:lineRule="exact"/>
        <w:ind w:firstLine="640" w:firstLineChars="200"/>
        <w:rPr>
          <w:rFonts w:hint="eastAsia"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36"/>
                <w:szCs w:val="36"/>
              </w:rPr>
            </w:pPr>
            <w:r>
              <w:rPr>
                <w:rFonts w:hint="eastAsia" w:ascii="仿宋_GB2312" w:hAnsi="仿宋_GB2312" w:eastAsia="仿宋_GB2312" w:cs="仿宋_GB2312"/>
                <w:b/>
                <w:bCs/>
                <w:kern w:val="0"/>
                <w:sz w:val="36"/>
                <w:szCs w:val="36"/>
              </w:rPr>
              <w:t>项目绩效目标完成情况表</w:t>
            </w:r>
            <w:r>
              <w:rPr>
                <w:rFonts w:hint="eastAsia" w:ascii="仿宋_GB2312" w:hAnsi="仿宋_GB2312" w:eastAsia="仿宋_GB2312" w:cs="仿宋_GB2312"/>
                <w:b/>
                <w:bCs/>
                <w:kern w:val="0"/>
                <w:sz w:val="36"/>
                <w:szCs w:val="36"/>
              </w:rPr>
              <w:br w:type="textWrapping"/>
            </w:r>
            <w:r>
              <w:rPr>
                <w:rFonts w:hint="eastAsia" w:ascii="仿宋_GB2312" w:hAnsi="仿宋_GB2312" w:eastAsia="仿宋_GB2312" w:cs="仿宋_GB2312"/>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2020年四川商务人才招聘会</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四川省商务发展事务中心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拟定举办两场招聘会：                                       一、四川商务人才招聘会专场</w:t>
            </w:r>
          </w:p>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二、四川商务企业中高端人才招聘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受疫情影响，只举办了“2020</w:t>
            </w:r>
            <w:r>
              <w:rPr>
                <w:rFonts w:hint="eastAsia" w:ascii="仿宋_GB2312" w:hAnsi="仿宋_GB2312" w:eastAsia="仿宋_GB2312" w:cs="仿宋_GB2312"/>
                <w:sz w:val="24"/>
                <w:lang w:val="zh-TW" w:eastAsia="zh-TW"/>
              </w:rPr>
              <w:t>四川省商务人才就业专场招聘会</w:t>
            </w:r>
            <w:r>
              <w:rPr>
                <w:rFonts w:hint="eastAsia" w:ascii="仿宋_GB2312" w:hAnsi="仿宋_GB2312" w:eastAsia="仿宋_GB2312" w:cs="仿宋_GB2312"/>
                <w:sz w:val="24"/>
              </w:rPr>
              <w:t>”和</w:t>
            </w:r>
            <w:r>
              <w:rPr>
                <w:rFonts w:hint="eastAsia" w:ascii="仿宋_GB2312" w:hAnsi="仿宋_GB2312" w:eastAsia="仿宋_GB2312" w:cs="仿宋_GB2312"/>
                <w:sz w:val="24"/>
                <w:lang w:val="zh-TW" w:eastAsia="zh-TW"/>
              </w:rPr>
              <w:t>主题为</w:t>
            </w:r>
            <w:r>
              <w:rPr>
                <w:rFonts w:hint="eastAsia" w:ascii="仿宋_GB2312" w:hAnsi="仿宋_GB2312" w:eastAsia="仿宋_GB2312" w:cs="仿宋_GB2312"/>
                <w:sz w:val="24"/>
              </w:rPr>
              <w:t>“</w:t>
            </w:r>
            <w:r>
              <w:rPr>
                <w:rFonts w:hint="eastAsia" w:ascii="仿宋_GB2312" w:hAnsi="仿宋_GB2312" w:eastAsia="仿宋_GB2312" w:cs="仿宋_GB2312"/>
                <w:sz w:val="24"/>
                <w:lang w:val="zh-TW" w:eastAsia="zh-TW"/>
              </w:rPr>
              <w:t>疫情防控常态化下，大学生就业工作何去何从</w:t>
            </w:r>
            <w:r>
              <w:rPr>
                <w:rFonts w:hint="eastAsia" w:ascii="仿宋_GB2312" w:hAnsi="仿宋_GB2312" w:eastAsia="仿宋_GB2312" w:cs="仿宋_GB2312"/>
                <w:sz w:val="24"/>
              </w:rPr>
              <w:t>”</w:t>
            </w:r>
            <w:r>
              <w:rPr>
                <w:rFonts w:hint="eastAsia" w:ascii="仿宋_GB2312" w:hAnsi="仿宋_GB2312" w:eastAsia="仿宋_GB2312" w:cs="仿宋_GB2312"/>
                <w:sz w:val="24"/>
                <w:lang w:val="zh-TW" w:eastAsia="zh-TW"/>
              </w:rPr>
              <w:t>的就业创业公益培训讲座</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完成招聘企业数量、完成中高端职位招聘企业数量、完成现场求职人次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最终进场求职人才达</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万人次，共有参会单位</w:t>
            </w:r>
            <w:r>
              <w:rPr>
                <w:rFonts w:hint="eastAsia" w:ascii="仿宋_GB2312" w:hAnsi="仿宋_GB2312" w:eastAsia="仿宋_GB2312" w:cs="仿宋_GB2312"/>
                <w:sz w:val="24"/>
                <w:lang w:val="en-US" w:eastAsia="zh-CN"/>
              </w:rPr>
              <w:t>500</w:t>
            </w:r>
            <w:r>
              <w:rPr>
                <w:rFonts w:hint="eastAsia" w:ascii="仿宋_GB2312" w:hAnsi="仿宋_GB2312" w:eastAsia="仿宋_GB2312" w:cs="仿宋_GB2312"/>
                <w:sz w:val="24"/>
              </w:rPr>
              <w:t>家，发布的岗位需求2</w:t>
            </w:r>
            <w:r>
              <w:rPr>
                <w:rFonts w:hint="eastAsia" w:ascii="仿宋_GB2312" w:hAnsi="仿宋_GB2312" w:eastAsia="仿宋_GB2312" w:cs="仿宋_GB2312"/>
                <w:sz w:val="24"/>
                <w:lang w:val="en-US" w:eastAsia="zh-CN"/>
              </w:rPr>
              <w:t>0000</w:t>
            </w:r>
            <w:r>
              <w:rPr>
                <w:rFonts w:hint="eastAsia" w:ascii="仿宋_GB2312" w:hAnsi="仿宋_GB2312" w:eastAsia="仿宋_GB2312" w:cs="仿宋_GB2312"/>
                <w:sz w:val="24"/>
              </w:rPr>
              <w:t>人，平均月薪</w:t>
            </w:r>
            <w:r>
              <w:rPr>
                <w:rFonts w:hint="eastAsia" w:ascii="仿宋_GB2312" w:hAnsi="仿宋_GB2312" w:eastAsia="仿宋_GB2312" w:cs="仿宋_GB2312"/>
                <w:sz w:val="24"/>
                <w:lang w:val="en-US" w:eastAsia="zh-CN"/>
              </w:rPr>
              <w:t>6000</w:t>
            </w:r>
            <w:r>
              <w:rPr>
                <w:rFonts w:hint="eastAsia" w:ascii="仿宋_GB2312" w:hAnsi="仿宋_GB2312" w:eastAsia="仿宋_GB2312" w:cs="仿宋_GB2312"/>
                <w:sz w:val="24"/>
              </w:rPr>
              <w:t>元</w:t>
            </w:r>
            <w:r>
              <w:rPr>
                <w:rFonts w:hint="eastAsia" w:ascii="仿宋_GB2312" w:hAnsi="仿宋_GB2312" w:eastAsia="仿宋_GB2312" w:cs="仿宋_GB2312"/>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最终进场求职人才达1.8万人次，共有参会单位611家，发布的岗位需求23106人，平均月薪7877元，其中，面向高校毕业生等无需工作经验的岗位需求13141人，占比57%。参会单位中，共有世界500强企业8家、中国500强企业10家、成都100强企业15家、东部新区企业38家，涉及机械制造、贸易物流、食品加工、电子商务等多个行业。</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企业满意度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满意度9</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按期完成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按期完成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管理成本降低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项目管理成本降低了</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项目管理成本降低了3%</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企业HR聘用增长率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落实《四川省“天府万人计划”实施办法》，助力“蓉漂”计划</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增长率10%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对社会就业工作的促进作用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完成线上招聘流程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落实《四川省“天府万人计划”实施办法》，助力“蓉漂”计划</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完善线上招聘流程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促进社会稳定，增加人民的幸福感，人人都有奋斗目标。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未完成</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471"/>
              </w:tabs>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ab/>
            </w:r>
            <w:r>
              <w:rPr>
                <w:rFonts w:hint="eastAsia" w:ascii="仿宋_GB2312" w:hAnsi="仿宋_GB2312" w:eastAsia="仿宋_GB2312" w:cs="仿宋_GB2312"/>
                <w:sz w:val="24"/>
              </w:rPr>
              <w:t>促进商务人才就业，商务事业持续发展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满意度9</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促进社会稳定，增加人民的幸福感，人人都有奋斗目标。</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满意度9</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满意度95%</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r>
    </w:tbl>
    <w:p>
      <w:pPr>
        <w:pStyle w:val="2"/>
        <w:spacing w:before="93"/>
        <w:rPr>
          <w:rFonts w:hint="eastAsia" w:ascii="仿宋_GB2312" w:hAnsi="仿宋_GB2312" w:eastAsia="仿宋_GB2312" w:cs="仿宋_GB2312"/>
        </w:rPr>
      </w:pPr>
    </w:p>
    <w:p>
      <w:pPr>
        <w:pStyle w:val="2"/>
        <w:spacing w:before="93"/>
        <w:rPr>
          <w:rFonts w:hint="eastAsia" w:ascii="仿宋_GB2312" w:hAnsi="仿宋_GB2312" w:eastAsia="仿宋_GB2312" w:cs="仿宋_GB2312"/>
        </w:rPr>
      </w:pPr>
    </w:p>
    <w:p>
      <w:pPr>
        <w:pStyle w:val="2"/>
        <w:spacing w:before="93"/>
        <w:rPr>
          <w:rFonts w:hint="eastAsia" w:ascii="仿宋_GB2312" w:hAnsi="仿宋_GB2312" w:eastAsia="仿宋_GB2312" w:cs="仿宋_GB231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36"/>
                <w:szCs w:val="36"/>
              </w:rPr>
            </w:pPr>
            <w:r>
              <w:rPr>
                <w:rFonts w:hint="eastAsia" w:ascii="仿宋_GB2312" w:hAnsi="仿宋_GB2312" w:eastAsia="仿宋_GB2312" w:cs="仿宋_GB2312"/>
                <w:b/>
                <w:bCs/>
                <w:kern w:val="0"/>
                <w:sz w:val="36"/>
                <w:szCs w:val="36"/>
              </w:rPr>
              <w:t>项目绩效目标完成情况表</w:t>
            </w:r>
            <w:r>
              <w:rPr>
                <w:rFonts w:hint="eastAsia" w:ascii="仿宋_GB2312" w:hAnsi="仿宋_GB2312" w:eastAsia="仿宋_GB2312" w:cs="仿宋_GB2312"/>
                <w:b/>
                <w:bCs/>
                <w:kern w:val="0"/>
                <w:sz w:val="36"/>
                <w:szCs w:val="36"/>
              </w:rPr>
              <w:br w:type="textWrapping"/>
            </w:r>
            <w:r>
              <w:rPr>
                <w:rFonts w:hint="eastAsia" w:ascii="仿宋_GB2312" w:hAnsi="仿宋_GB2312" w:eastAsia="仿宋_GB2312" w:cs="仿宋_GB2312"/>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2020年会展促进项目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四川省商务发展事务中心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39.93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39.93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通过举办各类展会及邀请各行业企业参展带动内外贸的消费需求，促进会展行业发展。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通过举办第九届茶博会、首届咖啡展和第八届健康和养老四川国际产业博览会，促进了会展行业的发展。</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参展企业数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参展企业数达</w:t>
            </w:r>
            <w:r>
              <w:rPr>
                <w:rFonts w:hint="eastAsia" w:ascii="仿宋_GB2312" w:hAnsi="仿宋_GB2312" w:eastAsia="仿宋_GB2312" w:cs="仿宋_GB2312"/>
                <w:sz w:val="24"/>
                <w:lang w:val="en-US" w:eastAsia="zh-CN"/>
              </w:rPr>
              <w:t>48家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受疫情影响，主要参加国内知名参会，实际完成50家企业参展，有80人参加展会。完成合作意向协议三份，金额总计300万元。</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完成境外合作意向协议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达成合作意向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受疫情影响，主要参加国内知名参会，实际完成50家企业参展，有80人参加展会。完成合作意向协议三份，金额总计300万元。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完成参会人员数量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参会人员</w:t>
            </w:r>
            <w:r>
              <w:rPr>
                <w:rFonts w:hint="eastAsia" w:ascii="仿宋_GB2312" w:hAnsi="仿宋_GB2312" w:eastAsia="仿宋_GB2312" w:cs="仿宋_GB2312"/>
                <w:sz w:val="24"/>
                <w:lang w:val="en-US" w:eastAsia="zh-CN"/>
              </w:rPr>
              <w:t>75人以上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受疫情影响，主要参加国内知名参会，实际完成50家企业参展，有80人参加展会。完成合作意向协议三份，金额总计300万元。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参展企业满意度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满意度达94%</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满意度95%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项目按期完成率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按期完成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按期完成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采购（租赁等）成本降低率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降低成本3%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项目管理成本降低了3%</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参展企业业务量提高率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拓展市场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助力企业拓展市场，取得市场份额</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对四川会展工作的促进作用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促进会展发展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繁荣四川会展经济，促进四川会展产业发展</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展会对企业发展助力的影响力指数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提升影响力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为参展企业拓宽了视野、提供了未来产品的新思路。</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满意度达</w:t>
            </w:r>
            <w:r>
              <w:rPr>
                <w:rFonts w:hint="eastAsia" w:ascii="仿宋_GB2312" w:hAnsi="仿宋_GB2312" w:eastAsia="仿宋_GB2312" w:cs="仿宋_GB2312"/>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满意度95%</w:t>
            </w:r>
          </w:p>
        </w:tc>
      </w:tr>
    </w:tbl>
    <w:p>
      <w:pPr>
        <w:rPr>
          <w:rFonts w:hint="eastAsia" w:ascii="仿宋_GB2312" w:hAnsi="仿宋_GB2312" w:eastAsia="仿宋_GB2312" w:cs="仿宋_GB2312"/>
        </w:rPr>
      </w:pPr>
    </w:p>
    <w:p>
      <w:pPr>
        <w:pStyle w:val="2"/>
        <w:spacing w:before="93"/>
        <w:rPr>
          <w:rFonts w:hint="eastAsia" w:ascii="仿宋_GB2312" w:hAnsi="仿宋_GB2312" w:eastAsia="仿宋_GB2312" w:cs="仿宋_GB2312"/>
        </w:rPr>
      </w:pPr>
    </w:p>
    <w:p>
      <w:pPr>
        <w:pStyle w:val="2"/>
        <w:spacing w:before="93"/>
        <w:rPr>
          <w:rFonts w:hint="eastAsia" w:ascii="仿宋_GB2312" w:hAnsi="仿宋_GB2312" w:eastAsia="仿宋_GB2312" w:cs="仿宋_GB231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36"/>
                <w:szCs w:val="36"/>
              </w:rPr>
            </w:pPr>
            <w:r>
              <w:rPr>
                <w:rFonts w:hint="eastAsia" w:ascii="仿宋_GB2312" w:hAnsi="仿宋_GB2312" w:eastAsia="仿宋_GB2312" w:cs="仿宋_GB2312"/>
                <w:b/>
                <w:bCs/>
                <w:kern w:val="0"/>
                <w:sz w:val="36"/>
                <w:szCs w:val="36"/>
              </w:rPr>
              <w:t>项目绩效目标完成情况表</w:t>
            </w:r>
            <w:r>
              <w:rPr>
                <w:rFonts w:hint="eastAsia" w:ascii="仿宋_GB2312" w:hAnsi="仿宋_GB2312" w:eastAsia="仿宋_GB2312" w:cs="仿宋_GB2312"/>
                <w:b/>
                <w:bCs/>
                <w:kern w:val="0"/>
                <w:sz w:val="36"/>
                <w:szCs w:val="36"/>
              </w:rPr>
              <w:br w:type="textWrapping"/>
            </w:r>
            <w:r>
              <w:rPr>
                <w:rFonts w:hint="eastAsia" w:ascii="仿宋_GB2312" w:hAnsi="仿宋_GB2312" w:eastAsia="仿宋_GB2312" w:cs="仿宋_GB2312"/>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32"/>
                <w:szCs w:val="32"/>
              </w:rPr>
              <w:t>商务培训项目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四川省商务发展事务中心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79.99</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79.99</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预计举办10期，培训1000人次。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zh-TW"/>
              </w:rPr>
              <w:t>受疫情影响，实际举办了</w:t>
            </w:r>
            <w:r>
              <w:rPr>
                <w:rFonts w:hint="eastAsia" w:ascii="仿宋_GB2312" w:hAnsi="仿宋_GB2312" w:eastAsia="仿宋_GB2312" w:cs="仿宋_GB2312"/>
                <w:sz w:val="24"/>
              </w:rPr>
              <w:t>10期培训。主办了2020年抗疫惠企系列在线培训项目，8期主题；2020年产业链精准招商实务技能培训项目、2020年川企管理创新能力提升培训班</w:t>
            </w:r>
          </w:p>
          <w:p>
            <w:pPr>
              <w:widowControl/>
              <w:jc w:val="center"/>
              <w:textAlignment w:val="center"/>
              <w:rPr>
                <w:rFonts w:hint="eastAsia" w:ascii="仿宋_GB2312" w:hAnsi="仿宋_GB2312" w:eastAsia="仿宋_GB2312" w:cs="仿宋_GB2312"/>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uppressAutoHyphens/>
              <w:bidi w:val="0"/>
              <w:spacing w:line="580" w:lineRule="exact"/>
              <w:rPr>
                <w:rFonts w:hint="eastAsia" w:ascii="仿宋_GB2312" w:hAnsi="仿宋_GB2312" w:eastAsia="仿宋_GB2312" w:cs="仿宋_GB2312"/>
                <w:sz w:val="24"/>
              </w:rPr>
            </w:pPr>
            <w:r>
              <w:rPr>
                <w:rFonts w:hint="eastAsia" w:ascii="仿宋_GB2312" w:hAnsi="仿宋_GB2312" w:eastAsia="仿宋_GB2312" w:cs="仿宋_GB2312"/>
                <w:sz w:val="24"/>
              </w:rPr>
              <w:t>完成培训人数数量</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完成培训期数数量</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完成培训企业家数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培训</w:t>
            </w:r>
            <w:r>
              <w:rPr>
                <w:rFonts w:hint="eastAsia" w:ascii="仿宋_GB2312" w:hAnsi="仿宋_GB2312" w:eastAsia="仿宋_GB2312" w:cs="仿宋_GB2312"/>
                <w:sz w:val="24"/>
                <w:lang w:val="en-US" w:eastAsia="zh-CN"/>
              </w:rPr>
              <w:t>2000人，10开办期，500家企业参加</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完成10期培训，近2000人参加培训，一共有500家企业参加培训</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uppressAutoHyphens/>
              <w:bidi w:val="0"/>
              <w:spacing w:line="58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满意度达</w:t>
            </w:r>
            <w:r>
              <w:rPr>
                <w:rFonts w:hint="eastAsia" w:ascii="仿宋_GB2312" w:hAnsi="仿宋_GB2312" w:eastAsia="仿宋_GB2312" w:cs="仿宋_GB2312"/>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项目按期完成率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按期完成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按期完成</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管理成本降低</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管理成本下降</w:t>
            </w:r>
            <w:r>
              <w:rPr>
                <w:rFonts w:hint="eastAsia" w:ascii="仿宋_GB2312" w:hAnsi="仿宋_GB2312" w:eastAsia="仿宋_GB2312" w:cs="仿宋_GB2312"/>
                <w:sz w:val="24"/>
                <w:lang w:val="en-US" w:eastAsia="zh-CN"/>
              </w:rPr>
              <w:t>3%</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项目管理成本降低了3%</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经济效益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培训人员就业率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培训人员就业率达</w:t>
            </w:r>
            <w:r>
              <w:rPr>
                <w:rFonts w:hint="eastAsia" w:ascii="仿宋_GB2312" w:hAnsi="仿宋_GB2312" w:eastAsia="仿宋_GB2312" w:cs="仿宋_GB2312"/>
                <w:sz w:val="24"/>
                <w:lang w:val="en-US" w:eastAsia="zh-CN"/>
              </w:rPr>
              <w:t>98%以上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就业率100%</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对人才强商工作的促进作用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解决具体困难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进一步明确了政策、要求及业务办理程序，对具体操作过程中遇到的困难问题，给出了解决办法和指导意见，指导企业开展业务，效果极好。</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培训企业人员数量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培训人数达到</w:t>
            </w:r>
            <w:r>
              <w:rPr>
                <w:rFonts w:hint="eastAsia" w:ascii="仿宋_GB2312" w:hAnsi="仿宋_GB2312" w:eastAsia="仿宋_GB2312" w:cs="仿宋_GB2312"/>
                <w:sz w:val="24"/>
                <w:lang w:val="en-US" w:eastAsia="zh-CN"/>
              </w:rPr>
              <w:t>2000人次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2000人次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471"/>
              </w:tabs>
              <w:jc w:val="left"/>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参训学员对企业的贡献值</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稳定学员就业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稳定学员的就业，提高企业员工的技能，扩大知识面，学员多维度了解企业的运作。</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满意度达到</w:t>
            </w:r>
            <w:r>
              <w:rPr>
                <w:rFonts w:hint="eastAsia" w:ascii="仿宋_GB2312" w:hAnsi="仿宋_GB2312" w:eastAsia="仿宋_GB2312" w:cs="仿宋_GB2312"/>
                <w:sz w:val="24"/>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满意度95%</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r>
    </w:tbl>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ind w:left="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2.单位绩效评价结果。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行组织对四川省外派劳务援助工作经费项目、四川省商务人才招聘项目、会展促进项目、商务培训项目开展了绩效评价，《2020年四川省外派劳务援助工作经费项目支出绩效自评报告》、《2020年四川省商务人才招聘项目支出绩效自评报告》、《2020年会展促进项目项目支出绩效自评报告》、《2020年商务培训项目支出绩效自评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75" w:name="_Toc15377225"/>
      <w:bookmarkStart w:id="76" w:name="_Toc15396613"/>
      <w:bookmarkStart w:id="77" w:name="_Toc1121244782_WPSOffice_Level1"/>
      <w:bookmarkStart w:id="78" w:name="_Toc28447"/>
      <w:r>
        <w:rPr>
          <w:rFonts w:hint="eastAsia" w:ascii="黑体" w:hAnsi="黑体" w:eastAsia="黑体"/>
          <w:color w:val="000000"/>
          <w:sz w:val="44"/>
          <w:szCs w:val="44"/>
        </w:rPr>
        <w:t>名</w:t>
      </w:r>
      <w:r>
        <w:rPr>
          <w:rStyle w:val="25"/>
          <w:rFonts w:hint="eastAsia" w:ascii="黑体" w:hAnsi="黑体" w:eastAsia="黑体"/>
          <w:b w:val="0"/>
        </w:rPr>
        <w:t>词解释</w:t>
      </w:r>
      <w:bookmarkEnd w:id="75"/>
      <w:bookmarkEnd w:id="76"/>
      <w:bookmarkEnd w:id="77"/>
      <w:bookmarkEnd w:id="78"/>
    </w:p>
    <w:p>
      <w:pPr>
        <w:spacing w:line="600" w:lineRule="exact"/>
        <w:jc w:val="left"/>
        <w:rPr>
          <w:rFonts w:ascii="宋体"/>
          <w:b/>
          <w:color w:val="000000"/>
          <w:sz w:val="44"/>
          <w:szCs w:val="44"/>
        </w:rPr>
      </w:pPr>
    </w:p>
    <w:p>
      <w:pPr>
        <w:pStyle w:val="23"/>
        <w:spacing w:line="560" w:lineRule="exact"/>
        <w:ind w:firstLine="640" w:firstLineChars="200"/>
        <w:jc w:val="both"/>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经营收入：指事业单位在专业业务活动及其辅助活动之外开展非独立核算经营活动取得的收入。如</w:t>
      </w:r>
      <w:r>
        <w:rPr>
          <w:rFonts w:hint="eastAsia" w:ascii="仿宋_GB2312" w:eastAsia="仿宋_GB2312"/>
          <w:sz w:val="32"/>
          <w:szCs w:val="32"/>
          <w:lang w:eastAsia="zh-CN"/>
        </w:rPr>
        <w:t>服务费、会议展览服务费、培训费</w:t>
      </w:r>
      <w:r>
        <w:rPr>
          <w:rFonts w:hint="eastAsia" w:ascii="仿宋_GB2312" w:eastAsia="仿宋_GB2312"/>
          <w:sz w:val="32"/>
          <w:szCs w:val="32"/>
        </w:rPr>
        <w:t>等。</w:t>
      </w:r>
    </w:p>
    <w:p>
      <w:pPr>
        <w:pStyle w:val="23"/>
        <w:spacing w:line="560" w:lineRule="exact"/>
        <w:ind w:firstLine="640" w:firstLineChars="200"/>
        <w:jc w:val="both"/>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房屋租赁收入、利息收入、股权投资分红收入</w:t>
      </w:r>
      <w:r>
        <w:rPr>
          <w:rFonts w:hint="eastAsia" w:ascii="仿宋_GB2312" w:eastAsia="仿宋_GB2312"/>
          <w:sz w:val="32"/>
          <w:szCs w:val="32"/>
        </w:rPr>
        <w:t>等。</w:t>
      </w:r>
    </w:p>
    <w:p>
      <w:pPr>
        <w:pStyle w:val="23"/>
        <w:spacing w:line="560" w:lineRule="exact"/>
        <w:ind w:firstLine="640" w:firstLineChars="200"/>
        <w:jc w:val="both"/>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年初结转和结余：指以前年度尚未完成、结转到本年按有关规定继续使用的资金</w:t>
      </w:r>
      <w:r>
        <w:rPr>
          <w:rFonts w:hint="eastAsia" w:ascii="仿宋_GB2312" w:eastAsia="仿宋_GB2312"/>
          <w:sz w:val="32"/>
          <w:szCs w:val="32"/>
          <w:lang w:eastAsia="zh-CN"/>
        </w:rPr>
        <w:t>，中心仅限于上年经营结余</w:t>
      </w:r>
      <w:r>
        <w:rPr>
          <w:rFonts w:hint="eastAsia" w:ascii="仿宋_GB2312" w:eastAsia="仿宋_GB2312"/>
          <w:sz w:val="32"/>
          <w:szCs w:val="32"/>
        </w:rPr>
        <w:t>。</w:t>
      </w:r>
      <w:r>
        <w:rPr>
          <w:rFonts w:ascii="仿宋_GB2312" w:eastAsia="仿宋_GB2312"/>
          <w:sz w:val="32"/>
          <w:szCs w:val="32"/>
        </w:rPr>
        <w:t xml:space="preserve">  </w:t>
      </w:r>
    </w:p>
    <w:p>
      <w:pPr>
        <w:pStyle w:val="23"/>
        <w:spacing w:line="560" w:lineRule="exact"/>
        <w:ind w:firstLine="640" w:firstLineChars="200"/>
        <w:jc w:val="both"/>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年末结转和结余：指单位按有关规定结转到下年或以后年度继续使用的资金</w:t>
      </w:r>
      <w:r>
        <w:rPr>
          <w:rFonts w:hint="eastAsia" w:ascii="仿宋_GB2312" w:eastAsia="仿宋_GB2312"/>
          <w:sz w:val="32"/>
          <w:szCs w:val="32"/>
          <w:lang w:eastAsia="zh-CN"/>
        </w:rPr>
        <w:t>，中心仅限于本年累计经营结余。</w:t>
      </w:r>
      <w:r>
        <w:rPr>
          <w:rFonts w:ascii="仿宋_GB2312" w:eastAsia="仿宋_GB2312"/>
          <w:sz w:val="32"/>
          <w:szCs w:val="32"/>
        </w:rPr>
        <w:t xml:space="preserve"> </w:t>
      </w:r>
    </w:p>
    <w:p>
      <w:pPr>
        <w:pStyle w:val="23"/>
        <w:spacing w:line="560" w:lineRule="exact"/>
        <w:ind w:firstLine="640" w:firstLineChars="200"/>
        <w:jc w:val="both"/>
        <w:rPr>
          <w:rFonts w:hint="eastAsia" w:ascii="仿宋_GB2312" w:eastAsia="仿宋_GB2312"/>
          <w:sz w:val="32"/>
          <w:szCs w:val="32"/>
        </w:rPr>
      </w:pPr>
      <w:r>
        <w:rPr>
          <w:rFonts w:ascii="仿宋_GB2312" w:eastAsia="仿宋_GB2312"/>
          <w:sz w:val="32"/>
          <w:szCs w:val="32"/>
        </w:rPr>
        <w:t xml:space="preserve">6. </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商贸事务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事业运行</w:t>
      </w:r>
      <w:r>
        <w:rPr>
          <w:rFonts w:hint="eastAsia" w:ascii="仿宋_GB2312" w:eastAsia="仿宋_GB2312"/>
          <w:color w:val="000000"/>
          <w:sz w:val="32"/>
          <w:szCs w:val="32"/>
        </w:rPr>
        <w:t>（项）：指</w:t>
      </w:r>
      <w:r>
        <w:rPr>
          <w:rFonts w:hint="eastAsia" w:ascii="仿宋_GB2312" w:eastAsia="仿宋_GB2312"/>
          <w:sz w:val="32"/>
          <w:szCs w:val="32"/>
          <w:lang w:eastAsia="zh-CN"/>
        </w:rPr>
        <w:t>中心的基本支出。</w:t>
      </w:r>
    </w:p>
    <w:p>
      <w:pPr>
        <w:pStyle w:val="23"/>
        <w:spacing w:line="560" w:lineRule="exact"/>
        <w:ind w:firstLine="640" w:firstLineChars="200"/>
        <w:jc w:val="both"/>
        <w:rPr>
          <w:rFonts w:ascii="仿宋_GB2312" w:eastAsia="仿宋_GB2312"/>
          <w:sz w:val="32"/>
          <w:szCs w:val="32"/>
        </w:rPr>
      </w:pPr>
      <w:r>
        <w:rPr>
          <w:rFonts w:ascii="仿宋_GB2312" w:eastAsia="仿宋_GB2312"/>
          <w:sz w:val="32"/>
          <w:szCs w:val="32"/>
        </w:rPr>
        <w:t>7.</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商贸事务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其他商贸事务支出</w:t>
      </w:r>
      <w:r>
        <w:rPr>
          <w:rFonts w:hint="eastAsia" w:ascii="仿宋_GB2312" w:eastAsia="仿宋_GB2312"/>
          <w:color w:val="000000"/>
          <w:sz w:val="32"/>
          <w:szCs w:val="32"/>
        </w:rPr>
        <w:t>（项）：指</w:t>
      </w:r>
      <w:r>
        <w:rPr>
          <w:rFonts w:hint="eastAsia" w:ascii="仿宋_GB2312" w:eastAsia="仿宋_GB2312"/>
          <w:sz w:val="32"/>
          <w:szCs w:val="32"/>
          <w:lang w:eastAsia="zh-CN"/>
        </w:rPr>
        <w:t>中心的基本支出及项目支出。</w:t>
      </w:r>
    </w:p>
    <w:p>
      <w:pPr>
        <w:pStyle w:val="23"/>
        <w:spacing w:line="560" w:lineRule="exact"/>
        <w:ind w:firstLine="640" w:firstLineChars="200"/>
        <w:jc w:val="both"/>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color w:val="000000"/>
          <w:sz w:val="32"/>
          <w:szCs w:val="32"/>
        </w:rPr>
        <w:t>教育（类）</w:t>
      </w:r>
      <w:r>
        <w:rPr>
          <w:rFonts w:hint="eastAsia" w:ascii="仿宋_GB2312" w:eastAsia="仿宋_GB2312"/>
          <w:color w:val="000000"/>
          <w:sz w:val="32"/>
          <w:szCs w:val="32"/>
          <w:lang w:eastAsia="zh-CN"/>
        </w:rPr>
        <w:t>进修及培训</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培训支出</w:t>
      </w:r>
      <w:r>
        <w:rPr>
          <w:rFonts w:hint="eastAsia" w:ascii="仿宋_GB2312" w:eastAsia="仿宋_GB2312"/>
          <w:color w:val="000000"/>
          <w:sz w:val="32"/>
          <w:szCs w:val="32"/>
        </w:rPr>
        <w:t>（项）：指</w:t>
      </w:r>
      <w:r>
        <w:rPr>
          <w:rFonts w:hint="eastAsia" w:ascii="仿宋_GB2312" w:eastAsia="仿宋_GB2312"/>
          <w:sz w:val="32"/>
          <w:szCs w:val="32"/>
          <w:lang w:eastAsia="zh-CN"/>
        </w:rPr>
        <w:t>中</w:t>
      </w:r>
      <w:r>
        <w:rPr>
          <w:rFonts w:hint="eastAsia" w:ascii="仿宋_GB2312" w:eastAsia="仿宋_GB2312"/>
          <w:sz w:val="32"/>
          <w:szCs w:val="32"/>
          <w:lang w:val="en-US" w:eastAsia="zh-CN"/>
        </w:rPr>
        <w:t>心</w:t>
      </w:r>
      <w:r>
        <w:rPr>
          <w:rFonts w:hint="eastAsia" w:ascii="仿宋_GB2312" w:eastAsia="仿宋_GB2312"/>
          <w:sz w:val="32"/>
          <w:szCs w:val="32"/>
          <w:lang w:eastAsia="zh-CN"/>
        </w:rPr>
        <w:t>安排的培训支出</w:t>
      </w:r>
      <w:r>
        <w:rPr>
          <w:rFonts w:hint="eastAsia" w:ascii="仿宋_GB2312" w:eastAsia="仿宋_GB2312"/>
          <w:color w:val="000000"/>
          <w:sz w:val="32"/>
          <w:szCs w:val="32"/>
        </w:rPr>
        <w:t>。</w:t>
      </w:r>
    </w:p>
    <w:p>
      <w:pPr>
        <w:pStyle w:val="23"/>
        <w:spacing w:line="560" w:lineRule="exact"/>
        <w:ind w:firstLine="640" w:firstLineChars="200"/>
        <w:jc w:val="both"/>
        <w:rPr>
          <w:rFonts w:hint="eastAsia" w:ascii="仿宋_GB2312" w:eastAsia="仿宋_GB2312"/>
          <w:sz w:val="32"/>
          <w:szCs w:val="32"/>
          <w:lang w:eastAsia="zh-CN"/>
        </w:rPr>
      </w:pPr>
      <w:r>
        <w:rPr>
          <w:rFonts w:ascii="仿宋_GB2312" w:eastAsia="仿宋_GB2312"/>
          <w:color w:val="000000"/>
          <w:sz w:val="32"/>
          <w:szCs w:val="32"/>
        </w:rPr>
        <w:t>9.</w:t>
      </w:r>
      <w:r>
        <w:rPr>
          <w:rFonts w:hint="eastAsia" w:ascii="仿宋_GB2312" w:eastAsia="仿宋_GB2312"/>
          <w:color w:val="000000"/>
          <w:sz w:val="32"/>
          <w:szCs w:val="32"/>
        </w:rPr>
        <w:t>社会保障和就业（类）</w:t>
      </w:r>
      <w:r>
        <w:rPr>
          <w:rFonts w:hint="eastAsia" w:ascii="仿宋_GB2312" w:eastAsia="仿宋_GB2312"/>
          <w:color w:val="000000"/>
          <w:sz w:val="32"/>
          <w:szCs w:val="32"/>
          <w:lang w:eastAsia="zh-CN"/>
        </w:rPr>
        <w:t>行政事业单位养老支出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机关事业单位职业年金缴费支出</w:t>
      </w:r>
      <w:r>
        <w:rPr>
          <w:rFonts w:hint="eastAsia" w:ascii="仿宋_GB2312" w:eastAsia="仿宋_GB2312"/>
          <w:color w:val="000000"/>
          <w:sz w:val="32"/>
          <w:szCs w:val="32"/>
        </w:rPr>
        <w:t>（项）：指</w:t>
      </w:r>
      <w:r>
        <w:rPr>
          <w:rFonts w:hint="eastAsia" w:ascii="仿宋_GB2312" w:eastAsia="仿宋_GB2312"/>
          <w:sz w:val="32"/>
          <w:szCs w:val="32"/>
          <w:lang w:eastAsia="zh-CN"/>
        </w:rPr>
        <w:t>实施养老保险制度由中心实际缴纳的职业年金支出。</w:t>
      </w:r>
    </w:p>
    <w:p>
      <w:pPr>
        <w:ind w:firstLine="640" w:firstLineChars="200"/>
        <w:jc w:val="both"/>
        <w:rPr>
          <w:rFonts w:ascii="仿宋_GB2312" w:eastAsia="仿宋_GB2312"/>
          <w:color w:val="000000"/>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jc w:val="both"/>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jc w:val="both"/>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79" w:name="_Toc15377226"/>
      <w:r>
        <w:rPr>
          <w:rFonts w:ascii="宋体"/>
          <w:b/>
          <w:color w:val="000000"/>
          <w:sz w:val="44"/>
          <w:szCs w:val="44"/>
        </w:rPr>
        <w:br w:type="page"/>
      </w:r>
      <w:bookmarkStart w:id="80" w:name="_Toc1499770673_WPSOffice_Level1"/>
      <w:bookmarkStart w:id="81" w:name="_Toc15396614"/>
      <w:bookmarkStart w:id="82" w:name="_Toc11969"/>
      <w:r>
        <w:rPr>
          <w:rFonts w:hint="eastAsia" w:ascii="黑体" w:hAnsi="黑体" w:eastAsia="黑体"/>
          <w:color w:val="000000"/>
          <w:sz w:val="44"/>
          <w:szCs w:val="44"/>
        </w:rPr>
        <w:t>第</w:t>
      </w:r>
      <w:r>
        <w:rPr>
          <w:rStyle w:val="25"/>
          <w:rFonts w:hint="eastAsia" w:ascii="黑体" w:hAnsi="黑体" w:eastAsia="黑体"/>
          <w:b w:val="0"/>
        </w:rPr>
        <w:t>四部分 附件</w:t>
      </w:r>
      <w:bookmarkEnd w:id="80"/>
      <w:bookmarkEnd w:id="81"/>
      <w:bookmarkEnd w:id="82"/>
    </w:p>
    <w:p>
      <w:pPr>
        <w:spacing w:line="580" w:lineRule="exact"/>
        <w:rPr>
          <w:rFonts w:ascii="仿宋_GB2312" w:hAnsi="仿宋_GB2312" w:eastAsia="仿宋_GB2312" w:cs="仿宋_GB2312"/>
          <w:sz w:val="32"/>
          <w:szCs w:val="32"/>
        </w:rPr>
      </w:pPr>
    </w:p>
    <w:p>
      <w:pPr>
        <w:spacing w:line="600" w:lineRule="exact"/>
        <w:jc w:val="center"/>
        <w:rPr>
          <w:rFonts w:ascii="方正小标宋简体" w:hAnsi="宋体" w:eastAsia="方正小标宋简体"/>
          <w:kern w:val="0"/>
          <w:sz w:val="44"/>
          <w:szCs w:val="44"/>
          <w:lang w:val="zh-CN"/>
        </w:rPr>
      </w:pPr>
      <w:bookmarkStart w:id="83" w:name="_Toc2021807766_WPSOffice_Level2"/>
      <w:r>
        <w:rPr>
          <w:rFonts w:hint="eastAsia" w:ascii="方正小标宋简体" w:hAnsi="宋体" w:eastAsia="方正小标宋简体" w:cs="Times New Roman"/>
          <w:kern w:val="0"/>
          <w:sz w:val="44"/>
          <w:szCs w:val="44"/>
          <w:lang w:val="zh-CN"/>
        </w:rPr>
        <w:t>2020年四</w:t>
      </w:r>
      <w:r>
        <w:rPr>
          <w:rFonts w:hint="eastAsia" w:ascii="方正小标宋简体" w:hAnsi="宋体" w:eastAsia="方正小标宋简体"/>
          <w:kern w:val="0"/>
          <w:sz w:val="44"/>
          <w:szCs w:val="44"/>
          <w:lang w:val="zh-CN"/>
        </w:rPr>
        <w:t>川省外派劳务援助工作经费项目项目支出绩效自评报告</w:t>
      </w:r>
      <w:bookmarkEnd w:id="83"/>
    </w:p>
    <w:p>
      <w:pPr>
        <w:spacing w:line="6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（项目单位自评）</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bookmarkStart w:id="84" w:name="_Toc229878482_WPSOffice_Level2"/>
      <w:r>
        <w:rPr>
          <w:rFonts w:hint="eastAsia" w:ascii="黑体" w:hAnsi="宋体" w:eastAsia="黑体"/>
          <w:sz w:val="32"/>
          <w:szCs w:val="32"/>
        </w:rPr>
        <w:t>一、</w:t>
      </w:r>
      <w:r>
        <w:rPr>
          <w:rFonts w:hint="eastAsia" w:ascii="黑体" w:hAnsi="宋体" w:eastAsia="黑体"/>
          <w:sz w:val="32"/>
          <w:szCs w:val="32"/>
          <w:lang w:val="zh-CN"/>
        </w:rPr>
        <w:t>项目概况</w:t>
      </w:r>
      <w:bookmarkEnd w:id="84"/>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根据四川省人民政府交办《关于请协助建立外派劳务援助工作机制有关问题的函》（外经贸合函[2003]30号）的精神，省商务厅报省编委由四川省外派劳务人员培训中心增挂四川省外派劳务援助中心牌子，省编委以《关于省外派劳人员培训中心增挂牌子的批复》（川编办[2003]26号），同意四川省外派劳务人员培训中心增挂“四川省外派劳务援助中心” 牌子，援助中心的主要职责是负责处理我省具有对外劳务合作经营资格的企业所派出劳务人员在境内外发生的劳务纠纷和突发事件；受理我省外派劳务人员的投诉，向外派劳务人员提供政策咨询和法律援助。</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项目资金年初进行预算申报、经过人大预工委批复，符合资金管理办法等相关规定。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通过聘请常年法律顾问，处理我省具有对外劳务合作经营资格的企业所派出劳务人员在境内外发生的劳务纠纷和突发事件，受理我省外派劳务人员的投诉，及向外派劳务人员提供政策咨询和法律援助。</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通过中心组织的外派劳务培训，向即将派出的外派劳务人员进行法律知识的相关培训，增强其遵纪守约意识。</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说明项目申报内容与具体实施内容相符、申报目标合理可行。</w:t>
      </w:r>
    </w:p>
    <w:p>
      <w:pPr>
        <w:adjustRightInd w:val="0"/>
        <w:snapToGrid w:val="0"/>
        <w:spacing w:line="600" w:lineRule="exact"/>
        <w:ind w:firstLine="720"/>
        <w:rPr>
          <w:rFonts w:ascii="黑体" w:hAnsi="宋体" w:eastAsia="黑体"/>
          <w:sz w:val="32"/>
          <w:szCs w:val="32"/>
        </w:rPr>
      </w:pPr>
      <w:bookmarkStart w:id="85" w:name="_Toc481209295_WPSOffice_Level2"/>
      <w:r>
        <w:rPr>
          <w:rFonts w:hint="eastAsia" w:ascii="黑体" w:hAnsi="宋体" w:eastAsia="黑体"/>
          <w:sz w:val="32"/>
          <w:szCs w:val="32"/>
        </w:rPr>
        <w:t>二、项目实施及管理情况</w:t>
      </w:r>
      <w:bookmarkEnd w:id="85"/>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1．资金计划及到位。该项目资金计划及截止评价时点实际全部到位，全部为省级财政资金。资金到位情况与资金预算计划进度一致，资金到位率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，到位及时。</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资金使用。说明截止评价时点项目资金的实际支出详见《项目绩效目标完成情况表（四川省外派劳务援助工作经费》，资金开支范围、标准及支付进度等与年初预算完全一致，支付依据合规合法，资金支付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该项目纳入中心统一财务核算，未单独设立机构及账套。对照项目资金管理办法，该项目严格执行中心财务管理制度、财务处理及时、会计核算规范。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该项目未设立独立机构，纳入中心统一财务管理，未涉及政府采购。</w:t>
      </w:r>
    </w:p>
    <w:p>
      <w:pPr>
        <w:adjustRightInd w:val="0"/>
        <w:snapToGrid w:val="0"/>
        <w:spacing w:line="600" w:lineRule="exact"/>
        <w:ind w:firstLine="720"/>
        <w:rPr>
          <w:rFonts w:ascii="仿宋_GB2312" w:hAnsi="宋体" w:eastAsia="仿宋_GB2312"/>
          <w:sz w:val="32"/>
          <w:szCs w:val="32"/>
          <w:lang w:val="zh-CN"/>
        </w:rPr>
      </w:pPr>
      <w:bookmarkStart w:id="86" w:name="_Toc1079649367_WPSOffice_Level2"/>
      <w:r>
        <w:rPr>
          <w:rFonts w:hint="eastAsia" w:ascii="黑体" w:hAnsi="宋体" w:eastAsia="黑体"/>
          <w:sz w:val="32"/>
          <w:szCs w:val="32"/>
        </w:rPr>
        <w:t>三、项目绩效情况</w:t>
      </w:r>
      <w:bookmarkEnd w:id="86"/>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2020年共组织培训7期外派人员，全年共培训290名外派劳务人员。</w:t>
      </w:r>
      <w:r>
        <w:rPr>
          <w:rFonts w:hint="eastAsia" w:ascii="仿宋_GB2312" w:hAnsi="宋体" w:eastAsia="仿宋_GB2312"/>
          <w:sz w:val="32"/>
          <w:szCs w:val="32"/>
          <w:lang w:val="zh-CN"/>
        </w:rPr>
        <w:t>详见《项目绩效目标完成情况表（四川省外派劳务援助工作经费》。</w:t>
      </w:r>
    </w:p>
    <w:p>
      <w:pPr>
        <w:numPr>
          <w:ilvl w:val="0"/>
          <w:numId w:val="6"/>
        </w:numPr>
        <w:spacing w:line="580" w:lineRule="exact"/>
        <w:ind w:firstLine="643" w:firstLineChars="20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numPr>
          <w:ilvl w:val="0"/>
          <w:numId w:val="0"/>
        </w:num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通过培训，外派劳务人员增强了遵纪守约意识。2020年全年全省外派劳务运行平稳，未发生外派劳务人员严重劳务纠纷事件。</w:t>
      </w:r>
    </w:p>
    <w:p>
      <w:pPr>
        <w:adjustRightInd w:val="0"/>
        <w:snapToGrid w:val="0"/>
        <w:spacing w:line="600" w:lineRule="exact"/>
        <w:ind w:firstLine="720"/>
        <w:rPr>
          <w:rFonts w:ascii="黑体" w:hAnsi="宋体" w:eastAsia="黑体"/>
          <w:sz w:val="32"/>
          <w:szCs w:val="32"/>
        </w:rPr>
      </w:pPr>
      <w:bookmarkStart w:id="87" w:name="_Toc32715711_WPSOffice_Level2"/>
      <w:r>
        <w:rPr>
          <w:rFonts w:hint="eastAsia" w:ascii="黑体" w:hAnsi="宋体" w:eastAsia="黑体"/>
          <w:sz w:val="32"/>
          <w:szCs w:val="32"/>
        </w:rPr>
        <w:t>四、问题及建议</w:t>
      </w:r>
      <w:bookmarkEnd w:id="87"/>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由于受疫情的影响，2020年培训人员后派出人员大幅下降，造成外派劳务人员出国期望值下降，外派劳务公司经营效益大幅下降。</w:t>
      </w:r>
    </w:p>
    <w:p>
      <w:pPr>
        <w:numPr>
          <w:ilvl w:val="0"/>
          <w:numId w:val="7"/>
        </w:numPr>
        <w:spacing w:line="58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相关建议。</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随着疫情防控工作进入常态化，国内外疫情形势处于一种错综复杂的形势，但疫情一旦好转，形势稳定，外派劳务的需求将出现井喷式的增长，为了抓住机会，中心更应该用一种超前的眼光，提前布局外派劳务培训，为外派劳务健康发展贡献力量。</w:t>
      </w:r>
    </w:p>
    <w:p>
      <w:pPr>
        <w:adjustRightInd w:val="0"/>
        <w:snapToGrid w:val="0"/>
        <w:spacing w:line="600" w:lineRule="exact"/>
        <w:ind w:firstLine="640" w:firstLineChars="200"/>
        <w:rPr>
          <w:rFonts w:ascii="仿宋_GB2312" w:hAnsi="仿宋_GB2312" w:eastAsia="仿宋_GB2312" w:cs="仿宋_GB2312"/>
          <w:color w:val="FF0000"/>
          <w:sz w:val="32"/>
          <w:szCs w:val="32"/>
        </w:rPr>
      </w:pPr>
    </w:p>
    <w:p>
      <w:pPr>
        <w:pStyle w:val="2"/>
        <w:spacing w:before="93"/>
        <w:rPr>
          <w:rFonts w:hAnsi="仿宋_GB2312" w:cs="仿宋_GB2312"/>
          <w:color w:val="FF0000"/>
          <w:sz w:val="32"/>
          <w:szCs w:val="32"/>
        </w:rPr>
      </w:pPr>
    </w:p>
    <w:p>
      <w:pPr>
        <w:pStyle w:val="2"/>
        <w:spacing w:before="93"/>
        <w:rPr>
          <w:rFonts w:hAnsi="仿宋_GB2312" w:cs="仿宋_GB2312"/>
          <w:color w:val="FF0000"/>
          <w:sz w:val="32"/>
          <w:szCs w:val="32"/>
        </w:rPr>
      </w:pPr>
    </w:p>
    <w:p>
      <w:pPr>
        <w:pStyle w:val="2"/>
        <w:spacing w:before="93"/>
        <w:rPr>
          <w:rFonts w:hAnsi="仿宋_GB2312" w:cs="仿宋_GB2312"/>
          <w:color w:val="FF0000"/>
          <w:sz w:val="32"/>
          <w:szCs w:val="32"/>
        </w:rPr>
      </w:pPr>
    </w:p>
    <w:p>
      <w:pPr>
        <w:pStyle w:val="2"/>
        <w:spacing w:before="93"/>
        <w:rPr>
          <w:rFonts w:hAnsi="仿宋_GB2312" w:cs="仿宋_GB2312"/>
          <w:color w:val="FF0000"/>
          <w:sz w:val="32"/>
          <w:szCs w:val="32"/>
        </w:rPr>
      </w:pPr>
    </w:p>
    <w:p>
      <w:pPr>
        <w:spacing w:line="600" w:lineRule="exact"/>
        <w:jc w:val="center"/>
        <w:rPr>
          <w:rFonts w:ascii="方正小标宋简体" w:hAnsi="宋体" w:eastAsia="方正小标宋简体"/>
          <w:kern w:val="0"/>
          <w:sz w:val="44"/>
          <w:szCs w:val="44"/>
          <w:lang w:val="zh-CN"/>
        </w:rPr>
      </w:pPr>
      <w:bookmarkStart w:id="88" w:name="_Toc477689070_WPSOffice_Level2"/>
      <w:r>
        <w:rPr>
          <w:rFonts w:hint="eastAsia" w:ascii="方正小标宋简体" w:hAnsi="宋体" w:eastAsia="方正小标宋简体" w:cs="Times New Roman"/>
          <w:kern w:val="0"/>
          <w:sz w:val="44"/>
          <w:szCs w:val="44"/>
          <w:lang w:val="zh-CN"/>
        </w:rPr>
        <w:t>2020年四</w:t>
      </w:r>
      <w:r>
        <w:rPr>
          <w:rFonts w:hint="eastAsia" w:ascii="方正小标宋简体" w:hAnsi="宋体" w:eastAsia="方正小标宋简体"/>
          <w:kern w:val="0"/>
          <w:sz w:val="44"/>
          <w:szCs w:val="44"/>
          <w:lang w:val="zh-CN"/>
        </w:rPr>
        <w:t>川商务人才招聘会项目支出绩效自评报告</w:t>
      </w:r>
      <w:bookmarkEnd w:id="88"/>
    </w:p>
    <w:p>
      <w:pPr>
        <w:spacing w:line="6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（项目单位自评）</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bookmarkStart w:id="89" w:name="_Toc862228781_WPSOffice_Level2"/>
      <w:r>
        <w:rPr>
          <w:rFonts w:hint="eastAsia" w:ascii="黑体" w:hAnsi="宋体" w:eastAsia="黑体"/>
          <w:sz w:val="32"/>
          <w:szCs w:val="32"/>
        </w:rPr>
        <w:t>一、</w:t>
      </w:r>
      <w:r>
        <w:rPr>
          <w:rFonts w:hint="eastAsia" w:ascii="黑体" w:hAnsi="宋体" w:eastAsia="黑体"/>
          <w:sz w:val="32"/>
          <w:szCs w:val="32"/>
          <w:lang w:val="zh-CN"/>
        </w:rPr>
        <w:t>项目概况</w:t>
      </w:r>
      <w:bookmarkEnd w:id="89"/>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TW" w:eastAsia="zh-TW"/>
        </w:rPr>
        <w:t>由四川省商务发展事务中心主办的</w:t>
      </w:r>
      <w:r>
        <w:rPr>
          <w:rFonts w:hint="eastAsia" w:ascii="仿宋_GB2312" w:hAnsi="宋体" w:eastAsia="仿宋_GB2312"/>
          <w:sz w:val="32"/>
          <w:szCs w:val="32"/>
        </w:rPr>
        <w:t>“2020</w:t>
      </w:r>
      <w:r>
        <w:rPr>
          <w:rFonts w:hint="eastAsia" w:ascii="仿宋_GB2312" w:hAnsi="宋体" w:eastAsia="仿宋_GB2312"/>
          <w:sz w:val="32"/>
          <w:szCs w:val="32"/>
          <w:lang w:val="zh-TW" w:eastAsia="zh-TW"/>
        </w:rPr>
        <w:t>四川省商务人才就业专场招聘会</w:t>
      </w:r>
      <w:r>
        <w:rPr>
          <w:rFonts w:hint="eastAsia" w:ascii="仿宋_GB2312" w:hAnsi="宋体" w:eastAsia="仿宋_GB2312"/>
          <w:sz w:val="32"/>
          <w:szCs w:val="32"/>
        </w:rPr>
        <w:t>”</w:t>
      </w:r>
      <w:r>
        <w:rPr>
          <w:rFonts w:hint="eastAsia" w:ascii="仿宋_GB2312" w:hAnsi="宋体" w:eastAsia="仿宋_GB2312"/>
          <w:sz w:val="32"/>
          <w:szCs w:val="32"/>
          <w:lang w:val="zh-TW" w:eastAsia="zh-TW"/>
        </w:rPr>
        <w:t>于</w:t>
      </w:r>
      <w:r>
        <w:rPr>
          <w:rFonts w:hint="eastAsia" w:ascii="仿宋_GB2312" w:hAnsi="宋体" w:eastAsia="仿宋_GB2312"/>
          <w:sz w:val="32"/>
          <w:szCs w:val="32"/>
        </w:rPr>
        <w:t>2020</w:t>
      </w:r>
      <w:r>
        <w:rPr>
          <w:rFonts w:hint="eastAsia" w:ascii="仿宋_GB2312" w:hAnsi="宋体" w:eastAsia="仿宋_GB2312"/>
          <w:sz w:val="32"/>
          <w:szCs w:val="32"/>
          <w:lang w:val="zh-TW" w:eastAsia="zh-TW"/>
        </w:rPr>
        <w:t>年</w:t>
      </w:r>
      <w:r>
        <w:rPr>
          <w:rFonts w:hint="eastAsia" w:ascii="仿宋_GB2312" w:hAnsi="宋体" w:eastAsia="仿宋_GB2312"/>
          <w:sz w:val="32"/>
          <w:szCs w:val="32"/>
        </w:rPr>
        <w:t>9</w:t>
      </w:r>
      <w:r>
        <w:rPr>
          <w:rFonts w:hint="eastAsia" w:ascii="仿宋_GB2312" w:hAnsi="宋体" w:eastAsia="仿宋_GB2312"/>
          <w:sz w:val="32"/>
          <w:szCs w:val="32"/>
          <w:lang w:val="zh-TW" w:eastAsia="zh-TW"/>
        </w:rPr>
        <w:t>月</w:t>
      </w:r>
      <w:r>
        <w:rPr>
          <w:rFonts w:hint="eastAsia" w:ascii="仿宋_GB2312" w:hAnsi="宋体" w:eastAsia="仿宋_GB2312"/>
          <w:sz w:val="32"/>
          <w:szCs w:val="32"/>
        </w:rPr>
        <w:t>19</w:t>
      </w:r>
      <w:r>
        <w:rPr>
          <w:rFonts w:hint="eastAsia" w:ascii="仿宋_GB2312" w:hAnsi="宋体" w:eastAsia="仿宋_GB2312"/>
          <w:sz w:val="32"/>
          <w:szCs w:val="32"/>
          <w:lang w:val="zh-TW" w:eastAsia="zh-TW"/>
        </w:rPr>
        <w:t>日在成都世纪城新会展中心顺利举办。</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TW" w:eastAsia="zh-TW"/>
        </w:rPr>
        <w:t>本次专场招聘会是借力</w:t>
      </w:r>
      <w:r>
        <w:rPr>
          <w:rFonts w:hint="eastAsia" w:ascii="仿宋_GB2312" w:hAnsi="宋体" w:eastAsia="仿宋_GB2312"/>
          <w:sz w:val="32"/>
          <w:szCs w:val="32"/>
        </w:rPr>
        <w:t>“2020·</w:t>
      </w:r>
      <w:r>
        <w:rPr>
          <w:rFonts w:hint="eastAsia" w:ascii="仿宋_GB2312" w:hAnsi="宋体" w:eastAsia="仿宋_GB2312"/>
          <w:sz w:val="32"/>
          <w:szCs w:val="32"/>
          <w:lang w:val="zh-TW" w:eastAsia="zh-TW"/>
        </w:rPr>
        <w:t>秋季</w:t>
      </w:r>
      <w:r>
        <w:rPr>
          <w:rFonts w:hint="eastAsia" w:ascii="仿宋_GB2312" w:hAnsi="宋体" w:eastAsia="仿宋_GB2312"/>
          <w:sz w:val="32"/>
          <w:szCs w:val="32"/>
        </w:rPr>
        <w:t>‘</w:t>
      </w:r>
      <w:r>
        <w:rPr>
          <w:rFonts w:hint="eastAsia" w:ascii="仿宋_GB2312" w:hAnsi="宋体" w:eastAsia="仿宋_GB2312"/>
          <w:sz w:val="32"/>
          <w:szCs w:val="32"/>
          <w:lang w:val="zh-TW" w:eastAsia="zh-TW"/>
        </w:rPr>
        <w:t>蓉漂人才荟</w:t>
      </w:r>
      <w:r>
        <w:rPr>
          <w:rFonts w:hint="eastAsia" w:ascii="仿宋_GB2312" w:hAnsi="宋体" w:eastAsia="仿宋_GB2312"/>
          <w:sz w:val="32"/>
          <w:szCs w:val="32"/>
        </w:rPr>
        <w:t>’</w:t>
      </w:r>
      <w:r>
        <w:rPr>
          <w:rFonts w:hint="eastAsia" w:ascii="仿宋_GB2312" w:hAnsi="宋体" w:eastAsia="仿宋_GB2312"/>
          <w:sz w:val="32"/>
          <w:szCs w:val="32"/>
          <w:lang w:val="zh-TW" w:eastAsia="zh-TW"/>
        </w:rPr>
        <w:t>暨</w:t>
      </w:r>
      <w:r>
        <w:rPr>
          <w:rFonts w:hint="eastAsia" w:ascii="仿宋_GB2312" w:hAnsi="宋体" w:eastAsia="仿宋_GB2312"/>
          <w:sz w:val="32"/>
          <w:szCs w:val="32"/>
        </w:rPr>
        <w:t>‘</w:t>
      </w:r>
      <w:r>
        <w:rPr>
          <w:rFonts w:hint="eastAsia" w:ascii="仿宋_GB2312" w:hAnsi="宋体" w:eastAsia="仿宋_GB2312"/>
          <w:sz w:val="32"/>
          <w:szCs w:val="32"/>
          <w:lang w:val="zh-TW" w:eastAsia="zh-TW"/>
        </w:rPr>
        <w:t>成渝双城（成都）人才招聘会</w:t>
      </w:r>
      <w:r>
        <w:rPr>
          <w:rFonts w:hint="eastAsia" w:ascii="仿宋_GB2312" w:hAnsi="宋体" w:eastAsia="仿宋_GB2312"/>
          <w:sz w:val="32"/>
          <w:szCs w:val="32"/>
        </w:rPr>
        <w:t>’”</w:t>
      </w:r>
      <w:r>
        <w:rPr>
          <w:rFonts w:hint="eastAsia" w:ascii="仿宋_GB2312" w:hAnsi="宋体" w:eastAsia="仿宋_GB2312"/>
          <w:sz w:val="32"/>
          <w:szCs w:val="32"/>
          <w:lang w:val="zh-TW" w:eastAsia="zh-TW"/>
        </w:rPr>
        <w:t>的规模和影响力，积极为用人单位与求职者搭建精准高效的就业对接平台。招聘会共累计发布需求岗位超</w:t>
      </w:r>
      <w:r>
        <w:rPr>
          <w:rFonts w:hint="eastAsia" w:ascii="仿宋_GB2312" w:hAnsi="宋体" w:eastAsia="仿宋_GB2312"/>
          <w:sz w:val="32"/>
          <w:szCs w:val="32"/>
        </w:rPr>
        <w:t>21000</w:t>
      </w:r>
      <w:r>
        <w:rPr>
          <w:rFonts w:hint="eastAsia" w:ascii="仿宋_GB2312" w:hAnsi="宋体" w:eastAsia="仿宋_GB2312"/>
          <w:sz w:val="32"/>
          <w:szCs w:val="32"/>
          <w:lang w:val="zh-TW" w:eastAsia="zh-TW"/>
        </w:rPr>
        <w:t>个，其中适合应届毕业生岗位超</w:t>
      </w:r>
      <w:r>
        <w:rPr>
          <w:rFonts w:hint="eastAsia" w:ascii="仿宋_GB2312" w:hAnsi="宋体" w:eastAsia="仿宋_GB2312"/>
          <w:sz w:val="32"/>
          <w:szCs w:val="32"/>
        </w:rPr>
        <w:t>57%</w:t>
      </w:r>
      <w:r>
        <w:rPr>
          <w:rFonts w:hint="eastAsia" w:ascii="仿宋_GB2312" w:hAnsi="宋体" w:eastAsia="仿宋_GB2312"/>
          <w:sz w:val="32"/>
          <w:szCs w:val="32"/>
          <w:lang w:val="zh-TW" w:eastAsia="zh-TW"/>
        </w:rPr>
        <w:t>，招聘岗位平均月薪达</w:t>
      </w:r>
      <w:r>
        <w:rPr>
          <w:rFonts w:hint="eastAsia" w:ascii="仿宋_GB2312" w:hAnsi="宋体" w:eastAsia="仿宋_GB2312"/>
          <w:sz w:val="32"/>
          <w:szCs w:val="32"/>
        </w:rPr>
        <w:t>7800</w:t>
      </w:r>
      <w:r>
        <w:rPr>
          <w:rFonts w:hint="eastAsia" w:ascii="仿宋_GB2312" w:hAnsi="宋体" w:eastAsia="仿宋_GB2312"/>
          <w:sz w:val="32"/>
          <w:szCs w:val="32"/>
          <w:lang w:val="zh-TW" w:eastAsia="zh-TW"/>
        </w:rPr>
        <w:t>元。招聘岗位中，既有各类中高级专业技术岗位和管理岗位，也有不少适合高校毕业生的基础岗位和普通技能岗位。</w:t>
      </w:r>
      <w:r>
        <w:rPr>
          <w:rFonts w:hint="eastAsia" w:ascii="仿宋_GB2312" w:hAnsi="宋体" w:eastAsia="仿宋_GB2312"/>
          <w:sz w:val="32"/>
          <w:szCs w:val="32"/>
        </w:rPr>
        <w:t>“2020</w:t>
      </w:r>
      <w:r>
        <w:rPr>
          <w:rFonts w:hint="eastAsia" w:ascii="仿宋_GB2312" w:hAnsi="宋体" w:eastAsia="仿宋_GB2312"/>
          <w:sz w:val="32"/>
          <w:szCs w:val="32"/>
          <w:lang w:val="zh-TW" w:eastAsia="zh-TW"/>
        </w:rPr>
        <w:t>四川省商务人才就业专场招聘会</w:t>
      </w:r>
      <w:r>
        <w:rPr>
          <w:rFonts w:hint="eastAsia" w:ascii="仿宋_GB2312" w:hAnsi="宋体" w:eastAsia="仿宋_GB2312"/>
          <w:sz w:val="32"/>
          <w:szCs w:val="32"/>
        </w:rPr>
        <w:t>”44</w:t>
      </w:r>
      <w:r>
        <w:rPr>
          <w:rFonts w:hint="eastAsia" w:ascii="仿宋_GB2312" w:hAnsi="宋体" w:eastAsia="仿宋_GB2312"/>
          <w:sz w:val="32"/>
          <w:szCs w:val="32"/>
          <w:lang w:val="zh-TW" w:eastAsia="zh-TW"/>
        </w:rPr>
        <w:t>家参展企业中不乏全国性的优秀企业包括顺丰速运、千禾味业食品股份有限公司等。</w:t>
      </w:r>
      <w:r>
        <w:rPr>
          <w:rFonts w:hint="eastAsia" w:ascii="仿宋_GB2312" w:hAnsi="宋体" w:eastAsia="仿宋_GB2312"/>
          <w:sz w:val="32"/>
          <w:szCs w:val="32"/>
          <w:lang w:val="zh-TW"/>
        </w:rPr>
        <w:t>使用财政资金</w:t>
      </w:r>
      <w:r>
        <w:rPr>
          <w:rFonts w:hint="eastAsia" w:ascii="仿宋_GB2312" w:hAnsi="宋体" w:eastAsia="仿宋_GB2312"/>
          <w:sz w:val="32"/>
          <w:szCs w:val="32"/>
        </w:rPr>
        <w:t>8万元。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项目资金年初进行预算申报、经过人大预工委批复，符合资金管理办法等相关规定。</w:t>
      </w:r>
    </w:p>
    <w:p>
      <w:pPr>
        <w:adjustRightInd w:val="0"/>
        <w:snapToGrid w:val="0"/>
        <w:spacing w:line="600" w:lineRule="exact"/>
        <w:ind w:firstLine="720"/>
        <w:rPr>
          <w:lang w:val="zh-CN"/>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rPr>
        <w:t>根据商务工作要求，搭建就业平台。</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说明项目申报内容与具体实施内容相符、申报目标合理可行。</w:t>
      </w:r>
    </w:p>
    <w:p>
      <w:pPr>
        <w:adjustRightInd w:val="0"/>
        <w:snapToGrid w:val="0"/>
        <w:spacing w:line="600" w:lineRule="exact"/>
        <w:ind w:firstLine="720"/>
        <w:rPr>
          <w:rFonts w:ascii="黑体" w:hAnsi="宋体" w:eastAsia="黑体"/>
          <w:sz w:val="32"/>
          <w:szCs w:val="32"/>
        </w:rPr>
      </w:pPr>
      <w:bookmarkStart w:id="90" w:name="_Toc256872999_WPSOffice_Level2"/>
      <w:r>
        <w:rPr>
          <w:rFonts w:hint="eastAsia" w:ascii="黑体" w:hAnsi="宋体" w:eastAsia="黑体"/>
          <w:sz w:val="32"/>
          <w:szCs w:val="32"/>
        </w:rPr>
        <w:t>二、项目实施及管理情况</w:t>
      </w:r>
      <w:bookmarkEnd w:id="90"/>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资金计划及到位。该项目资金计划及截止评价时点实际全部到位，全部为省级财政资金。资金到位情况与资金预算计划进度一致，资金到位率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，到位及时。</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资金使用。说明截止评价时点项目资金的实际支出详见《项目绩效目标完成情况表（四川人才招聘会项目》，资金开支范围、标准及支付进度等与年初预算完全一致，支付依据合规合法，资金支付与预算相符。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该项目纳入中心统一财务核算，未单独设立机构及账套。对照项目资金管理办法，该项目严格执行中心财务管理制度、财务处理及时、会计核算规范。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该项目未设立独立机构，纳入中心统一财务管理，未涉及政府采购。</w:t>
      </w:r>
    </w:p>
    <w:p>
      <w:pPr>
        <w:adjustRightInd w:val="0"/>
        <w:snapToGrid w:val="0"/>
        <w:spacing w:line="600" w:lineRule="exact"/>
        <w:ind w:firstLine="720"/>
        <w:rPr>
          <w:rFonts w:ascii="仿宋_GB2312" w:hAnsi="宋体" w:eastAsia="仿宋_GB2312"/>
          <w:sz w:val="32"/>
          <w:szCs w:val="32"/>
          <w:lang w:val="zh-CN"/>
        </w:rPr>
      </w:pPr>
      <w:bookmarkStart w:id="91" w:name="_Toc633192882_WPSOffice_Level2"/>
      <w:r>
        <w:rPr>
          <w:rFonts w:hint="eastAsia" w:ascii="黑体" w:hAnsi="宋体" w:eastAsia="黑体"/>
          <w:sz w:val="32"/>
          <w:szCs w:val="32"/>
        </w:rPr>
        <w:t>三、项目绩效情况</w:t>
      </w:r>
      <w:bookmarkEnd w:id="91"/>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详见《项目绩效目标完成情况表（四川人才招聘会项目）》。</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（二）项目效益情况。</w:t>
      </w:r>
      <w:r>
        <w:rPr>
          <w:rFonts w:hint="eastAsia" w:ascii="仿宋_GB2312" w:hAnsi="宋体" w:eastAsia="仿宋_GB2312"/>
          <w:sz w:val="32"/>
          <w:szCs w:val="32"/>
          <w:lang w:val="zh-CN"/>
        </w:rPr>
        <w:t>通过本次招聘会，求职者和用人单位都收获颇丰。详见《项目绩效目标完成情况表（四川人才招聘会项目）》。</w:t>
      </w:r>
    </w:p>
    <w:p>
      <w:pPr>
        <w:adjustRightInd w:val="0"/>
        <w:snapToGrid w:val="0"/>
        <w:spacing w:line="600" w:lineRule="exact"/>
        <w:ind w:firstLine="720"/>
        <w:rPr>
          <w:rFonts w:ascii="黑体" w:hAnsi="宋体" w:eastAsia="黑体"/>
          <w:sz w:val="32"/>
          <w:szCs w:val="32"/>
        </w:rPr>
      </w:pPr>
      <w:bookmarkStart w:id="92" w:name="_Toc1507499559_WPSOffice_Level2"/>
      <w:r>
        <w:rPr>
          <w:rFonts w:hint="eastAsia" w:ascii="黑体" w:hAnsi="宋体" w:eastAsia="黑体"/>
          <w:sz w:val="32"/>
          <w:szCs w:val="32"/>
        </w:rPr>
        <w:t>四、问题及建议</w:t>
      </w:r>
      <w:bookmarkEnd w:id="92"/>
    </w:p>
    <w:p>
      <w:pPr>
        <w:adjustRightInd w:val="0"/>
        <w:snapToGrid w:val="0"/>
        <w:spacing w:line="600" w:lineRule="exact"/>
        <w:ind w:firstLine="720"/>
        <w:rPr>
          <w:rFonts w:ascii="仿宋_GB2312" w:hAnsi="宋体" w:eastAsia="仿宋_GB2312"/>
          <w:sz w:val="32"/>
          <w:szCs w:val="32"/>
        </w:rPr>
      </w:pPr>
      <w:r>
        <w:rPr>
          <w:rFonts w:hint="eastAsia" w:ascii="楷体_GB2312" w:hAnsi="宋体" w:eastAsia="楷体_GB2312"/>
          <w:b/>
          <w:sz w:val="32"/>
          <w:szCs w:val="32"/>
          <w:lang w:val="zh-CN"/>
        </w:rPr>
        <w:t>（一）存在的问题。</w:t>
      </w:r>
      <w:r>
        <w:rPr>
          <w:rFonts w:hint="eastAsia" w:ascii="仿宋_GB2312" w:hAnsi="宋体" w:eastAsia="仿宋_GB2312"/>
          <w:sz w:val="32"/>
          <w:szCs w:val="32"/>
        </w:rPr>
        <w:t>规模偏小，不能产生规模效应；疫情影响，就业岗位较少；供需不匹配。</w:t>
      </w:r>
    </w:p>
    <w:p>
      <w:pPr>
        <w:pStyle w:val="2"/>
        <w:spacing w:before="93"/>
        <w:rPr>
          <w:rFonts w:hAnsi="宋体"/>
          <w:kern w:val="2"/>
          <w:sz w:val="32"/>
          <w:szCs w:val="32"/>
          <w:lang w:val="zh-CN"/>
        </w:rPr>
      </w:pPr>
      <w:r>
        <w:rPr>
          <w:rFonts w:hint="eastAsia" w:hAnsi="宋体"/>
          <w:sz w:val="32"/>
          <w:szCs w:val="32"/>
        </w:rPr>
        <w:t xml:space="preserve">    </w:t>
      </w:r>
      <w:r>
        <w:rPr>
          <w:rFonts w:hint="eastAsia" w:ascii="楷体_GB2312" w:hAnsi="宋体" w:eastAsia="楷体_GB2312"/>
          <w:b/>
          <w:kern w:val="2"/>
          <w:sz w:val="32"/>
          <w:szCs w:val="32"/>
        </w:rPr>
        <w:t>（二）</w:t>
      </w:r>
      <w:r>
        <w:rPr>
          <w:rFonts w:hint="eastAsia" w:ascii="楷体_GB2312" w:hAnsi="宋体" w:eastAsia="楷体_GB2312"/>
          <w:b/>
          <w:kern w:val="2"/>
          <w:sz w:val="32"/>
          <w:szCs w:val="32"/>
          <w:lang w:val="zh-CN"/>
        </w:rPr>
        <w:t>相关建议。</w:t>
      </w:r>
      <w:r>
        <w:rPr>
          <w:rFonts w:hint="eastAsia" w:hAnsi="宋体"/>
          <w:kern w:val="2"/>
          <w:sz w:val="32"/>
          <w:szCs w:val="32"/>
          <w:lang w:val="zh-CN"/>
        </w:rPr>
        <w:t>无。</w:t>
      </w: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spacing w:line="600" w:lineRule="exact"/>
        <w:jc w:val="center"/>
        <w:rPr>
          <w:rFonts w:ascii="方正小标宋简体" w:hAnsi="宋体" w:eastAsia="方正小标宋简体"/>
          <w:kern w:val="0"/>
          <w:sz w:val="44"/>
          <w:szCs w:val="44"/>
          <w:lang w:val="zh-CN"/>
        </w:rPr>
      </w:pPr>
      <w:bookmarkStart w:id="93" w:name="_Toc317002376_WPSOffice_Level2"/>
      <w:r>
        <w:rPr>
          <w:rFonts w:hint="eastAsia" w:ascii="方正小标宋简体" w:hAnsi="宋体" w:eastAsia="方正小标宋简体" w:cs="Times New Roman"/>
          <w:kern w:val="0"/>
          <w:sz w:val="44"/>
          <w:szCs w:val="44"/>
          <w:lang w:val="zh-CN"/>
        </w:rPr>
        <w:t>2020年会展</w:t>
      </w:r>
      <w:r>
        <w:rPr>
          <w:rFonts w:hint="eastAsia" w:ascii="方正小标宋简体" w:hAnsi="宋体" w:eastAsia="方正小标宋简体"/>
          <w:kern w:val="0"/>
          <w:sz w:val="44"/>
          <w:szCs w:val="44"/>
          <w:lang w:val="zh-CN"/>
        </w:rPr>
        <w:t>促进项目支出绩效自评报告</w:t>
      </w:r>
      <w:bookmarkEnd w:id="93"/>
    </w:p>
    <w:p>
      <w:pPr>
        <w:spacing w:line="6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（项目单位自评）</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bookmarkStart w:id="94" w:name="_Toc1480156107_WPSOffice_Level2"/>
      <w:r>
        <w:rPr>
          <w:rFonts w:hint="eastAsia" w:ascii="黑体" w:hAnsi="宋体" w:eastAsia="黑体"/>
          <w:sz w:val="32"/>
          <w:szCs w:val="32"/>
        </w:rPr>
        <w:t>一、</w:t>
      </w:r>
      <w:r>
        <w:rPr>
          <w:rFonts w:hint="eastAsia" w:ascii="黑体" w:hAnsi="宋体" w:eastAsia="黑体"/>
          <w:sz w:val="32"/>
          <w:szCs w:val="32"/>
          <w:lang w:val="zh-CN"/>
        </w:rPr>
        <w:t>项目概况</w:t>
      </w:r>
      <w:bookmarkEnd w:id="94"/>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主办了第九届茶博会首届咖啡展。创新元素精心筹备，国际咖啡展首次亮相茶博会。在疫情防控常态化条件下,作为今年全国茶业标志性首展，在本届茶博会举办期间，我中心搭建了国际咖啡馆，积极为茶博会加入国际化元素，为展会提供了一个创新点与亮点。正式开展前，受疫情影响，面对展会延期、境外品牌参展商无法如期赴展等难题，我中心积极应对，成功打造茶咖融合场景，首次创新亮相茶博会。国际咖啡馆位于会展中心6号馆，主要集中展示了来自马来西亚等国的优质品牌咖啡、咖啡豆、咖啡器具、咖啡机等产品，并在现场设置免费品尝区，打造体验式消费场景。</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组织企业抱团参展，取得了较好的反响和显著的成效。本届国际咖啡展，我中心组织了立敦(上海)贸易有限公司、西安迈歌登商贸有限公司、马拉西亚味之途集团、成都世纪远航商贸有限公司、成都德裕伟业商贸有限责任公司、太古食品公司等企业抱团亮相，展销和推广了包括奢啡咖啡、密友咖啡、亚罗星咖啡、艺术山咖啡、逸摩咖啡(imo)等国内外品牌咖啡、一屋窑品牌高端咖啡器皿、各类现磨咖啡机及调饮咖啡，并融合展示乐家城堡红葡萄酒及部分一屋窑品牌玻璃茶器、茶具组合等产品。一是更好地顺应了市场差异化需求，满足消费市场新场景新应用；二是为广大参展商了解市场、宣传展示、交流合作、共拓商机提供了有效载体，助力企业克服疫情影响、提振发展信心。</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协办第八届健康和养老四川国际产业博览会。四川省正加快构建“4+6”现代服务业体系，医疗康养服务业市场潜力巨大，“第8届四川国际健康和养老产业博览会” （以下简称“健博会”）是疫后我省医养结合、中医药大健康服务业发展的一次集中展示。本届健博会由四川省经济和信息化厅、商务厅、文化和旅游厅、卫生健康委、药监局、工商联支持，四川省市场营销协会、供货商商会主办，四川省商务发展事务中心协办，于9月4日-6日在成都世纪城会展中心举办。以“科技引领·健康未来”为主题，规模1.2万平米，设置健康和养老产业两大展区，来自北京、广东、江苏、浙江、海南、重庆、四川等10多个省（区）市以及日本贸易振兴机构等300余家中外企业参展，集中展示中医药、生物科技、医疗机构、器械辅具、健康管理与服务、养老机构、适老化设计改造、智慧养老、健康旅游、康养地产、营养健康食品等健康与养老行业近万种新科技、新产品、新服务，贯穿全产业链。据不完全统计，会期共有4.2万人次观众到场参观，其中专业观众5000余人次。</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项目资金年初进行预算申报、经过人大预工委批复，符合资金管理办法等相关规定。</w:t>
      </w:r>
    </w:p>
    <w:p>
      <w:pPr>
        <w:spacing w:line="580" w:lineRule="exact"/>
        <w:ind w:firstLine="643" w:firstLineChars="200"/>
        <w:rPr>
          <w:rFonts w:ascii="仿宋_GB2312" w:hAnsi="宋体" w:eastAsia="仿宋_GB2312"/>
          <w:sz w:val="32"/>
          <w:szCs w:val="32"/>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rPr>
        <w:t>根据当时疫情影响，迅速开展市场调研活动，收集问题，有针对性开展会展活动，促进消费，拉动内循环。</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说明项目申报内容与具体实施内容相符、申报目标合理可行。</w:t>
      </w:r>
    </w:p>
    <w:p>
      <w:pPr>
        <w:adjustRightInd w:val="0"/>
        <w:snapToGrid w:val="0"/>
        <w:spacing w:line="600" w:lineRule="exact"/>
        <w:ind w:firstLine="720"/>
        <w:rPr>
          <w:rFonts w:ascii="黑体" w:hAnsi="宋体" w:eastAsia="黑体"/>
          <w:sz w:val="32"/>
          <w:szCs w:val="32"/>
        </w:rPr>
      </w:pPr>
      <w:bookmarkStart w:id="95" w:name="_Toc845737763_WPSOffice_Level2"/>
      <w:r>
        <w:rPr>
          <w:rFonts w:hint="eastAsia" w:ascii="黑体" w:hAnsi="宋体" w:eastAsia="黑体"/>
          <w:sz w:val="32"/>
          <w:szCs w:val="32"/>
        </w:rPr>
        <w:t>二、项目实施及管理情况</w:t>
      </w:r>
      <w:bookmarkEnd w:id="95"/>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资金计划及到位。该项目资金计划及截止评价时点实际全部到位，全部为省级财政资金。资金到位情况与资金预算计划进度一致，资金到位率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，到位及时。</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资金使用。说明截止评价时点项目资金的实际支出详见《项目绩效目标完成情况表（会展促进项目）》，资金开支范围、标准及支付进度等与年初预算完全一致，支付依据合规合法，资金支付与预算相符。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该项目纳入中心统一财务核算，未单独设立机构及账套。对照项目资金管理办法，该项目严格执行中心财务管理制度、财务处理及时、会计核算规范。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该项目未设立独立机构，纳入中心统一财务管理，未涉及政府采购。</w:t>
      </w:r>
    </w:p>
    <w:p>
      <w:pPr>
        <w:adjustRightInd w:val="0"/>
        <w:snapToGrid w:val="0"/>
        <w:spacing w:line="600" w:lineRule="exact"/>
        <w:ind w:firstLine="720"/>
        <w:rPr>
          <w:rFonts w:ascii="仿宋_GB2312" w:hAnsi="宋体" w:eastAsia="仿宋_GB2312"/>
          <w:sz w:val="32"/>
          <w:szCs w:val="32"/>
          <w:lang w:val="zh-CN"/>
        </w:rPr>
      </w:pPr>
      <w:bookmarkStart w:id="96" w:name="_Toc731411429_WPSOffice_Level2"/>
      <w:r>
        <w:rPr>
          <w:rFonts w:hint="eastAsia" w:ascii="黑体" w:hAnsi="宋体" w:eastAsia="黑体"/>
          <w:sz w:val="32"/>
          <w:szCs w:val="32"/>
        </w:rPr>
        <w:t>三、项目绩效情况</w:t>
      </w:r>
      <w:bookmarkEnd w:id="96"/>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详见《项目绩效目标完成情况表（会展促进项目）》。</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（二）项目效益情况。</w:t>
      </w:r>
      <w:r>
        <w:rPr>
          <w:rFonts w:hint="eastAsia" w:ascii="仿宋_GB2312" w:hAnsi="宋体" w:eastAsia="仿宋_GB2312"/>
          <w:sz w:val="32"/>
          <w:szCs w:val="32"/>
          <w:lang w:val="zh-CN"/>
        </w:rPr>
        <w:t>详见《项目绩效目标完成情况表（会展促进项目）》。</w:t>
      </w:r>
    </w:p>
    <w:p>
      <w:pPr>
        <w:adjustRightInd w:val="0"/>
        <w:snapToGrid w:val="0"/>
        <w:spacing w:line="600" w:lineRule="exact"/>
        <w:ind w:firstLine="720"/>
        <w:rPr>
          <w:rFonts w:ascii="黑体" w:hAnsi="宋体" w:eastAsia="黑体"/>
          <w:sz w:val="32"/>
          <w:szCs w:val="32"/>
        </w:rPr>
      </w:pPr>
      <w:bookmarkStart w:id="97" w:name="_Toc702022637_WPSOffice_Level2"/>
      <w:r>
        <w:rPr>
          <w:rFonts w:hint="eastAsia" w:ascii="黑体" w:hAnsi="宋体" w:eastAsia="黑体"/>
          <w:sz w:val="32"/>
          <w:szCs w:val="32"/>
        </w:rPr>
        <w:t>四、问题及建议</w:t>
      </w:r>
      <w:bookmarkEnd w:id="97"/>
    </w:p>
    <w:p>
      <w:pPr>
        <w:adjustRightInd w:val="0"/>
        <w:snapToGrid w:val="0"/>
        <w:spacing w:line="600" w:lineRule="exact"/>
        <w:ind w:firstLine="720"/>
        <w:rPr>
          <w:rFonts w:ascii="仿宋_GB2312" w:hAnsi="宋体" w:eastAsia="仿宋_GB2312"/>
          <w:sz w:val="32"/>
          <w:szCs w:val="32"/>
        </w:rPr>
      </w:pPr>
      <w:r>
        <w:rPr>
          <w:rFonts w:hint="eastAsia" w:ascii="楷体_GB2312" w:hAnsi="宋体" w:eastAsia="楷体_GB2312"/>
          <w:b/>
          <w:sz w:val="32"/>
          <w:szCs w:val="32"/>
          <w:lang w:val="zh-CN"/>
        </w:rPr>
        <w:t>（一）存在的问题。</w:t>
      </w:r>
      <w:r>
        <w:rPr>
          <w:rFonts w:hint="eastAsia" w:ascii="仿宋_GB2312" w:hAnsi="宋体" w:eastAsia="仿宋_GB2312"/>
          <w:sz w:val="32"/>
          <w:szCs w:val="32"/>
        </w:rPr>
        <w:t>规模偏小，不能产生良好的产业效益；疫情影响，采购商偏少；参展的企业类别单一。</w:t>
      </w:r>
    </w:p>
    <w:p>
      <w:pPr>
        <w:pStyle w:val="2"/>
        <w:spacing w:before="93"/>
        <w:ind w:firstLine="640"/>
        <w:rPr>
          <w:rFonts w:hint="eastAsia" w:hAnsi="宋体"/>
          <w:sz w:val="32"/>
          <w:szCs w:val="32"/>
        </w:rPr>
      </w:pPr>
      <w:r>
        <w:rPr>
          <w:rFonts w:hint="eastAsia" w:hAnsi="宋体"/>
          <w:b/>
          <w:bCs/>
          <w:sz w:val="32"/>
          <w:szCs w:val="32"/>
        </w:rPr>
        <w:t>（二）</w:t>
      </w:r>
      <w:r>
        <w:rPr>
          <w:rFonts w:hint="eastAsia" w:ascii="楷体_GB2312" w:hAnsi="宋体" w:eastAsia="楷体_GB2312"/>
          <w:b/>
          <w:bCs/>
          <w:sz w:val="32"/>
          <w:szCs w:val="32"/>
          <w:lang w:val="zh-CN"/>
        </w:rPr>
        <w:t>相</w:t>
      </w:r>
      <w:r>
        <w:rPr>
          <w:rFonts w:hint="eastAsia" w:ascii="楷体_GB2312" w:hAnsi="宋体" w:eastAsia="楷体_GB2312"/>
          <w:b/>
          <w:sz w:val="32"/>
          <w:szCs w:val="32"/>
          <w:lang w:val="zh-CN"/>
        </w:rPr>
        <w:t>关建议。</w:t>
      </w:r>
      <w:r>
        <w:rPr>
          <w:rFonts w:hint="eastAsia" w:hAnsi="宋体"/>
          <w:sz w:val="32"/>
          <w:szCs w:val="32"/>
        </w:rPr>
        <w:t>一是，进一步了解企业需求，量身打造服务项目。同时将参展企业纳入现有的企业信息数据库，保持常态化的客户关系维护及跟踪管理服务，做好数据资源的整合及动态更新工作，不断提升信息化技术应用水平，有助于更好地掌握市场信息和发展趋势，开辟新的合作空间；二是，借助川茶产业生态优势、资源优势和文化优势，顺应市场变化，关注消费者需求，助推四川茶博会办出特色、体现专业化、国际化、市场化、品牌化水平，激发跨国界、跨文化多元合作的无限潜能，为我省经济高质量发展贡献力量。</w:t>
      </w:r>
    </w:p>
    <w:p>
      <w:pPr>
        <w:pStyle w:val="2"/>
        <w:spacing w:before="93"/>
        <w:ind w:firstLine="640"/>
        <w:rPr>
          <w:rFonts w:hint="eastAsia" w:hAnsi="宋体"/>
          <w:sz w:val="32"/>
          <w:szCs w:val="32"/>
        </w:rPr>
      </w:pPr>
    </w:p>
    <w:p>
      <w:pPr>
        <w:pStyle w:val="2"/>
        <w:spacing w:before="93"/>
        <w:ind w:firstLine="640"/>
        <w:rPr>
          <w:rFonts w:hint="eastAsia" w:hAnsi="宋体"/>
          <w:sz w:val="32"/>
          <w:szCs w:val="32"/>
        </w:rPr>
      </w:pPr>
    </w:p>
    <w:p>
      <w:pPr>
        <w:pStyle w:val="2"/>
        <w:spacing w:before="93"/>
        <w:ind w:firstLine="640"/>
        <w:rPr>
          <w:rFonts w:hint="eastAsia" w:hAnsi="宋体"/>
          <w:sz w:val="32"/>
          <w:szCs w:val="32"/>
        </w:rPr>
      </w:pPr>
    </w:p>
    <w:p>
      <w:pPr>
        <w:pStyle w:val="2"/>
        <w:spacing w:before="93"/>
        <w:ind w:firstLine="640"/>
        <w:rPr>
          <w:rFonts w:hint="eastAsia" w:hAnsi="宋体"/>
          <w:sz w:val="32"/>
          <w:szCs w:val="32"/>
        </w:rPr>
      </w:pPr>
    </w:p>
    <w:p>
      <w:pPr>
        <w:pStyle w:val="2"/>
        <w:spacing w:before="93"/>
        <w:ind w:firstLine="640"/>
        <w:rPr>
          <w:rFonts w:hint="eastAsia" w:hAnsi="宋体"/>
          <w:sz w:val="32"/>
          <w:szCs w:val="32"/>
        </w:rPr>
      </w:pPr>
    </w:p>
    <w:p>
      <w:pPr>
        <w:pStyle w:val="2"/>
        <w:spacing w:before="93"/>
        <w:rPr>
          <w:rFonts w:hint="eastAsia" w:hAnsi="宋体"/>
          <w:sz w:val="32"/>
          <w:szCs w:val="32"/>
        </w:rPr>
      </w:pPr>
    </w:p>
    <w:p>
      <w:pPr>
        <w:spacing w:line="600" w:lineRule="exact"/>
        <w:jc w:val="center"/>
        <w:rPr>
          <w:rFonts w:ascii="方正小标宋简体" w:hAnsi="宋体" w:eastAsia="方正小标宋简体"/>
          <w:kern w:val="0"/>
          <w:sz w:val="44"/>
          <w:szCs w:val="44"/>
          <w:lang w:val="zh-CN"/>
        </w:rPr>
      </w:pPr>
      <w:bookmarkStart w:id="98" w:name="_Toc265609583_WPSOffice_Level2"/>
      <w:r>
        <w:rPr>
          <w:rFonts w:hint="eastAsia" w:ascii="方正小标宋简体" w:hAnsi="宋体" w:eastAsia="方正小标宋简体" w:cs="Times New Roman"/>
          <w:kern w:val="0"/>
          <w:sz w:val="44"/>
          <w:szCs w:val="44"/>
          <w:lang w:val="zh-CN"/>
        </w:rPr>
        <w:t>2020年商务</w:t>
      </w:r>
      <w:r>
        <w:rPr>
          <w:rFonts w:hint="eastAsia" w:ascii="方正小标宋简体" w:hAnsi="宋体" w:eastAsia="方正小标宋简体"/>
          <w:kern w:val="0"/>
          <w:sz w:val="44"/>
          <w:szCs w:val="44"/>
          <w:lang w:val="zh-CN"/>
        </w:rPr>
        <w:t>培训项目支出绩效自评报告</w:t>
      </w:r>
      <w:bookmarkEnd w:id="98"/>
    </w:p>
    <w:p>
      <w:pPr>
        <w:spacing w:line="60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（项目单位自评）</w:t>
      </w:r>
    </w:p>
    <w:p>
      <w:pPr>
        <w:adjustRightInd w:val="0"/>
        <w:snapToGrid w:val="0"/>
        <w:spacing w:line="600" w:lineRule="exact"/>
        <w:ind w:firstLine="720"/>
        <w:rPr>
          <w:rFonts w:ascii="黑体" w:hAnsi="宋体" w:eastAsia="黑体"/>
          <w:sz w:val="32"/>
          <w:szCs w:val="32"/>
          <w:lang w:val="zh-CN"/>
        </w:rPr>
      </w:pPr>
      <w:bookmarkStart w:id="99" w:name="_Toc318585348_WPSOffice_Level2"/>
      <w:r>
        <w:rPr>
          <w:rFonts w:hint="eastAsia" w:ascii="黑体" w:hAnsi="宋体" w:eastAsia="黑体"/>
          <w:sz w:val="32"/>
          <w:szCs w:val="32"/>
        </w:rPr>
        <w:t>一、</w:t>
      </w:r>
      <w:r>
        <w:rPr>
          <w:rFonts w:hint="eastAsia" w:ascii="黑体" w:hAnsi="宋体" w:eastAsia="黑体"/>
          <w:sz w:val="32"/>
          <w:szCs w:val="32"/>
          <w:lang w:val="zh-CN"/>
        </w:rPr>
        <w:t>项目概况</w:t>
      </w:r>
      <w:bookmarkEnd w:id="99"/>
    </w:p>
    <w:p>
      <w:pPr>
        <w:pStyle w:val="12"/>
        <w:shd w:val="clear" w:color="auto" w:fill="FFFFFF"/>
        <w:spacing w:before="0" w:beforeAutospacing="0" w:after="0" w:afterAutospacing="0"/>
        <w:ind w:firstLine="538"/>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主办2020年抗疫惠企系列在线培训项目。我中心积极对接各市（州）商务主管部门、行业领域专家及部分企业，全面了解受疫情影响企业所面临的实际困难和迫切需求，制定具有针对性的培训主题和内容。从2020年4月10日至5月28日，结合实际培训需求邀请到四川省商务厅外贸处副处长李雄、贸发处副处长刘岚、审批处副处长李歌、流通业发展处副处长陈成、国家税务总局四川省税务局进出口税收管理处赵德庆专家、成都海关所属锦城海关相关科室负责人、四川君阳税务师事务所、中国信保四川分公司、中国工商银行四川省分行相关领域实战专家共13位授课讲师，围绕《涉税优惠政策解读》《金融信保抗疫情优惠政策解读》《海关税收及出口退税政策解读》《外贸企业新业态新模式新优势解读》《进出口企业资质及证书办理实操》《对外劳务合作和境外投资行政审批事项》《步行街改造提升和流通工作相关政策解读》《海关信用管理办法及跨境电商政策解读》八大主题进行了深度的解读和详细的实操讲解，使我省企业足不出户就能及时掌握最新的优惠政策和帮扶措施，有效降低疫情影响，全力支持我省企业抗疫情、保经营、稳发展，吸引了来自商务系统、海关等行政人员以及全省国际贸易、生产制造、商贸流通、供应链管理、现代物流、跨境电商、零售服务、餐饮服务等多个行业的大中小微企业人员参与培训。共举办了八期系列专题在线培训，1260家单位、近2000人参加培训，累计观看达5000余人次，取得了良好的效果，得到授课专家和参训学员的一致好评和认可。</w:t>
      </w:r>
    </w:p>
    <w:p>
      <w:pPr>
        <w:pStyle w:val="12"/>
        <w:shd w:val="clear" w:color="auto" w:fill="FFFFFF"/>
        <w:spacing w:before="0" w:beforeAutospacing="0" w:after="0" w:afterAutospacing="0"/>
        <w:ind w:firstLine="538"/>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主办2020年产业链精准招商实务技能培训项目。由中心主办的2020年产业链精准招商实务技能培训班在四川创联国培中心成功举办。此次培训班是我中心为提升省内相关部门、产业园区招商引资管理人员的精准招商能力和专业水平，推动全省招商引资工作高质量发展举办的线下培训。来自我省各市（州）商务招商主管部门、各经济开发区、产业功能区、各有关单位负责招商引资工作的业务人员，共100 余人参加了培训。此次培训班邀请到相关领域具有丰富实战管理经验的四川大学民商法学硕士、英国曼彻斯特大学欧盟法学硕士、四川大学技术经济及管理学博士研究生、成都市投促局外资处刘建处长和北京联东(投资)集团四川公司总经理，成都市健康服务业商会副会长、产业研究院余明洪副院长，分别就积极高效扩大利用外资的招商工作及产业园区招商与运营进行了专题授课。该培训有104人参加线下培训，500人次观看了线上培训，线上线下培训同时开展。</w:t>
      </w:r>
    </w:p>
    <w:p>
      <w:pPr>
        <w:pStyle w:val="12"/>
        <w:shd w:val="clear" w:color="auto" w:fill="FFFFFF"/>
        <w:spacing w:before="0" w:beforeAutospacing="0" w:after="0" w:afterAutospacing="0"/>
        <w:ind w:firstLine="538"/>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主办2020年川企管理创新能力提升培训班。为贯彻落实党中央关于加快建设现代流通体系的战略决策部署，构建以国内大循环为主体、国内国际双循环相互促进的新发展格局，切实帮助我省企业革新思维、开阔眼界，以与时俱进的现代经营理念，持续提升川企的市场竞争力，四川省商务发展事务中心分别于2020年11月、12月分别举办了2期“2020川企管理创新能力提升培训班”，通过多元互动的教学形式为学员搭建了一个学习提升、思想交流、合作共赢的良好平台，精准解决企业在发展过程中遇到的问题，为我省企业加快融入新发展格局积蓄新动能，增强新优势。此次培训为期2.5天，通过专题讲座、现场教学、研讨交流等形式进行。两期培训分别邀请四川省商务厅流通业处处长罗汝奎、阿里巴巴国际事业部讲师尤志达、阿里巴巴国际站AGSL全球认证金牌讲师郑锴、阿里巴巴四川跨境贸易服务中心副总经理蒲秋梅，分别以“商贸流通零售业发展的探索与思考”、“跨境B2B破局之道”、“跨境电商企业的数字化致胜之道”、“川货出川，服务全球”，向学员进行授课。同时开展了实地考察，组织学员们参访了成都耐斯特科技有限公司，期间总经理张应勇进行了主题分享，并与学员们展开热烈交流，共同探讨管理之道。此次培训，线上线下参会踊跃。两期培训得到了省内百余家商贸流通企业、外贸生产企业及相关行业商协会等的积极响应和踊跃参与。其中，由于疫情原因，第二期活动临时取消了线下培训，全部转为线上培训。两期培训共计100余人参加了成都线下会场培训，150余人参加了线上培训，线上会场通过网络平台直播的方式进行，在线观看人数累计达500余人次，取得了较好成效。</w:t>
      </w:r>
    </w:p>
    <w:p>
      <w:pPr>
        <w:pStyle w:val="12"/>
        <w:shd w:val="clear" w:color="auto" w:fill="FFFFFF"/>
        <w:spacing w:before="0" w:beforeAutospacing="0" w:after="0" w:afterAutospacing="0"/>
        <w:ind w:firstLine="640" w:firstLineChars="200"/>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主办2020对外经贸热点分析与外贸实务政策培训班。新冠肺炎疫情在全球蔓延，全球经济不确定性和风险挑战显著增多，外贸发展面临的外部环境依旧严峻复杂。但随着供给侧结构性改革的深入推进，国内“六稳”政策措施继续落地见效，营商环境持续改善，市场主体活力不断增强，外贸结构不断优化，动力转换加快长期趋势没有改变。外贸保持总体平稳增长态势，高质量发展将迈上新的台阶。在这一大背景下，为助力四川省外贸中小企业发展，我中心于10月14—16日在西南财经大学光华校区西区多功能厅举办“2020对外经贸热点分析与外贸实务政策培训班”，由专家师资启发领读政策要义，用科学的先进理念指导其本职工作的开展，探索推动全省外贸企业发展、提高企业对政策形势把握，共谋四川外贸企业发展。本期培训企业45家，企业代表92人，圆满实现了预期目标。</w:t>
      </w:r>
    </w:p>
    <w:p>
      <w:pPr>
        <w:pStyle w:val="12"/>
        <w:shd w:val="clear" w:color="auto" w:fill="FFFFFF"/>
        <w:spacing w:before="0" w:beforeAutospacing="0" w:after="0" w:afterAutospacing="0"/>
        <w:ind w:firstLine="538"/>
        <w:rPr>
          <w:rFonts w:hint="eastAsia" w:ascii="仿宋_GB2312" w:hAnsi="宋体" w:eastAsia="仿宋_GB2312" w:cs="Times New Roman"/>
          <w:kern w:val="0"/>
          <w:sz w:val="32"/>
          <w:szCs w:val="32"/>
          <w:lang w:val="en-US" w:eastAsia="zh-CN" w:bidi="ar-SA"/>
        </w:rPr>
      </w:pPr>
      <w:r>
        <w:rPr>
          <w:rFonts w:hint="eastAsia" w:ascii="仿宋_GB2312" w:hAnsi="宋体" w:eastAsia="仿宋_GB2312" w:cs="Times New Roman"/>
          <w:kern w:val="0"/>
          <w:sz w:val="32"/>
          <w:szCs w:val="32"/>
          <w:lang w:val="en-US" w:eastAsia="zh-CN" w:bidi="ar-SA"/>
        </w:rPr>
        <w:t>组织外派劳务人员进行相关培训。根据《对外劳务合作管理条例》、《对外劳务合作服务平台建设试行办法》及《外派劳务培训管理实施细则》规定，在省商务厅的指导下，根据派往国家（地区）和外派劳务人员实际情况，制定培训计划并开展培训。2020年共组织培训7期外派人员，全年共培训290名外派劳务人员。随着疫情防控工作进入常态化，疫情一旦好转，形势稳定，外派劳务的需求将出现井喷式的增长，为了抓住机会，中心更应该用一种超前的眼光，提前布局外派劳务培训，为外派劳务健康发展贡献力量。</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项目资金年初进行预算申报、经过人大预工委批复，符合资金管理办法等相关规定。</w:t>
      </w:r>
    </w:p>
    <w:p>
      <w:pPr>
        <w:adjustRightInd w:val="0"/>
        <w:snapToGrid w:val="0"/>
        <w:spacing w:line="600" w:lineRule="exact"/>
        <w:ind w:firstLine="720"/>
        <w:rPr>
          <w:rFonts w:hint="eastAsia" w:ascii="仿宋_GB2312" w:hAnsi="仿宋_GB2312" w:eastAsia="仿宋_GB2312" w:cs="仿宋_GB2312"/>
          <w:bCs/>
          <w:sz w:val="32"/>
          <w:szCs w:val="32"/>
          <w:lang w:val="zh-CN"/>
        </w:rPr>
      </w:pPr>
      <w:r>
        <w:rPr>
          <w:rFonts w:hint="eastAsia" w:ascii="楷体_GB2312" w:hAnsi="宋体" w:eastAsia="楷体_GB2312"/>
          <w:b/>
          <w:sz w:val="32"/>
          <w:szCs w:val="32"/>
          <w:lang w:val="zh-CN"/>
        </w:rPr>
        <w:t>（二）项目绩效目标。</w:t>
      </w:r>
      <w:r>
        <w:rPr>
          <w:rFonts w:hint="eastAsia" w:ascii="仿宋_GB2312" w:hAnsi="仿宋_GB2312" w:eastAsia="仿宋_GB2312" w:cs="仿宋_GB2312"/>
          <w:bCs/>
          <w:sz w:val="32"/>
          <w:szCs w:val="32"/>
          <w:lang w:val="zh-CN"/>
        </w:rPr>
        <w:t>通过举办诸多商务人才培训，提高商务系统人员对政策的理解与把握，有助于推动四川商务事业的发展。</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说明项目申报内容与具体实施内容相符、申报目标合理可行。</w:t>
      </w:r>
    </w:p>
    <w:p>
      <w:pPr>
        <w:adjustRightInd w:val="0"/>
        <w:snapToGrid w:val="0"/>
        <w:spacing w:line="600" w:lineRule="exact"/>
        <w:ind w:firstLine="720"/>
        <w:rPr>
          <w:rFonts w:ascii="黑体" w:hAnsi="宋体" w:eastAsia="黑体"/>
          <w:sz w:val="32"/>
          <w:szCs w:val="32"/>
        </w:rPr>
      </w:pPr>
      <w:bookmarkStart w:id="100" w:name="_Toc2130718476_WPSOffice_Level2"/>
      <w:r>
        <w:rPr>
          <w:rFonts w:hint="eastAsia" w:ascii="黑体" w:hAnsi="宋体" w:eastAsia="黑体"/>
          <w:sz w:val="32"/>
          <w:szCs w:val="32"/>
        </w:rPr>
        <w:t>二、项目实施及管理情况</w:t>
      </w:r>
      <w:bookmarkEnd w:id="100"/>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资金计划及到位。该项目资金计划及截止评价时点实际全部到位，全部为省级财政资金。资金到位情况与资金预算计划进度一致，资金到位率</w:t>
      </w:r>
      <w:r>
        <w:rPr>
          <w:rFonts w:hint="eastAsia" w:ascii="仿宋_GB2312" w:hAnsi="仿宋_GB2312" w:eastAsia="仿宋_GB2312" w:cs="仿宋_GB2312"/>
          <w:sz w:val="32"/>
          <w:szCs w:val="32"/>
        </w:rPr>
        <w:t>100%</w:t>
      </w:r>
      <w:r>
        <w:rPr>
          <w:rFonts w:hint="eastAsia" w:ascii="仿宋_GB2312" w:hAnsi="仿宋_GB2312" w:eastAsia="仿宋_GB2312" w:cs="仿宋_GB2312"/>
          <w:sz w:val="32"/>
          <w:szCs w:val="32"/>
          <w:lang w:val="zh-CN"/>
        </w:rPr>
        <w:t>，到位及时。</w:t>
      </w:r>
    </w:p>
    <w:p>
      <w:pPr>
        <w:adjustRightInd w:val="0"/>
        <w:snapToGrid w:val="0"/>
        <w:spacing w:line="600" w:lineRule="exact"/>
        <w:ind w:firstLine="72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资金使用。说明截止评价时点项目资金的实际支出详见《项目绩效目标完成情况表（商务培训项目）》，资金开支范围、标准及支付进度等与年初预算完全一致，支付依据合规合法，资金支付与预算相符。</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（二）项目财务管理情况。</w:t>
      </w:r>
      <w:r>
        <w:rPr>
          <w:rFonts w:hint="eastAsia" w:ascii="仿宋_GB2312" w:hAnsi="宋体" w:eastAsia="仿宋_GB2312"/>
          <w:sz w:val="32"/>
          <w:szCs w:val="32"/>
          <w:lang w:val="zh-CN"/>
        </w:rPr>
        <w:t>该项目纳入中心统一财务核算，未单独设立机构及账套。对照项目资金管理办法，该项目严格执行中心财务管理制度、财务处理及时、会计核算规范。</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（三）项目组织实施情况。</w:t>
      </w:r>
      <w:r>
        <w:rPr>
          <w:rFonts w:hint="eastAsia" w:ascii="仿宋_GB2312" w:hAnsi="宋体" w:eastAsia="仿宋_GB2312"/>
          <w:sz w:val="32"/>
          <w:szCs w:val="32"/>
          <w:lang w:val="zh-CN"/>
        </w:rPr>
        <w:t>该项目未设立独立机构，纳入中心统一财务管理，未涉及政府采购。</w:t>
      </w:r>
    </w:p>
    <w:p>
      <w:pPr>
        <w:adjustRightInd w:val="0"/>
        <w:snapToGrid w:val="0"/>
        <w:spacing w:line="600" w:lineRule="exact"/>
        <w:ind w:firstLine="720"/>
        <w:rPr>
          <w:rFonts w:ascii="仿宋_GB2312" w:hAnsi="宋体" w:eastAsia="仿宋_GB2312"/>
          <w:sz w:val="32"/>
          <w:szCs w:val="32"/>
          <w:lang w:val="zh-CN"/>
        </w:rPr>
      </w:pPr>
      <w:bookmarkStart w:id="101" w:name="_Toc1502202829_WPSOffice_Level2"/>
      <w:r>
        <w:rPr>
          <w:rFonts w:hint="eastAsia" w:ascii="黑体" w:hAnsi="宋体" w:eastAsia="黑体"/>
          <w:sz w:val="32"/>
          <w:szCs w:val="32"/>
        </w:rPr>
        <w:t>三、项目绩效情况</w:t>
      </w:r>
      <w:bookmarkEnd w:id="101"/>
      <w:r>
        <w:rPr>
          <w:rFonts w:hint="eastAsia" w:ascii="仿宋_GB2312" w:hAnsi="宋体" w:eastAsia="仿宋_GB2312"/>
          <w:sz w:val="32"/>
          <w:szCs w:val="32"/>
          <w:lang w:val="zh-CN"/>
        </w:rPr>
        <w:tab/>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（一）项目完成情况。</w:t>
      </w:r>
      <w:r>
        <w:rPr>
          <w:rFonts w:hint="eastAsia" w:ascii="仿宋_GB2312" w:hAnsi="宋体" w:eastAsia="仿宋_GB2312"/>
          <w:sz w:val="32"/>
          <w:szCs w:val="32"/>
          <w:lang w:val="zh-CN"/>
        </w:rPr>
        <w:t>详见《项目绩效目标完成情况表（商务培训项目）》。</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（二）项目效益情况。</w:t>
      </w:r>
      <w:r>
        <w:rPr>
          <w:rFonts w:hint="eastAsia" w:ascii="仿宋_GB2312" w:hAnsi="宋体" w:eastAsia="仿宋_GB2312"/>
          <w:sz w:val="32"/>
          <w:szCs w:val="32"/>
          <w:lang w:val="zh-CN"/>
        </w:rPr>
        <w:t>通过举办诸多商务人才培训，提高商务系统人员对政策的理解与把握，有助于推动四川商务事业的发展。详见《项目绩效目标完成情况表（商务培训项目）》。</w:t>
      </w:r>
    </w:p>
    <w:p>
      <w:pPr>
        <w:adjustRightInd w:val="0"/>
        <w:snapToGrid w:val="0"/>
        <w:spacing w:line="600" w:lineRule="exact"/>
        <w:ind w:firstLine="720"/>
        <w:rPr>
          <w:rFonts w:ascii="黑体" w:hAnsi="宋体" w:eastAsia="黑体"/>
          <w:sz w:val="32"/>
          <w:szCs w:val="32"/>
        </w:rPr>
      </w:pPr>
      <w:bookmarkStart w:id="102" w:name="_Toc473714603_WPSOffice_Level2"/>
      <w:r>
        <w:rPr>
          <w:rFonts w:hint="eastAsia" w:ascii="黑体" w:hAnsi="宋体" w:eastAsia="黑体"/>
          <w:sz w:val="32"/>
          <w:szCs w:val="32"/>
        </w:rPr>
        <w:t>四、问题及建议</w:t>
      </w:r>
      <w:bookmarkEnd w:id="102"/>
    </w:p>
    <w:p>
      <w:pPr>
        <w:adjustRightInd w:val="0"/>
        <w:snapToGrid w:val="0"/>
        <w:spacing w:line="600" w:lineRule="exact"/>
        <w:ind w:firstLine="720"/>
        <w:rPr>
          <w:rFonts w:ascii="仿宋_GB2312" w:eastAsia="仿宋_GB2312"/>
          <w:sz w:val="32"/>
          <w:szCs w:val="32"/>
        </w:rPr>
      </w:pPr>
      <w:r>
        <w:rPr>
          <w:rFonts w:hint="eastAsia" w:ascii="楷体_GB2312" w:hAnsi="宋体" w:eastAsia="楷体_GB2312"/>
          <w:b/>
          <w:sz w:val="32"/>
          <w:szCs w:val="32"/>
          <w:lang w:val="zh-CN"/>
        </w:rPr>
        <w:t>（一）存在的问题。</w:t>
      </w:r>
      <w:r>
        <w:rPr>
          <w:rFonts w:hint="eastAsia" w:ascii="仿宋_GB2312" w:eastAsia="仿宋_GB2312"/>
          <w:sz w:val="32"/>
          <w:szCs w:val="32"/>
        </w:rPr>
        <w:t>培训课程缺乏体系化；培训课程需要长期实施和周期性；培训资金缺乏；培训师资匮乏，尤其是优秀师资；受授课老师讲课费标准限制，很难邀请到优秀师资。</w:t>
      </w:r>
    </w:p>
    <w:p>
      <w:pPr>
        <w:pStyle w:val="2"/>
        <w:spacing w:before="93"/>
        <w:rPr>
          <w:rFonts w:ascii="仿宋_GB2312" w:eastAsia="仿宋_GB2312" w:cs="Times New Roman"/>
          <w:kern w:val="2"/>
          <w:sz w:val="32"/>
          <w:szCs w:val="32"/>
        </w:rPr>
      </w:pPr>
      <w:r>
        <w:rPr>
          <w:rFonts w:hint="eastAsia"/>
          <w:kern w:val="2"/>
          <w:sz w:val="32"/>
          <w:szCs w:val="32"/>
        </w:rPr>
        <w:t xml:space="preserve">    </w:t>
      </w:r>
      <w:r>
        <w:rPr>
          <w:rFonts w:hint="eastAsia"/>
          <w:b/>
          <w:bCs/>
          <w:kern w:val="2"/>
          <w:sz w:val="32"/>
          <w:szCs w:val="32"/>
        </w:rPr>
        <w:t>（二）</w:t>
      </w:r>
      <w:r>
        <w:rPr>
          <w:rFonts w:hint="eastAsia" w:ascii="楷体_GB2312" w:hAnsi="宋体" w:eastAsia="楷体_GB2312"/>
          <w:b/>
          <w:sz w:val="32"/>
          <w:szCs w:val="32"/>
          <w:lang w:val="zh-CN"/>
        </w:rPr>
        <w:t>相关建议。</w:t>
      </w:r>
      <w:r>
        <w:rPr>
          <w:rFonts w:hint="eastAsia"/>
          <w:kern w:val="2"/>
          <w:sz w:val="32"/>
          <w:szCs w:val="32"/>
        </w:rPr>
        <w:t>根据疫情防控工作要求，严格落实《常态化疫情防控形势下线下培训会议管理方案》；借助外部专家库，研发体系化课程，提升培训课程含金量；合理合规使用培训资金，适当调高培训师资费用标准；随着疫情好转，形势稳定，外派劳务的需求将出现井喷式的增长，为了抓住机会，中心更应该用一种超前的眼光，提前布局外派劳务培训。</w:t>
      </w:r>
    </w:p>
    <w:p>
      <w:pPr>
        <w:spacing w:line="600" w:lineRule="exact"/>
        <w:jc w:val="center"/>
        <w:outlineLvl w:val="0"/>
        <w:rPr>
          <w:rFonts w:hint="eastAsia" w:ascii="黑体" w:hAnsi="黑体" w:eastAsia="黑体"/>
          <w:color w:val="000000"/>
          <w:sz w:val="44"/>
          <w:szCs w:val="44"/>
        </w:rPr>
      </w:pPr>
      <w:bookmarkStart w:id="103" w:name="_Toc24667380_WPSOffice_Level1"/>
      <w:bookmarkStart w:id="104"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hint="eastAsia" w:ascii="黑体" w:hAnsi="黑体" w:eastAsia="黑体"/>
          <w:b w:val="0"/>
        </w:rPr>
      </w:pPr>
      <w:bookmarkStart w:id="105" w:name="_Toc25707"/>
      <w:r>
        <w:rPr>
          <w:rFonts w:hint="eastAsia" w:ascii="黑体" w:hAnsi="黑体" w:eastAsia="黑体"/>
          <w:color w:val="000000"/>
          <w:sz w:val="44"/>
          <w:szCs w:val="44"/>
        </w:rPr>
        <w:t>第</w:t>
      </w:r>
      <w:r>
        <w:rPr>
          <w:rStyle w:val="25"/>
          <w:rFonts w:hint="eastAsia" w:ascii="黑体" w:hAnsi="黑体" w:eastAsia="黑体"/>
          <w:b w:val="0"/>
        </w:rPr>
        <w:t>五部分 附表</w:t>
      </w:r>
      <w:bookmarkEnd w:id="79"/>
      <w:bookmarkEnd w:id="103"/>
      <w:bookmarkEnd w:id="104"/>
      <w:bookmarkEnd w:id="105"/>
      <w:bookmarkStart w:id="106" w:name="_Toc15396619"/>
      <w:bookmarkStart w:id="107" w:name="_Toc1104479611_WPSOffice_Level2"/>
    </w:p>
    <w:p>
      <w:pPr>
        <w:spacing w:line="600" w:lineRule="exact"/>
        <w:jc w:val="both"/>
        <w:outlineLvl w:val="0"/>
        <w:rPr>
          <w:rFonts w:hint="eastAsia" w:ascii="仿宋_GB2312" w:hAnsi="仿宋_GB2312" w:eastAsia="仿宋_GB2312" w:cs="仿宋_GB2312"/>
          <w:color w:val="000000"/>
        </w:rPr>
      </w:pPr>
      <w:bookmarkStart w:id="108" w:name="_Toc14319"/>
      <w:r>
        <w:rPr>
          <w:rStyle w:val="26"/>
          <w:rFonts w:hint="eastAsia" w:ascii="仿宋_GB2312" w:hAnsi="仿宋_GB2312" w:eastAsia="仿宋_GB2312" w:cs="仿宋_GB2312"/>
          <w:b w:val="0"/>
          <w:bCs w:val="0"/>
          <w:lang w:val="en-US" w:eastAsia="zh-CN" w:bidi="ar-SA"/>
        </w:rPr>
        <w:t>一、收入支出决算</w:t>
      </w:r>
      <w:r>
        <w:rPr>
          <w:rStyle w:val="26"/>
          <w:rFonts w:hint="eastAsia" w:ascii="仿宋_GB2312" w:hAnsi="仿宋_GB2312" w:eastAsia="仿宋_GB2312" w:cs="仿宋_GB2312"/>
          <w:b w:val="0"/>
          <w:bCs w:val="0"/>
        </w:rPr>
        <w:t>总表</w:t>
      </w:r>
      <w:bookmarkEnd w:id="106"/>
      <w:bookmarkEnd w:id="107"/>
      <w:bookmarkEnd w:id="108"/>
    </w:p>
    <w:p>
      <w:pPr>
        <w:pStyle w:val="4"/>
        <w:rPr>
          <w:rFonts w:hint="eastAsia" w:ascii="仿宋_GB2312" w:hAnsi="仿宋_GB2312" w:eastAsia="仿宋_GB2312" w:cs="仿宋_GB2312"/>
          <w:color w:val="000000"/>
        </w:rPr>
      </w:pPr>
      <w:bookmarkStart w:id="109" w:name="_Toc854489854_WPSOffice_Level2"/>
      <w:bookmarkStart w:id="110" w:name="_Toc15396620"/>
      <w:bookmarkStart w:id="111" w:name="_Toc10569"/>
      <w:r>
        <w:rPr>
          <w:rFonts w:hint="eastAsia" w:ascii="仿宋_GB2312" w:hAnsi="仿宋_GB2312" w:eastAsia="仿宋_GB2312" w:cs="仿宋_GB2312"/>
          <w:b w:val="0"/>
          <w:color w:val="000000"/>
        </w:rPr>
        <w:t>二、收</w:t>
      </w:r>
      <w:r>
        <w:rPr>
          <w:rStyle w:val="26"/>
          <w:rFonts w:hint="eastAsia" w:ascii="仿宋_GB2312" w:hAnsi="仿宋_GB2312" w:eastAsia="仿宋_GB2312" w:cs="仿宋_GB2312"/>
          <w:b w:val="0"/>
          <w:bCs w:val="0"/>
        </w:rPr>
        <w:t>入决算表</w:t>
      </w:r>
      <w:bookmarkEnd w:id="109"/>
      <w:bookmarkEnd w:id="110"/>
      <w:bookmarkEnd w:id="111"/>
    </w:p>
    <w:p>
      <w:pPr>
        <w:pStyle w:val="4"/>
        <w:rPr>
          <w:rFonts w:hint="eastAsia" w:ascii="仿宋_GB2312" w:hAnsi="仿宋_GB2312" w:eastAsia="仿宋_GB2312" w:cs="仿宋_GB2312"/>
          <w:color w:val="000000"/>
        </w:rPr>
      </w:pPr>
      <w:bookmarkStart w:id="112" w:name="_Toc498381984_WPSOffice_Level2"/>
      <w:bookmarkStart w:id="113" w:name="_Toc15396621"/>
      <w:bookmarkStart w:id="114" w:name="_Toc30010"/>
      <w:r>
        <w:rPr>
          <w:rStyle w:val="26"/>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26"/>
          <w:rFonts w:hint="eastAsia" w:ascii="仿宋_GB2312" w:hAnsi="仿宋_GB2312" w:eastAsia="仿宋_GB2312" w:cs="仿宋_GB2312"/>
          <w:b w:val="0"/>
          <w:bCs w:val="0"/>
        </w:rPr>
        <w:t>出决算表</w:t>
      </w:r>
      <w:bookmarkEnd w:id="112"/>
      <w:bookmarkEnd w:id="113"/>
      <w:bookmarkEnd w:id="114"/>
    </w:p>
    <w:p>
      <w:pPr>
        <w:pStyle w:val="4"/>
        <w:rPr>
          <w:rFonts w:hint="eastAsia" w:ascii="仿宋_GB2312" w:hAnsi="仿宋_GB2312" w:eastAsia="仿宋_GB2312" w:cs="仿宋_GB2312"/>
          <w:b w:val="0"/>
          <w:color w:val="000000"/>
        </w:rPr>
      </w:pPr>
      <w:bookmarkStart w:id="115" w:name="_Toc15396622"/>
      <w:bookmarkStart w:id="116" w:name="_Toc754529249_WPSOffice_Level2"/>
      <w:bookmarkStart w:id="117" w:name="_Toc18007"/>
      <w:r>
        <w:rPr>
          <w:rStyle w:val="26"/>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26"/>
          <w:rFonts w:hint="eastAsia" w:ascii="仿宋_GB2312" w:hAnsi="仿宋_GB2312" w:eastAsia="仿宋_GB2312" w:cs="仿宋_GB2312"/>
          <w:b w:val="0"/>
          <w:bCs w:val="0"/>
        </w:rPr>
        <w:t>政拨款收入支出决算总表</w:t>
      </w:r>
      <w:bookmarkEnd w:id="115"/>
      <w:bookmarkEnd w:id="116"/>
      <w:bookmarkEnd w:id="117"/>
    </w:p>
    <w:p>
      <w:pPr>
        <w:pStyle w:val="4"/>
        <w:rPr>
          <w:rStyle w:val="26"/>
          <w:rFonts w:hint="eastAsia" w:ascii="仿宋_GB2312" w:hAnsi="仿宋_GB2312" w:eastAsia="仿宋_GB2312" w:cs="仿宋_GB2312"/>
          <w:b w:val="0"/>
          <w:bCs w:val="0"/>
        </w:rPr>
      </w:pPr>
      <w:bookmarkStart w:id="118" w:name="_Toc954377645_WPSOffice_Level2"/>
      <w:bookmarkStart w:id="119" w:name="_Toc15396623"/>
      <w:bookmarkStart w:id="120" w:name="_Toc13668"/>
      <w:r>
        <w:rPr>
          <w:rStyle w:val="26"/>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26"/>
          <w:rFonts w:hint="eastAsia" w:ascii="仿宋_GB2312" w:hAnsi="仿宋_GB2312" w:eastAsia="仿宋_GB2312" w:cs="仿宋_GB2312"/>
          <w:b w:val="0"/>
          <w:bCs w:val="0"/>
        </w:rPr>
        <w:t>政拨款支出决算明细表</w:t>
      </w:r>
      <w:bookmarkEnd w:id="118"/>
      <w:bookmarkEnd w:id="119"/>
      <w:bookmarkEnd w:id="120"/>
      <w:bookmarkStart w:id="121" w:name="_Toc15396624"/>
    </w:p>
    <w:p>
      <w:pPr>
        <w:pStyle w:val="4"/>
        <w:rPr>
          <w:rFonts w:hint="eastAsia" w:ascii="仿宋_GB2312" w:hAnsi="仿宋_GB2312" w:eastAsia="仿宋_GB2312" w:cs="仿宋_GB2312"/>
          <w:color w:val="000000"/>
        </w:rPr>
      </w:pPr>
      <w:bookmarkStart w:id="122" w:name="_Toc1191601181_WPSOffice_Level2"/>
      <w:bookmarkStart w:id="123" w:name="_Toc32129"/>
      <w:r>
        <w:rPr>
          <w:rStyle w:val="26"/>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般公共预算财政拨款支出决算表</w:t>
      </w:r>
      <w:bookmarkEnd w:id="121"/>
      <w:bookmarkEnd w:id="122"/>
      <w:bookmarkEnd w:id="123"/>
    </w:p>
    <w:p>
      <w:pPr>
        <w:pStyle w:val="4"/>
        <w:rPr>
          <w:rFonts w:hint="eastAsia" w:ascii="仿宋_GB2312" w:hAnsi="仿宋_GB2312" w:eastAsia="仿宋_GB2312" w:cs="仿宋_GB2312"/>
          <w:color w:val="000000"/>
        </w:rPr>
      </w:pPr>
      <w:bookmarkStart w:id="124" w:name="_Toc15396625"/>
      <w:bookmarkStart w:id="125" w:name="_Toc1842701872_WPSOffice_Level2"/>
      <w:bookmarkStart w:id="126" w:name="_Toc28690"/>
      <w:r>
        <w:rPr>
          <w:rStyle w:val="26"/>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般公共预算财政拨款支出决算明细表</w:t>
      </w:r>
      <w:bookmarkEnd w:id="124"/>
      <w:bookmarkEnd w:id="125"/>
      <w:bookmarkEnd w:id="126"/>
    </w:p>
    <w:p>
      <w:pPr>
        <w:pStyle w:val="4"/>
        <w:rPr>
          <w:rFonts w:hint="eastAsia" w:ascii="仿宋_GB2312" w:hAnsi="仿宋_GB2312" w:eastAsia="仿宋_GB2312" w:cs="仿宋_GB2312"/>
          <w:color w:val="000000"/>
        </w:rPr>
      </w:pPr>
      <w:bookmarkStart w:id="127" w:name="_Toc15396626"/>
      <w:bookmarkStart w:id="128" w:name="_Toc2776888_WPSOffice_Level2"/>
      <w:bookmarkStart w:id="129" w:name="_Toc22425"/>
      <w:r>
        <w:rPr>
          <w:rStyle w:val="26"/>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般公共预算财政拨款基本支出决算表</w:t>
      </w:r>
      <w:bookmarkEnd w:id="127"/>
      <w:bookmarkEnd w:id="128"/>
      <w:bookmarkEnd w:id="129"/>
    </w:p>
    <w:p>
      <w:pPr>
        <w:pStyle w:val="4"/>
        <w:rPr>
          <w:rFonts w:hint="eastAsia" w:ascii="仿宋_GB2312" w:hAnsi="仿宋_GB2312" w:eastAsia="仿宋_GB2312" w:cs="仿宋_GB2312"/>
          <w:color w:val="000000"/>
        </w:rPr>
      </w:pPr>
      <w:bookmarkStart w:id="130" w:name="_Toc35089909_WPSOffice_Level2"/>
      <w:bookmarkStart w:id="131" w:name="_Toc15396627"/>
      <w:bookmarkStart w:id="132" w:name="_Toc17285"/>
      <w:r>
        <w:rPr>
          <w:rStyle w:val="26"/>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般公共预算财政拨款项目支出决算表</w:t>
      </w:r>
      <w:bookmarkEnd w:id="130"/>
      <w:bookmarkEnd w:id="131"/>
      <w:bookmarkEnd w:id="132"/>
    </w:p>
    <w:p>
      <w:pPr>
        <w:pStyle w:val="4"/>
        <w:rPr>
          <w:rFonts w:hint="eastAsia" w:ascii="仿宋_GB2312" w:hAnsi="仿宋_GB2312" w:eastAsia="仿宋_GB2312" w:cs="仿宋_GB2312"/>
          <w:color w:val="000000"/>
        </w:rPr>
      </w:pPr>
      <w:bookmarkStart w:id="133" w:name="_Toc15396628"/>
      <w:bookmarkStart w:id="134" w:name="_Toc21356099_WPSOffice_Level2"/>
      <w:bookmarkStart w:id="135" w:name="_Toc14254"/>
      <w:r>
        <w:rPr>
          <w:rStyle w:val="26"/>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26"/>
          <w:rFonts w:hint="eastAsia" w:ascii="仿宋_GB2312" w:hAnsi="仿宋_GB2312" w:eastAsia="仿宋_GB2312" w:cs="仿宋_GB2312"/>
          <w:b w:val="0"/>
          <w:bCs w:val="0"/>
        </w:rPr>
        <w:t>般公共预算财政拨款“三公”经费支出决算表</w:t>
      </w:r>
      <w:bookmarkEnd w:id="133"/>
      <w:bookmarkEnd w:id="134"/>
      <w:bookmarkEnd w:id="135"/>
    </w:p>
    <w:p>
      <w:pPr>
        <w:pStyle w:val="4"/>
        <w:rPr>
          <w:rFonts w:hint="eastAsia" w:ascii="仿宋_GB2312" w:hAnsi="仿宋_GB2312" w:eastAsia="仿宋_GB2312" w:cs="仿宋_GB2312"/>
          <w:color w:val="000000"/>
        </w:rPr>
      </w:pPr>
      <w:bookmarkStart w:id="136" w:name="_Toc33747872_WPSOffice_Level2"/>
      <w:bookmarkStart w:id="137" w:name="_Toc15396629"/>
      <w:bookmarkStart w:id="138" w:name="_Toc5404"/>
      <w:r>
        <w:rPr>
          <w:rStyle w:val="26"/>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26"/>
          <w:rFonts w:hint="eastAsia" w:ascii="仿宋_GB2312" w:hAnsi="仿宋_GB2312" w:eastAsia="仿宋_GB2312" w:cs="仿宋_GB2312"/>
          <w:b w:val="0"/>
          <w:bCs w:val="0"/>
        </w:rPr>
        <w:t>府性基金预算财政拨款收入支出决算表</w:t>
      </w:r>
      <w:bookmarkEnd w:id="136"/>
      <w:bookmarkEnd w:id="137"/>
      <w:bookmarkEnd w:id="138"/>
    </w:p>
    <w:p>
      <w:pPr>
        <w:pStyle w:val="4"/>
        <w:rPr>
          <w:rFonts w:hint="eastAsia" w:ascii="仿宋_GB2312" w:hAnsi="仿宋_GB2312" w:eastAsia="仿宋_GB2312" w:cs="仿宋_GB2312"/>
          <w:color w:val="000000"/>
        </w:rPr>
      </w:pPr>
      <w:bookmarkStart w:id="139" w:name="_Toc2056897676_WPSOffice_Level2"/>
      <w:bookmarkStart w:id="140" w:name="_Toc15396630"/>
      <w:bookmarkStart w:id="141" w:name="_Toc27138"/>
      <w:r>
        <w:rPr>
          <w:rStyle w:val="26"/>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26"/>
          <w:rFonts w:hint="eastAsia" w:ascii="仿宋_GB2312" w:hAnsi="仿宋_GB2312" w:eastAsia="仿宋_GB2312" w:cs="仿宋_GB2312"/>
          <w:b w:val="0"/>
          <w:bCs w:val="0"/>
        </w:rPr>
        <w:t>府性基金预算财政拨款“三公”经费支出决算表</w:t>
      </w:r>
      <w:bookmarkEnd w:id="139"/>
      <w:bookmarkEnd w:id="140"/>
      <w:bookmarkEnd w:id="141"/>
    </w:p>
    <w:p>
      <w:pPr>
        <w:pStyle w:val="4"/>
        <w:rPr>
          <w:rStyle w:val="26"/>
          <w:rFonts w:hint="eastAsia" w:ascii="仿宋_GB2312" w:hAnsi="仿宋_GB2312" w:eastAsia="仿宋_GB2312" w:cs="仿宋_GB2312"/>
          <w:b w:val="0"/>
          <w:bCs w:val="0"/>
        </w:rPr>
      </w:pPr>
      <w:bookmarkStart w:id="142" w:name="_Toc251234581_WPSOffice_Level2"/>
      <w:bookmarkStart w:id="143" w:name="_Toc15396631"/>
      <w:bookmarkStart w:id="144" w:name="_Toc4842"/>
      <w:r>
        <w:rPr>
          <w:rStyle w:val="26"/>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26"/>
          <w:rFonts w:hint="eastAsia" w:ascii="仿宋_GB2312" w:hAnsi="仿宋_GB2312" w:eastAsia="仿宋_GB2312" w:cs="仿宋_GB2312"/>
          <w:b w:val="0"/>
          <w:bCs w:val="0"/>
        </w:rPr>
        <w:t>有资本经营预算财政拨款收入支出决算表</w:t>
      </w:r>
      <w:bookmarkEnd w:id="142"/>
      <w:bookmarkEnd w:id="143"/>
      <w:bookmarkEnd w:id="144"/>
    </w:p>
    <w:p>
      <w:pPr>
        <w:rPr>
          <w:rFonts w:hint="eastAsia" w:ascii="仿宋_GB2312" w:hAnsi="仿宋_GB2312" w:eastAsia="仿宋_GB2312" w:cs="仿宋_GB2312"/>
        </w:rPr>
      </w:pPr>
      <w:bookmarkStart w:id="145" w:name="_Toc514957168_WPSOffice_Level2"/>
      <w:bookmarkStart w:id="146" w:name="_Toc5077"/>
      <w:r>
        <w:rPr>
          <w:rStyle w:val="26"/>
          <w:rFonts w:hint="eastAsia" w:ascii="仿宋_GB2312" w:hAnsi="仿宋_GB2312" w:eastAsia="仿宋_GB2312" w:cs="仿宋_GB2312"/>
          <w:b w:val="0"/>
          <w:bCs w:val="0"/>
        </w:rPr>
        <w:t>十四、国有资本经营预算财政拨款支出决算表</w:t>
      </w:r>
      <w:bookmarkEnd w:id="145"/>
      <w:bookmarkEnd w:id="14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25346"/>
    <w:multiLevelType w:val="singleLevel"/>
    <w:tmpl w:val="87325346"/>
    <w:lvl w:ilvl="0" w:tentative="0">
      <w:start w:val="2"/>
      <w:numFmt w:val="chineseCounting"/>
      <w:suff w:val="nothing"/>
      <w:lvlText w:val="（%1）"/>
      <w:lvlJc w:val="left"/>
      <w:rPr>
        <w:rFonts w:hint="eastAsia"/>
      </w:rPr>
    </w:lvl>
  </w:abstractNum>
  <w:abstractNum w:abstractNumId="1">
    <w:nsid w:val="C64D797F"/>
    <w:multiLevelType w:val="singleLevel"/>
    <w:tmpl w:val="C64D797F"/>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FE105F57"/>
    <w:multiLevelType w:val="singleLevel"/>
    <w:tmpl w:val="FE105F57"/>
    <w:lvl w:ilvl="0" w:tentative="0">
      <w:start w:val="2"/>
      <w:numFmt w:val="chineseCounting"/>
      <w:suff w:val="nothing"/>
      <w:lvlText w:val="（%1）"/>
      <w:lvlJc w:val="left"/>
      <w:rPr>
        <w:rFonts w:hint="eastAsia"/>
      </w:rPr>
    </w:lvl>
  </w:abstractNum>
  <w:abstractNum w:abstractNumId="5">
    <w:nsid w:val="10DE9B9E"/>
    <w:multiLevelType w:val="singleLevel"/>
    <w:tmpl w:val="10DE9B9E"/>
    <w:lvl w:ilvl="0" w:tentative="0">
      <w:start w:val="2"/>
      <w:numFmt w:val="decimal"/>
      <w:suff w:val="nothing"/>
      <w:lvlText w:val="（%1）"/>
      <w:lvlJc w:val="left"/>
    </w:lvl>
  </w:abstractNum>
  <w:abstractNum w:abstractNumId="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NjdjOTVjMDVhOGZmYjFlYjlmZGQxNzc3N2E0Nz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A6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7A6F"/>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06DF"/>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0473"/>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B02B4"/>
    <w:rsid w:val="00FD3CC1"/>
    <w:rsid w:val="00FF1E02"/>
    <w:rsid w:val="00FF30B4"/>
    <w:rsid w:val="060704FB"/>
    <w:rsid w:val="08DB04E1"/>
    <w:rsid w:val="0A2032A3"/>
    <w:rsid w:val="0C022F55"/>
    <w:rsid w:val="10C055FF"/>
    <w:rsid w:val="11331ABC"/>
    <w:rsid w:val="118107EC"/>
    <w:rsid w:val="129C6EB1"/>
    <w:rsid w:val="16A63B16"/>
    <w:rsid w:val="16BB723D"/>
    <w:rsid w:val="18015F3F"/>
    <w:rsid w:val="19451256"/>
    <w:rsid w:val="19767326"/>
    <w:rsid w:val="1BE8440E"/>
    <w:rsid w:val="1D155CEE"/>
    <w:rsid w:val="20F57F95"/>
    <w:rsid w:val="21193E9F"/>
    <w:rsid w:val="240371BF"/>
    <w:rsid w:val="264A05C2"/>
    <w:rsid w:val="26C84A2A"/>
    <w:rsid w:val="27842671"/>
    <w:rsid w:val="29FD04D3"/>
    <w:rsid w:val="2ABE7A3E"/>
    <w:rsid w:val="2AF622C7"/>
    <w:rsid w:val="319F7F4E"/>
    <w:rsid w:val="3AEA3298"/>
    <w:rsid w:val="3C0C0783"/>
    <w:rsid w:val="3C366AE4"/>
    <w:rsid w:val="403A0809"/>
    <w:rsid w:val="45D93809"/>
    <w:rsid w:val="47D11D57"/>
    <w:rsid w:val="493C27E9"/>
    <w:rsid w:val="496F39ED"/>
    <w:rsid w:val="49FF41D3"/>
    <w:rsid w:val="4BE068DB"/>
    <w:rsid w:val="4BF6002B"/>
    <w:rsid w:val="4ECE2238"/>
    <w:rsid w:val="53953C88"/>
    <w:rsid w:val="5C3A224A"/>
    <w:rsid w:val="64CA39A1"/>
    <w:rsid w:val="6C4A05C8"/>
    <w:rsid w:val="72734D90"/>
    <w:rsid w:val="75F74BC9"/>
    <w:rsid w:val="77873708"/>
    <w:rsid w:val="79BE2F23"/>
    <w:rsid w:val="7EC3C925"/>
    <w:rsid w:val="7F6D3A93"/>
    <w:rsid w:val="7FD7BA4A"/>
    <w:rsid w:val="ADD994E0"/>
    <w:rsid w:val="E8F7BD77"/>
    <w:rsid w:val="EF5FE3BB"/>
    <w:rsid w:val="FCF7217E"/>
    <w:rsid w:val="FEFD8F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qFormat/>
    <w:uiPriority w:val="0"/>
    <w:pPr>
      <w:ind w:leftChars="0"/>
    </w:pPr>
    <w:rPr>
      <w:rFonts w:asciiTheme="minorHAnsi" w:hAnsiTheme="minorHAnsi" w:eastAsiaTheme="minorEastAsia" w:cstheme="minorBidi"/>
      <w:sz w:val="20"/>
      <w:szCs w:val="20"/>
    </w:rPr>
  </w:style>
  <w:style w:type="paragraph" w:customStyle="1" w:styleId="3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ser/Desktop/&#24037;&#20316;&#35760;&#24405;.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[工作记录.xls]Sheet5!$S$4</c:f>
              <c:strCache>
                <c:ptCount val="1"/>
                <c:pt idx="0">
                  <c:v>收、支决算总计变动情况图</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[工作记录.xls]Sheet5!$R$5:$R$6</c:f>
              <c:strCache>
                <c:ptCount val="2"/>
                <c:pt idx="0">
                  <c:v>2019年</c:v>
                </c:pt>
                <c:pt idx="1">
                  <c:v>2020年</c:v>
                </c:pt>
              </c:strCache>
            </c:strRef>
          </c:cat>
          <c:val>
            <c:numRef>
              <c:f>[工作记录.xls]Sheet5!$S$5:$S$6</c:f>
              <c:numCache>
                <c:formatCode>General</c:formatCode>
                <c:ptCount val="2"/>
                <c:pt idx="0">
                  <c:v>3301.64</c:v>
                </c:pt>
                <c:pt idx="1">
                  <c:v>1035.03</c:v>
                </c:pt>
              </c:numCache>
            </c:numRef>
          </c:val>
        </c:ser>
        <c:dLbls>
          <c:showLegendKey val="0"/>
          <c:showVal val="1"/>
          <c:showCatName val="0"/>
          <c:showSerName val="0"/>
          <c:showPercent val="0"/>
          <c:showBubbleSize val="0"/>
        </c:dLbls>
        <c:gapWidth val="219"/>
        <c:overlap val="-27"/>
        <c:axId val="836164084"/>
        <c:axId val="455723529"/>
      </c:barChart>
      <c:catAx>
        <c:axId val="8361640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723529"/>
        <c:crosses val="autoZero"/>
        <c:auto val="1"/>
        <c:lblAlgn val="ctr"/>
        <c:lblOffset val="100"/>
        <c:noMultiLvlLbl val="0"/>
      </c:catAx>
      <c:valAx>
        <c:axId val="45572352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61640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2020年收入合计（万元）</c:v>
                </c:pt>
              </c:strCache>
            </c:strRef>
          </c:tx>
          <c:explosion val="0"/>
          <c:dPt>
            <c:idx val="0"/>
            <c:bubble3D val="0"/>
          </c:dPt>
          <c:dPt>
            <c:idx val="1"/>
            <c:bubble3D val="0"/>
          </c:dPt>
          <c:dLbls>
            <c:dLbl>
              <c:idx val="0"/>
              <c:layout>
                <c:manualLayout>
                  <c:x val="-0.150724802158824"/>
                  <c:y val="0.12915288162509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37.60%</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4811346076593"/>
                  <c:y val="-0.16432403670129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62.4%</a:t>
                    </a:r>
                    <a:endParaRPr lang="en-US"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经营收入</c:v>
                </c:pt>
              </c:strCache>
            </c:strRef>
          </c:cat>
          <c:val>
            <c:numRef>
              <c:f>Sheet1!$B$2:$B$3</c:f>
              <c:numCache>
                <c:formatCode>General</c:formatCode>
                <c:ptCount val="2"/>
                <c:pt idx="0">
                  <c:v>466.98</c:v>
                </c:pt>
                <c:pt idx="1">
                  <c:v>775.03</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2020年支出（万元）</c:v>
                </c:pt>
              </c:strCache>
            </c:strRef>
          </c:tx>
          <c:explosion val="0"/>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
</a:t>
                    </a:r>
                    <a:r>
                      <a:rPr lang="en-US" altLang="zh-CN"/>
                      <a:t>20.20%</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
</a:t>
                    </a:r>
                    <a:r>
                      <a:rPr lang="en-US" altLang="zh-CN"/>
                      <a:t>17.77%</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52237715077282"/>
                  <c:y val="-0.13133795775528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经营支出
</a:t>
                    </a:r>
                    <a:r>
                      <a:rPr lang="en-US" altLang="zh-CN"/>
                      <a:t>62.03%</a:t>
                    </a:r>
                    <a:endParaRPr lang="zh-CN"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基本支出（20.20%）</c:v>
                </c:pt>
                <c:pt idx="1">
                  <c:v>项目支出（17.77%）</c:v>
                </c:pt>
                <c:pt idx="2">
                  <c:v>经营支出（62.03%）</c:v>
                </c:pt>
              </c:strCache>
            </c:strRef>
          </c:cat>
          <c:val>
            <c:numRef>
              <c:f>Sheet1!$B$2:$B$4</c:f>
              <c:numCache>
                <c:formatCode>General</c:formatCode>
                <c:ptCount val="3"/>
                <c:pt idx="0">
                  <c:v>248.48</c:v>
                </c:pt>
                <c:pt idx="1">
                  <c:v>218.5</c:v>
                </c:pt>
                <c:pt idx="2">
                  <c:v>762.91</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17264508603091"/>
          <c:y val="0.172629046369204"/>
          <c:w val="0.655161307961505"/>
          <c:h val="0.724805024371954"/>
        </c:manualLayout>
      </c:layout>
      <c:barChart>
        <c:barDir val="col"/>
        <c:grouping val="clustered"/>
        <c:varyColors val="0"/>
        <c:ser>
          <c:idx val="0"/>
          <c:order val="0"/>
          <c:tx>
            <c:strRef>
              <c:f>Sheet1!$B$1</c:f>
              <c:strCache>
                <c:ptCount val="1"/>
                <c:pt idx="0">
                  <c:v>财政拨款收、支决算总计（万元）</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442.98</c:v>
                </c:pt>
                <c:pt idx="1">
                  <c:v>466.98</c:v>
                </c:pt>
              </c:numCache>
            </c:numRef>
          </c:val>
        </c:ser>
        <c:dLbls>
          <c:showLegendKey val="0"/>
          <c:showVal val="0"/>
          <c:showCatName val="0"/>
          <c:showSerName val="0"/>
          <c:showPercent val="0"/>
          <c:showBubbleSize val="0"/>
        </c:dLbls>
        <c:gapWidth val="150"/>
        <c:axId val="198334720"/>
        <c:axId val="198422528"/>
      </c:barChart>
      <c:catAx>
        <c:axId val="1983347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8422528"/>
        <c:crosses val="autoZero"/>
        <c:auto val="1"/>
        <c:lblAlgn val="ctr"/>
        <c:lblOffset val="100"/>
        <c:noMultiLvlLbl val="0"/>
      </c:catAx>
      <c:valAx>
        <c:axId val="1984225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8334720"/>
        <c:crosses val="autoZero"/>
        <c:crossBetween val="between"/>
      </c:valAx>
    </c:plotArea>
    <c:legend>
      <c:legendPos val="r"/>
      <c:layout>
        <c:manualLayout>
          <c:xMode val="edge"/>
          <c:yMode val="edge"/>
          <c:x val="0.761609981044036"/>
          <c:y val="0.329829708786402"/>
          <c:w val="0.182834463400408"/>
          <c:h val="0.26653105861767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17264508603091"/>
          <c:y val="0.172629046369204"/>
          <c:w val="0.685253900554098"/>
          <c:h val="0.724805024371954"/>
        </c:manualLayout>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442.98</c:v>
                </c:pt>
                <c:pt idx="1">
                  <c:v>466.98</c:v>
                </c:pt>
              </c:numCache>
            </c:numRef>
          </c:val>
        </c:ser>
        <c:dLbls>
          <c:showLegendKey val="0"/>
          <c:showVal val="0"/>
          <c:showCatName val="0"/>
          <c:showSerName val="0"/>
          <c:showPercent val="0"/>
          <c:showBubbleSize val="0"/>
        </c:dLbls>
        <c:gapWidth val="150"/>
        <c:axId val="199450624"/>
        <c:axId val="199452160"/>
      </c:barChart>
      <c:catAx>
        <c:axId val="1994506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9452160"/>
        <c:crosses val="autoZero"/>
        <c:auto val="1"/>
        <c:lblAlgn val="ctr"/>
        <c:lblOffset val="100"/>
        <c:noMultiLvlLbl val="0"/>
      </c:catAx>
      <c:valAx>
        <c:axId val="199452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9450624"/>
        <c:crosses val="autoZero"/>
        <c:crossBetween val="between"/>
      </c:valAx>
    </c:plotArea>
    <c:legend>
      <c:legendPos val="r"/>
      <c:layout>
        <c:manualLayout>
          <c:xMode val="edge"/>
          <c:yMode val="edge"/>
          <c:x val="0.824109981044036"/>
          <c:y val="0.44507342832146"/>
          <c:w val="0.118019648585593"/>
          <c:h val="0.2820750531183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dPt>
          <c:dPt>
            <c:idx val="2"/>
            <c:bubble3D val="0"/>
          </c:dPt>
          <c:dLbls>
            <c:dLbl>
              <c:idx val="0"/>
              <c:layout>
                <c:manualLayout>
                  <c:x val="-0.0453093102945465"/>
                  <c:y val="-0.30158730158730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一般公共服务（类）：</a:t>
                    </a:r>
                    <a:r>
                      <a:rPr lang="en-US" altLang="zh-CN"/>
                      <a:t>449.07</a:t>
                    </a:r>
                    <a:r>
                      <a:rPr lang="zh-CN" altLang="en-US"/>
                      <a:t>万元</a:t>
                    </a:r>
                    <a:endParaRPr lang="zh-CN" alt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735781204432779"/>
                  <c:y val="0.059523809523809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教育支出（类）：</a:t>
                    </a:r>
                    <a:r>
                      <a:rPr lang="en-US" altLang="zh-CN"/>
                      <a:t>0.79</a:t>
                    </a:r>
                    <a:r>
                      <a:rPr lang="zh-CN" altLang="en-US"/>
                      <a:t>万元</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91289005540974"/>
                  <c:y val="0.040674603174603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社会保障和就业（类）：</a:t>
                    </a:r>
                    <a:r>
                      <a:rPr lang="en-US" altLang="zh-CN"/>
                      <a:t>17.12</a:t>
                    </a:r>
                    <a:r>
                      <a:rPr lang="zh-CN" altLang="en-US"/>
                      <a:t>万元</a:t>
                    </a:r>
                    <a:endParaRPr lang="zh-CN" altLang="en-US"/>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一般公共服务（类）</c:v>
                </c:pt>
                <c:pt idx="1">
                  <c:v>教育支出（类）</c:v>
                </c:pt>
                <c:pt idx="2">
                  <c:v>社会保障和就业（类）</c:v>
                </c:pt>
              </c:strCache>
            </c:strRef>
          </c:cat>
          <c:val>
            <c:numRef>
              <c:f>Sheet1!$B$2:$B$4</c:f>
              <c:numCache>
                <c:formatCode>General</c:formatCode>
                <c:ptCount val="3"/>
                <c:pt idx="0">
                  <c:v>449.07</c:v>
                </c:pt>
                <c:pt idx="1">
                  <c:v>0.79</c:v>
                </c:pt>
                <c:pt idx="2">
                  <c:v>17.12</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三公</a:t>
            </a:r>
            <a:r>
              <a:rPr lang="en-US" altLang="zh-CN"/>
              <a:t>”</a:t>
            </a:r>
            <a:r>
              <a:rPr altLang="en-US"/>
              <a:t>经费财政拨款支出结构</a:t>
            </a:r>
            <a:endParaRPr altLang="en-US"/>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49</Pages>
  <Words>18668</Words>
  <Characters>19510</Characters>
  <Lines>160</Lines>
  <Paragraphs>45</Paragraphs>
  <TotalTime>4</TotalTime>
  <ScaleCrop>false</ScaleCrop>
  <LinksUpToDate>false</LinksUpToDate>
  <CharactersWithSpaces>20252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瞳</cp:lastModifiedBy>
  <cp:lastPrinted>2021-08-28T09:49:00Z</cp:lastPrinted>
  <dcterms:modified xsi:type="dcterms:W3CDTF">2022-11-11T03:04:15Z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EE9EFC7AE0E44592BF14F35EB4D56962</vt:lpwstr>
  </property>
</Properties>
</file>