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color w:val="000000"/>
          <w:sz w:val="30"/>
          <w:szCs w:val="30"/>
          <w:lang w:val="en-US" w:eastAsia="zh-CN"/>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_GBK" w:hAnsi="方正小标宋_GBK" w:eastAsia="方正小标宋_GBK" w:cs="方正小标宋_GBK"/>
          <w:color w:val="auto"/>
          <w:sz w:val="72"/>
          <w:szCs w:val="72"/>
        </w:rPr>
      </w:pPr>
      <w:bookmarkStart w:id="1" w:name="_Toc15396597"/>
      <w:bookmarkStart w:id="2" w:name="_Toc15377193"/>
      <w:bookmarkStart w:id="3" w:name="_Toc5582"/>
      <w:bookmarkStart w:id="4" w:name="_Toc15396475"/>
      <w:bookmarkStart w:id="5" w:name="_Toc15377425"/>
      <w:bookmarkStart w:id="6" w:name="_Toc15378441"/>
      <w:bookmarkStart w:id="7" w:name="_Toc1478"/>
      <w:r>
        <w:rPr>
          <w:rFonts w:hint="eastAsia" w:ascii="方正小标宋_GBK" w:hAnsi="方正小标宋_GBK" w:eastAsia="方正小标宋_GBK" w:cs="方正小标宋_GBK"/>
          <w:color w:val="auto"/>
          <w:sz w:val="72"/>
          <w:szCs w:val="72"/>
        </w:rPr>
        <w:t>20</w:t>
      </w:r>
      <w:r>
        <w:rPr>
          <w:rFonts w:hint="eastAsia" w:ascii="方正小标宋_GBK" w:hAnsi="方正小标宋_GBK" w:eastAsia="方正小标宋_GBK" w:cs="方正小标宋_GBK"/>
          <w:color w:val="auto"/>
          <w:sz w:val="72"/>
          <w:szCs w:val="72"/>
          <w:lang w:val="en-US" w:eastAsia="zh-CN"/>
        </w:rPr>
        <w:t>20</w:t>
      </w:r>
      <w:r>
        <w:rPr>
          <w:rFonts w:hint="eastAsia" w:ascii="方正小标宋_GBK" w:hAnsi="方正小标宋_GBK" w:eastAsia="方正小标宋_GBK" w:cs="方正小标宋_GBK"/>
          <w:color w:val="auto"/>
          <w:sz w:val="72"/>
          <w:szCs w:val="72"/>
        </w:rPr>
        <w:t>年度</w:t>
      </w:r>
      <w:bookmarkEnd w:id="1"/>
      <w:bookmarkEnd w:id="2"/>
      <w:bookmarkEnd w:id="3"/>
      <w:bookmarkEnd w:id="4"/>
      <w:bookmarkEnd w:id="5"/>
      <w:bookmarkEnd w:id="6"/>
      <w:bookmarkEnd w:id="7"/>
    </w:p>
    <w:p>
      <w:pPr>
        <w:adjustRightInd w:val="0"/>
        <w:snapToGrid w:val="0"/>
        <w:spacing w:line="360" w:lineRule="auto"/>
        <w:jc w:val="center"/>
        <w:outlineLvl w:val="0"/>
        <w:rPr>
          <w:rFonts w:hint="eastAsia" w:ascii="方正小标宋_GBK" w:hAnsi="方正小标宋_GBK" w:eastAsia="方正小标宋_GBK" w:cs="方正小标宋_GBK"/>
          <w:color w:val="auto"/>
          <w:sz w:val="72"/>
          <w:szCs w:val="72"/>
          <w:lang w:eastAsia="zh-CN"/>
        </w:rPr>
      </w:pPr>
      <w:bookmarkStart w:id="8" w:name="_Toc5364"/>
      <w:bookmarkStart w:id="9" w:name="_Toc6075"/>
      <w:bookmarkStart w:id="10" w:name="_Toc15377194"/>
      <w:bookmarkStart w:id="11" w:name="_Toc15396598"/>
      <w:bookmarkStart w:id="12" w:name="_Toc15396476"/>
      <w:bookmarkStart w:id="13" w:name="_Toc15378442"/>
      <w:bookmarkStart w:id="14" w:name="_Toc15377426"/>
      <w:r>
        <w:rPr>
          <w:rFonts w:hint="eastAsia" w:ascii="方正小标宋_GBK" w:hAnsi="方正小标宋_GBK" w:eastAsia="方正小标宋_GBK" w:cs="方正小标宋_GBK"/>
          <w:color w:val="auto"/>
          <w:sz w:val="72"/>
          <w:szCs w:val="72"/>
        </w:rPr>
        <w:t>四川省</w:t>
      </w:r>
      <w:bookmarkEnd w:id="0"/>
      <w:bookmarkStart w:id="15" w:name="_Toc15306268"/>
      <w:r>
        <w:rPr>
          <w:rFonts w:hint="eastAsia" w:ascii="方正小标宋_GBK" w:hAnsi="方正小标宋_GBK" w:eastAsia="方正小标宋_GBK" w:cs="方正小标宋_GBK"/>
          <w:color w:val="auto"/>
          <w:sz w:val="72"/>
          <w:szCs w:val="72"/>
          <w:lang w:eastAsia="zh-CN"/>
        </w:rPr>
        <w:t>商务厅机关</w:t>
      </w:r>
      <w:bookmarkEnd w:id="8"/>
      <w:bookmarkEnd w:id="9"/>
    </w:p>
    <w:bookmarkEnd w:id="10"/>
    <w:bookmarkEnd w:id="11"/>
    <w:bookmarkEnd w:id="12"/>
    <w:bookmarkEnd w:id="13"/>
    <w:bookmarkEnd w:id="14"/>
    <w:bookmarkEnd w:id="15"/>
    <w:p>
      <w:pPr>
        <w:adjustRightInd w:val="0"/>
        <w:snapToGrid w:val="0"/>
        <w:spacing w:line="360" w:lineRule="auto"/>
        <w:jc w:val="center"/>
        <w:outlineLvl w:val="0"/>
        <w:rPr>
          <w:rFonts w:hint="eastAsia" w:ascii="方正小标宋_GBK" w:hAnsi="方正小标宋_GBK" w:eastAsia="方正小标宋_GBK" w:cs="方正小标宋_GBK"/>
          <w:color w:val="auto"/>
          <w:sz w:val="72"/>
          <w:szCs w:val="72"/>
          <w:lang w:eastAsia="zh-CN"/>
        </w:rPr>
      </w:pPr>
      <w:r>
        <w:rPr>
          <w:rFonts w:hint="eastAsia" w:ascii="方正小标宋_GBK" w:hAnsi="方正小标宋_GBK" w:eastAsia="方正小标宋_GBK" w:cs="方正小标宋_GBK"/>
          <w:color w:val="auto"/>
          <w:sz w:val="72"/>
          <w:szCs w:val="72"/>
          <w:lang w:eastAsia="zh-CN"/>
        </w:rPr>
        <w:t>单位决算</w:t>
      </w:r>
    </w:p>
    <w:p>
      <w:pPr>
        <w:widowControl/>
        <w:jc w:val="center"/>
        <w:rPr>
          <w:rFonts w:ascii="方正小标宋简体" w:hAnsi="宋体" w:eastAsia="方正小标宋简体"/>
          <w:color w:val="auto"/>
          <w:sz w:val="36"/>
          <w:szCs w:val="36"/>
        </w:rPr>
      </w:pPr>
    </w:p>
    <w:p>
      <w:pPr>
        <w:widowControl/>
        <w:jc w:val="center"/>
        <w:rPr>
          <w:rFonts w:ascii="方正小标宋简体" w:hAnsi="宋体" w:eastAsia="方正小标宋简体"/>
          <w:color w:val="auto"/>
          <w:sz w:val="36"/>
          <w:szCs w:val="36"/>
        </w:rPr>
      </w:pPr>
    </w:p>
    <w:p>
      <w:pPr>
        <w:widowControl/>
        <w:jc w:val="center"/>
        <w:rPr>
          <w:rFonts w:ascii="方正小标宋简体" w:hAnsi="宋体" w:eastAsia="方正小标宋简体"/>
          <w:color w:val="auto"/>
          <w:sz w:val="36"/>
          <w:szCs w:val="36"/>
        </w:rPr>
      </w:pPr>
    </w:p>
    <w:p>
      <w:pPr>
        <w:widowControl/>
        <w:jc w:val="center"/>
        <w:rPr>
          <w:rFonts w:ascii="方正小标宋简体" w:hAnsi="宋体" w:eastAsia="方正小标宋简体"/>
          <w:color w:val="auto"/>
          <w:sz w:val="36"/>
          <w:szCs w:val="36"/>
        </w:rPr>
      </w:pPr>
    </w:p>
    <w:p>
      <w:pPr>
        <w:widowControl/>
        <w:jc w:val="center"/>
        <w:rPr>
          <w:rFonts w:ascii="方正小标宋简体" w:hAnsi="宋体" w:eastAsia="方正小标宋简体"/>
          <w:color w:val="auto"/>
          <w:sz w:val="36"/>
          <w:szCs w:val="36"/>
        </w:rPr>
      </w:pPr>
    </w:p>
    <w:p>
      <w:pPr>
        <w:widowControl/>
        <w:jc w:val="both"/>
        <w:rPr>
          <w:rFonts w:hint="eastAsia" w:ascii="黑体" w:hAnsi="黑体" w:eastAsia="黑体"/>
          <w:color w:val="auto"/>
          <w:sz w:val="48"/>
          <w:szCs w:val="48"/>
        </w:rPr>
      </w:pPr>
      <w:bookmarkStart w:id="16" w:name="_Toc631_WPSOffice_Level1"/>
    </w:p>
    <w:p>
      <w:pPr>
        <w:pStyle w:val="10"/>
        <w:tabs>
          <w:tab w:val="right" w:leader="dot" w:pos="8306"/>
          <w:tab w:val="clear" w:pos="8296"/>
        </w:tabs>
      </w:pPr>
      <w:bookmarkStart w:id="17" w:name="_Toc9035_WPSOffice_Level1"/>
      <w:r>
        <w:rPr>
          <w:rFonts w:hint="eastAsia" w:ascii="黑体" w:hAnsi="黑体" w:eastAsia="黑体"/>
          <w:color w:val="auto"/>
          <w:sz w:val="48"/>
          <w:szCs w:val="48"/>
        </w:rPr>
        <w:fldChar w:fldCharType="begin"/>
      </w:r>
      <w:r>
        <w:rPr>
          <w:rFonts w:hint="eastAsia" w:ascii="黑体" w:hAnsi="黑体" w:eastAsia="黑体"/>
          <w:color w:val="auto"/>
          <w:sz w:val="48"/>
          <w:szCs w:val="48"/>
        </w:rPr>
        <w:instrText xml:space="preserve">TOC \o "1-2" \h \u </w:instrText>
      </w:r>
      <w:r>
        <w:rPr>
          <w:rFonts w:hint="eastAsia" w:ascii="黑体" w:hAnsi="黑体" w:eastAsia="黑体"/>
          <w:color w:val="auto"/>
          <w:sz w:val="48"/>
          <w:szCs w:val="48"/>
        </w:rPr>
        <w:fldChar w:fldCharType="separate"/>
      </w:r>
    </w:p>
    <w:p>
      <w:pPr>
        <w:widowControl/>
        <w:jc w:val="center"/>
        <w:rPr>
          <w:rFonts w:hint="eastAsia" w:ascii="黑体" w:hAnsi="黑体" w:eastAsia="黑体"/>
          <w:color w:val="auto"/>
          <w:sz w:val="48"/>
          <w:szCs w:val="48"/>
        </w:rPr>
      </w:pPr>
    </w:p>
    <w:p>
      <w:pPr>
        <w:widowControl/>
        <w:jc w:val="center"/>
        <w:rPr>
          <w:rFonts w:hint="eastAsia" w:ascii="黑体" w:hAnsi="黑体" w:eastAsia="黑体"/>
          <w:color w:val="auto"/>
          <w:sz w:val="48"/>
          <w:szCs w:val="48"/>
        </w:rPr>
      </w:pPr>
    </w:p>
    <w:p>
      <w:pPr>
        <w:widowControl/>
        <w:jc w:val="center"/>
        <w:rPr>
          <w:rFonts w:hint="eastAsia" w:ascii="黑体" w:hAnsi="黑体" w:eastAsia="黑体"/>
          <w:color w:val="auto"/>
          <w:sz w:val="48"/>
          <w:szCs w:val="48"/>
        </w:rPr>
      </w:pPr>
    </w:p>
    <w:p>
      <w:pPr>
        <w:widowControl/>
        <w:jc w:val="center"/>
        <w:rPr>
          <w:rFonts w:ascii="黑体" w:hAnsi="黑体" w:eastAsia="黑体" w:cstheme="minorBidi"/>
          <w:color w:val="auto"/>
          <w:sz w:val="28"/>
          <w:szCs w:val="28"/>
        </w:rPr>
      </w:pPr>
      <w:r>
        <w:rPr>
          <w:rFonts w:hint="eastAsia" w:ascii="黑体" w:hAnsi="黑体" w:eastAsia="黑体"/>
          <w:color w:val="auto"/>
          <w:sz w:val="48"/>
          <w:szCs w:val="48"/>
        </w:rPr>
        <w:t>目录</w:t>
      </w:r>
    </w:p>
    <w:p>
      <w:pPr>
        <w:pStyle w:val="10"/>
        <w:rPr>
          <w:rFonts w:hint="eastAsia" w:ascii="黑体" w:hAnsi="黑体" w:eastAsia="黑体"/>
          <w:color w:val="auto"/>
          <w:szCs w:val="48"/>
        </w:rPr>
      </w:pPr>
      <w:r>
        <w:rPr>
          <w:rFonts w:hint="eastAsia"/>
          <w:color w:val="auto"/>
        </w:rPr>
        <w:t>公开时间：20</w:t>
      </w:r>
      <w:r>
        <w:rPr>
          <w:rFonts w:hint="eastAsia"/>
          <w:color w:val="auto"/>
          <w:lang w:val="en-US" w:eastAsia="zh-CN"/>
        </w:rPr>
        <w:t>21</w:t>
      </w:r>
      <w:r>
        <w:rPr>
          <w:rFonts w:hint="eastAsia"/>
          <w:color w:val="auto"/>
        </w:rPr>
        <w:t>年</w:t>
      </w:r>
      <w:r>
        <w:rPr>
          <w:rFonts w:hint="eastAsia"/>
          <w:color w:val="auto"/>
          <w:lang w:val="en-US" w:eastAsia="zh-CN"/>
        </w:rPr>
        <w:t>9</w:t>
      </w:r>
      <w:r>
        <w:rPr>
          <w:rFonts w:hint="eastAsia"/>
          <w:color w:val="auto"/>
        </w:rPr>
        <w:t>月</w:t>
      </w:r>
      <w:r>
        <w:rPr>
          <w:rFonts w:hint="eastAsia"/>
          <w:color w:val="auto"/>
          <w:lang w:val="en-US" w:eastAsia="zh-CN"/>
        </w:rPr>
        <w:t>10</w:t>
      </w:r>
      <w:r>
        <w:rPr>
          <w:rFonts w:hint="eastAsia"/>
          <w:color w:val="auto"/>
        </w:rPr>
        <w:t>日</w:t>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_Toc24825 </w:instrText>
      </w:r>
      <w:r>
        <w:rPr>
          <w:rFonts w:hint="eastAsia" w:asciiTheme="minorEastAsia" w:hAnsiTheme="minorEastAsia" w:eastAsiaTheme="minorEastAsia" w:cstheme="minorEastAsia"/>
          <w:sz w:val="24"/>
          <w:szCs w:val="24"/>
        </w:rPr>
        <w:fldChar w:fldCharType="separate"/>
      </w:r>
      <w:r>
        <w:rPr>
          <w:rFonts w:hint="eastAsia" w:ascii="仿宋_GB2312" w:hAnsi="仿宋_GB2312" w:eastAsia="仿宋_GB2312" w:cs="仿宋_GB2312"/>
          <w:sz w:val="24"/>
          <w:szCs w:val="24"/>
        </w:rPr>
        <w:t xml:space="preserve">第一部分 </w:t>
      </w:r>
      <w:r>
        <w:rPr>
          <w:rFonts w:hint="eastAsia" w:ascii="仿宋_GB2312" w:hAnsi="仿宋_GB2312" w:eastAsia="仿宋_GB2312" w:cs="仿宋_GB2312"/>
          <w:sz w:val="24"/>
          <w:szCs w:val="24"/>
          <w:lang w:eastAsia="zh-CN"/>
        </w:rPr>
        <w:t>单位</w:t>
      </w:r>
      <w:r>
        <w:rPr>
          <w:rFonts w:hint="eastAsia" w:ascii="仿宋_GB2312" w:hAnsi="仿宋_GB2312" w:eastAsia="仿宋_GB2312" w:cs="仿宋_GB2312"/>
          <w:bCs w:val="0"/>
          <w:sz w:val="24"/>
          <w:szCs w:val="24"/>
        </w:rPr>
        <w:t>概况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_Toc24825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_Toc5419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lang w:eastAsia="zh-CN"/>
        </w:rPr>
        <w:t>一、</w:t>
      </w:r>
      <w:r>
        <w:rPr>
          <w:rFonts w:hint="eastAsia" w:asciiTheme="minorEastAsia" w:hAnsiTheme="minorEastAsia" w:eastAsiaTheme="minorEastAsia" w:cstheme="minorEastAsia"/>
          <w:bCs w:val="0"/>
          <w:sz w:val="24"/>
          <w:szCs w:val="24"/>
        </w:rPr>
        <w:t>职能</w:t>
      </w:r>
      <w:r>
        <w:rPr>
          <w:rFonts w:hint="eastAsia" w:asciiTheme="minorEastAsia" w:hAnsiTheme="minorEastAsia" w:eastAsiaTheme="minorEastAsia" w:cstheme="minorEastAsia"/>
          <w:bCs w:val="0"/>
          <w:sz w:val="24"/>
          <w:szCs w:val="24"/>
          <w:lang w:eastAsia="zh-CN"/>
        </w:rPr>
        <w:t>简介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_Toc5419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_Toc17874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en-US" w:eastAsia="zh-CN"/>
        </w:rPr>
        <w:t>二、2020年重点</w:t>
      </w:r>
      <w:r>
        <w:rPr>
          <w:rFonts w:hint="eastAsia" w:asciiTheme="minorEastAsia" w:hAnsiTheme="minorEastAsia" w:eastAsiaTheme="minorEastAsia" w:cstheme="minorEastAsia"/>
          <w:sz w:val="24"/>
          <w:szCs w:val="24"/>
        </w:rPr>
        <w:t>工作</w:t>
      </w:r>
      <w:r>
        <w:rPr>
          <w:rFonts w:hint="eastAsia" w:asciiTheme="minorEastAsia" w:hAnsiTheme="minorEastAsia" w:eastAsiaTheme="minorEastAsia" w:cstheme="minorEastAsia"/>
          <w:sz w:val="24"/>
          <w:szCs w:val="24"/>
          <w:lang w:eastAsia="zh-CN"/>
        </w:rPr>
        <w:t>完成情况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_Toc17874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_Toc17874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lang w:val="en-US" w:eastAsia="zh-CN"/>
        </w:rPr>
        <w:t>、机构设置情况</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color w:val="auto"/>
          <w:sz w:val="24"/>
          <w:szCs w:val="24"/>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_Toc15386 </w:instrText>
      </w:r>
      <w:r>
        <w:rPr>
          <w:rFonts w:hint="eastAsia" w:asciiTheme="minorEastAsia" w:hAnsiTheme="minorEastAsia" w:eastAsiaTheme="minorEastAsia" w:cstheme="minorEastAsia"/>
          <w:sz w:val="24"/>
          <w:szCs w:val="24"/>
        </w:rPr>
        <w:fldChar w:fldCharType="separate"/>
      </w:r>
      <w:r>
        <w:rPr>
          <w:rFonts w:hint="eastAsia" w:ascii="仿宋" w:hAnsi="仿宋" w:eastAsia="仿宋" w:cs="仿宋"/>
          <w:bCs/>
          <w:sz w:val="24"/>
          <w:szCs w:val="24"/>
        </w:rPr>
        <w:t xml:space="preserve">第二部分 </w:t>
      </w:r>
      <w:r>
        <w:rPr>
          <w:rFonts w:hint="eastAsia" w:ascii="仿宋" w:hAnsi="仿宋" w:eastAsia="仿宋" w:cs="仿宋"/>
          <w:bCs/>
          <w:sz w:val="24"/>
          <w:szCs w:val="24"/>
          <w:lang w:val="en-US" w:eastAsia="zh-CN"/>
        </w:rPr>
        <w:t>2020年度</w:t>
      </w:r>
      <w:r>
        <w:rPr>
          <w:rFonts w:hint="eastAsia" w:cs="仿宋"/>
          <w:bCs/>
          <w:sz w:val="24"/>
          <w:szCs w:val="24"/>
          <w:lang w:eastAsia="zh-CN"/>
        </w:rPr>
        <w:t>单位决算</w:t>
      </w:r>
      <w:r>
        <w:rPr>
          <w:rFonts w:hint="eastAsia" w:ascii="仿宋" w:hAnsi="仿宋" w:eastAsia="仿宋" w:cs="仿宋"/>
          <w:bCs/>
          <w:sz w:val="24"/>
          <w:szCs w:val="24"/>
        </w:rPr>
        <w:t>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0</w:t>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_Toc12472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一、收入支出决算总体情况说明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0</w:t>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_Toc15343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二、收入决算情况说明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0</w:t>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_Toc22964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三、支出决算情况说明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1</w:t>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_Toc1451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四、财政拨款收入支出决算总体情况说明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_Toc1451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_Toc19577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五、一般公共预算财政拨款支出决算情况说明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3</w:t>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_Toc27690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六、一般公共预算财政拨款基本支出决算情况说明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_Toc27690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_Toc28411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七、“三公”经费财政拨款支出决算情况说明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_Toc28411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_Toc18000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八、政府性基金预算支出决算情况说明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0</w:t>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_Toc20649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九、国有资本经营预算支出决算情况说明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0</w:t>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_Toc12679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十、其他重要事项的情况说明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1</w:t>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_Toc15455 </w:instrText>
      </w:r>
      <w:r>
        <w:rPr>
          <w:rFonts w:hint="eastAsia" w:asciiTheme="minorEastAsia" w:hAnsiTheme="minorEastAsia" w:eastAsiaTheme="minorEastAsia" w:cstheme="minorEastAsia"/>
          <w:sz w:val="24"/>
          <w:szCs w:val="24"/>
        </w:rPr>
        <w:fldChar w:fldCharType="separate"/>
      </w:r>
      <w:r>
        <w:rPr>
          <w:rFonts w:hint="eastAsia" w:ascii="仿宋" w:hAnsi="仿宋" w:eastAsia="仿宋" w:cs="仿宋"/>
          <w:sz w:val="24"/>
          <w:szCs w:val="24"/>
        </w:rPr>
        <w:t xml:space="preserve">第三部分 </w:t>
      </w:r>
      <w:r>
        <w:rPr>
          <w:rFonts w:hint="eastAsia" w:ascii="仿宋" w:hAnsi="仿宋" w:eastAsia="仿宋" w:cs="仿宋"/>
          <w:sz w:val="24"/>
          <w:szCs w:val="24"/>
          <w:highlight w:val="none"/>
        </w:rPr>
        <w:t>名词解释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_Toc15455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_Toc19439 </w:instrText>
      </w:r>
      <w:r>
        <w:rPr>
          <w:rFonts w:hint="eastAsia" w:asciiTheme="minorEastAsia" w:hAnsiTheme="minorEastAsia" w:eastAsiaTheme="minorEastAsia" w:cstheme="minorEastAsia"/>
          <w:sz w:val="24"/>
          <w:szCs w:val="24"/>
        </w:rPr>
        <w:fldChar w:fldCharType="separate"/>
      </w:r>
      <w:r>
        <w:rPr>
          <w:rFonts w:hint="eastAsia" w:ascii="仿宋" w:hAnsi="仿宋" w:eastAsia="仿宋" w:cs="仿宋"/>
          <w:sz w:val="24"/>
          <w:szCs w:val="24"/>
        </w:rPr>
        <w:t>第四部分 附件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_Toc19439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_Toc9133 </w:instrText>
      </w:r>
      <w:r>
        <w:rPr>
          <w:rFonts w:hint="eastAsia" w:asciiTheme="minorEastAsia" w:hAnsiTheme="minorEastAsia" w:eastAsiaTheme="minorEastAsia" w:cstheme="minorEastAsia"/>
          <w:sz w:val="24"/>
          <w:szCs w:val="24"/>
        </w:rPr>
        <w:fldChar w:fldCharType="separate"/>
      </w:r>
      <w:r>
        <w:rPr>
          <w:rFonts w:hint="eastAsia" w:ascii="仿宋" w:hAnsi="仿宋" w:eastAsia="仿宋" w:cs="仿宋"/>
          <w:sz w:val="24"/>
          <w:szCs w:val="24"/>
        </w:rPr>
        <w:t>第五部分 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_Toc9133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_Toc1303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一、收</w:t>
      </w:r>
      <w:r>
        <w:rPr>
          <w:rFonts w:hint="eastAsia" w:asciiTheme="minorEastAsia" w:hAnsiTheme="minorEastAsia" w:eastAsiaTheme="minorEastAsia" w:cstheme="minorEastAsia"/>
          <w:bCs w:val="0"/>
          <w:sz w:val="24"/>
          <w:szCs w:val="24"/>
        </w:rPr>
        <w:t>入支出决算总表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lang w:val="en-US" w:eastAsia="zh-CN"/>
        </w:rPr>
        <w:t>1</w:t>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_Toc29465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二、收</w:t>
      </w:r>
      <w:r>
        <w:rPr>
          <w:rFonts w:hint="eastAsia" w:asciiTheme="minorEastAsia" w:hAnsiTheme="minorEastAsia" w:eastAsiaTheme="minorEastAsia" w:cstheme="minorEastAsia"/>
          <w:bCs w:val="0"/>
          <w:sz w:val="24"/>
          <w:szCs w:val="24"/>
        </w:rPr>
        <w:t>入决算表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_Toc29465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_Toc19906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三、</w:t>
      </w:r>
      <w:r>
        <w:rPr>
          <w:rFonts w:hint="eastAsia" w:asciiTheme="minorEastAsia" w:hAnsiTheme="minorEastAsia" w:eastAsiaTheme="minorEastAsia" w:cstheme="minorEastAsia"/>
          <w:sz w:val="24"/>
          <w:szCs w:val="24"/>
        </w:rPr>
        <w:t>支</w:t>
      </w:r>
      <w:r>
        <w:rPr>
          <w:rFonts w:hint="eastAsia" w:asciiTheme="minorEastAsia" w:hAnsiTheme="minorEastAsia" w:eastAsiaTheme="minorEastAsia" w:cstheme="minorEastAsia"/>
          <w:bCs w:val="0"/>
          <w:sz w:val="24"/>
          <w:szCs w:val="24"/>
        </w:rPr>
        <w:t>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_Toc19906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_Toc32104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四、</w:t>
      </w:r>
      <w:r>
        <w:rPr>
          <w:rFonts w:hint="eastAsia" w:asciiTheme="minorEastAsia" w:hAnsiTheme="minorEastAsia" w:eastAsiaTheme="minorEastAsia" w:cstheme="minorEastAsia"/>
          <w:sz w:val="24"/>
          <w:szCs w:val="24"/>
        </w:rPr>
        <w:t>财</w:t>
      </w:r>
      <w:r>
        <w:rPr>
          <w:rFonts w:hint="eastAsia" w:asciiTheme="minorEastAsia" w:hAnsiTheme="minorEastAsia" w:eastAsiaTheme="minorEastAsia" w:cstheme="minorEastAsia"/>
          <w:bCs w:val="0"/>
          <w:sz w:val="24"/>
          <w:szCs w:val="24"/>
        </w:rPr>
        <w:t>政拨款收入支出决算总表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_Toc32104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_Toc26244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五、</w:t>
      </w:r>
      <w:r>
        <w:rPr>
          <w:rFonts w:hint="eastAsia" w:asciiTheme="minorEastAsia" w:hAnsiTheme="minorEastAsia" w:eastAsiaTheme="minorEastAsia" w:cstheme="minorEastAsia"/>
          <w:sz w:val="24"/>
          <w:szCs w:val="24"/>
        </w:rPr>
        <w:t>财</w:t>
      </w:r>
      <w:r>
        <w:rPr>
          <w:rFonts w:hint="eastAsia" w:asciiTheme="minorEastAsia" w:hAnsiTheme="minorEastAsia" w:eastAsiaTheme="minorEastAsia" w:cstheme="minorEastAsia"/>
          <w:bCs w:val="0"/>
          <w:sz w:val="24"/>
          <w:szCs w:val="24"/>
        </w:rPr>
        <w:t>政拨款支出决算明细表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_Toc26244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_Toc24121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六、</w:t>
      </w: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bCs w:val="0"/>
          <w:sz w:val="24"/>
          <w:szCs w:val="24"/>
        </w:rPr>
        <w:t>般公共预算财政拨款支出决算表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_Toc24121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_Toc19568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七、</w:t>
      </w: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bCs w:val="0"/>
          <w:sz w:val="24"/>
          <w:szCs w:val="24"/>
        </w:rPr>
        <w:t>般公共预算财政拨款支出决算明细表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_Toc19568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_Toc30329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八、</w:t>
      </w: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bCs w:val="0"/>
          <w:sz w:val="24"/>
          <w:szCs w:val="24"/>
        </w:rPr>
        <w:t>般公共预算财政拨款基本支出决算表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_Toc30329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_Toc31807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九、</w:t>
      </w: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bCs w:val="0"/>
          <w:sz w:val="24"/>
          <w:szCs w:val="24"/>
        </w:rPr>
        <w:t>般公共预算财政拨款项目支出决算表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_Toc31807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_Toc31099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十、</w:t>
      </w: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bCs w:val="0"/>
          <w:sz w:val="24"/>
          <w:szCs w:val="24"/>
        </w:rPr>
        <w:t>般公共预算财政拨款“三公”经费支出决算表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_Toc31099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_Toc18317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十一、</w:t>
      </w:r>
      <w:r>
        <w:rPr>
          <w:rFonts w:hint="eastAsia" w:asciiTheme="minorEastAsia" w:hAnsiTheme="minorEastAsia" w:eastAsiaTheme="minorEastAsia" w:cstheme="minorEastAsia"/>
          <w:sz w:val="24"/>
          <w:szCs w:val="24"/>
        </w:rPr>
        <w:t>政</w:t>
      </w:r>
      <w:r>
        <w:rPr>
          <w:rFonts w:hint="eastAsia" w:asciiTheme="minorEastAsia" w:hAnsiTheme="minorEastAsia" w:eastAsiaTheme="minorEastAsia" w:cstheme="minorEastAsia"/>
          <w:bCs w:val="0"/>
          <w:sz w:val="24"/>
          <w:szCs w:val="24"/>
        </w:rPr>
        <w:t>府性基金预算财政拨款收入支出决算表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_Toc18317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_Toc30643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十二、</w:t>
      </w:r>
      <w:r>
        <w:rPr>
          <w:rFonts w:hint="eastAsia" w:asciiTheme="minorEastAsia" w:hAnsiTheme="minorEastAsia" w:eastAsiaTheme="minorEastAsia" w:cstheme="minorEastAsia"/>
          <w:sz w:val="24"/>
          <w:szCs w:val="24"/>
        </w:rPr>
        <w:t>政</w:t>
      </w:r>
      <w:r>
        <w:rPr>
          <w:rFonts w:hint="eastAsia" w:asciiTheme="minorEastAsia" w:hAnsiTheme="minorEastAsia" w:eastAsiaTheme="minorEastAsia" w:cstheme="minorEastAsia"/>
          <w:bCs w:val="0"/>
          <w:sz w:val="24"/>
          <w:szCs w:val="24"/>
        </w:rPr>
        <w:t>府性基金预算财政拨款“三公”经费支出决算表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_Toc30643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_Toc5409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rPr>
        <w:t>十三、</w:t>
      </w:r>
      <w:r>
        <w:rPr>
          <w:rFonts w:hint="eastAsia" w:asciiTheme="minorEastAsia" w:hAnsiTheme="minorEastAsia" w:eastAsiaTheme="minorEastAsia" w:cstheme="minorEastAsia"/>
          <w:sz w:val="24"/>
          <w:szCs w:val="24"/>
        </w:rPr>
        <w:t>国</w:t>
      </w:r>
      <w:r>
        <w:rPr>
          <w:rFonts w:hint="eastAsia" w:asciiTheme="minorEastAsia" w:hAnsiTheme="minorEastAsia" w:eastAsiaTheme="minorEastAsia" w:cstheme="minorEastAsia"/>
          <w:bCs w:val="0"/>
          <w:sz w:val="24"/>
          <w:szCs w:val="24"/>
        </w:rPr>
        <w:t>有资本经营预算</w:t>
      </w:r>
      <w:r>
        <w:rPr>
          <w:rFonts w:hint="eastAsia" w:asciiTheme="minorEastAsia" w:hAnsiTheme="minorEastAsia" w:eastAsiaTheme="minorEastAsia" w:cstheme="minorEastAsia"/>
          <w:bCs w:val="0"/>
          <w:sz w:val="24"/>
          <w:szCs w:val="24"/>
          <w:lang w:eastAsia="zh-CN"/>
        </w:rPr>
        <w:t>财政拨款收入</w:t>
      </w:r>
      <w:r>
        <w:rPr>
          <w:rFonts w:hint="eastAsia" w:asciiTheme="minorEastAsia" w:hAnsiTheme="minorEastAsia" w:eastAsiaTheme="minorEastAsia" w:cstheme="minorEastAsia"/>
          <w:bCs w:val="0"/>
          <w:sz w:val="24"/>
          <w:szCs w:val="24"/>
        </w:rPr>
        <w:t>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_Toc5409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3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sz w:val="24"/>
          <w:szCs w:val="24"/>
        </w:rPr>
        <w:instrText xml:space="preserve"> HYPERLINK \l _Toc31844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bCs w:val="0"/>
          <w:sz w:val="24"/>
          <w:szCs w:val="24"/>
          <w:lang w:eastAsia="zh-CN"/>
        </w:rPr>
        <w:t>十四、国有资本经营预算财政拨款支出决算表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_Toc31844 \h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auto"/>
          <w:sz w:val="24"/>
          <w:szCs w:val="24"/>
        </w:rPr>
        <w:fldChar w:fldCharType="end"/>
      </w:r>
      <w:bookmarkStart w:id="210" w:name="_GoBack"/>
      <w:bookmarkEnd w:id="210"/>
    </w:p>
    <w:p>
      <w:pPr>
        <w:widowControl/>
        <w:jc w:val="center"/>
        <w:rPr>
          <w:rFonts w:hint="eastAsia" w:ascii="黑体" w:hAnsi="黑体" w:eastAsia="黑体"/>
          <w:color w:val="auto"/>
          <w:sz w:val="48"/>
          <w:szCs w:val="48"/>
        </w:rPr>
      </w:pPr>
      <w:r>
        <w:rPr>
          <w:rFonts w:hint="eastAsia" w:ascii="黑体" w:hAnsi="黑体" w:eastAsia="黑体"/>
          <w:color w:val="auto"/>
          <w:szCs w:val="48"/>
        </w:rPr>
        <w:fldChar w:fldCharType="end"/>
      </w:r>
    </w:p>
    <w:bookmarkEnd w:id="16"/>
    <w:bookmarkEnd w:id="17"/>
    <w:p>
      <w:pPr>
        <w:pStyle w:val="3"/>
        <w:jc w:val="center"/>
        <w:rPr>
          <w:rFonts w:ascii="黑体" w:eastAsia="黑体"/>
          <w:color w:val="auto"/>
          <w:sz w:val="32"/>
          <w:szCs w:val="32"/>
        </w:rPr>
      </w:pPr>
      <w:bookmarkStart w:id="18" w:name="_Toc15377196"/>
      <w:bookmarkStart w:id="19" w:name="_Toc1283"/>
      <w:bookmarkStart w:id="20" w:name="_Toc7985_WPSOffice_Level1"/>
      <w:bookmarkStart w:id="21" w:name="_Toc15396599"/>
      <w:bookmarkStart w:id="22" w:name="_Toc24825"/>
      <w:r>
        <w:rPr>
          <w:rFonts w:hint="eastAsia" w:ascii="黑体" w:hAnsi="黑体" w:eastAsia="黑体"/>
          <w:b w:val="0"/>
          <w:color w:val="auto"/>
        </w:rPr>
        <w:t xml:space="preserve">第一部分 </w:t>
      </w:r>
      <w:r>
        <w:rPr>
          <w:rFonts w:hint="eastAsia" w:ascii="黑体" w:hAnsi="黑体" w:eastAsia="黑体"/>
          <w:b w:val="0"/>
          <w:color w:val="auto"/>
          <w:lang w:eastAsia="zh-CN"/>
        </w:rPr>
        <w:t>单位</w:t>
      </w:r>
      <w:r>
        <w:rPr>
          <w:rStyle w:val="24"/>
          <w:rFonts w:hint="eastAsia" w:ascii="黑体" w:hAnsi="黑体" w:eastAsia="黑体"/>
          <w:b w:val="0"/>
          <w:bCs w:val="0"/>
          <w:color w:val="auto"/>
        </w:rPr>
        <w:t>概况</w:t>
      </w:r>
      <w:bookmarkEnd w:id="18"/>
      <w:bookmarkEnd w:id="19"/>
      <w:bookmarkEnd w:id="20"/>
      <w:bookmarkEnd w:id="21"/>
      <w:bookmarkEnd w:id="22"/>
    </w:p>
    <w:p>
      <w:pPr>
        <w:pStyle w:val="4"/>
        <w:pageBreakBefore w:val="0"/>
        <w:numPr>
          <w:ilvl w:val="0"/>
          <w:numId w:val="0"/>
        </w:numPr>
        <w:kinsoku/>
        <w:wordWrap/>
        <w:overflowPunct/>
        <w:topLinePunct w:val="0"/>
        <w:autoSpaceDE/>
        <w:autoSpaceDN/>
        <w:bidi w:val="0"/>
        <w:adjustRightInd/>
        <w:snapToGrid/>
        <w:spacing w:line="700" w:lineRule="exact"/>
        <w:textAlignment w:val="auto"/>
        <w:rPr>
          <w:rFonts w:hint="eastAsia"/>
          <w:color w:val="auto"/>
        </w:rPr>
      </w:pPr>
      <w:bookmarkStart w:id="23" w:name="_Toc5222"/>
      <w:bookmarkStart w:id="24" w:name="_Toc8781_WPSOffice_Level2"/>
      <w:bookmarkStart w:id="25" w:name="_Toc5419"/>
      <w:bookmarkStart w:id="26" w:name="_Toc15377197"/>
      <w:bookmarkStart w:id="27" w:name="_Toc15396600"/>
      <w:r>
        <w:rPr>
          <w:rStyle w:val="25"/>
          <w:rFonts w:hint="eastAsia" w:ascii="黑体" w:hAnsi="黑体" w:eastAsia="黑体"/>
          <w:b w:val="0"/>
          <w:bCs w:val="0"/>
          <w:color w:val="auto"/>
          <w:lang w:eastAsia="zh-CN"/>
        </w:rPr>
        <w:t>一、</w:t>
      </w:r>
      <w:r>
        <w:rPr>
          <w:rStyle w:val="25"/>
          <w:rFonts w:hint="eastAsia" w:ascii="黑体" w:hAnsi="黑体" w:eastAsia="黑体"/>
          <w:b w:val="0"/>
          <w:bCs w:val="0"/>
          <w:color w:val="auto"/>
        </w:rPr>
        <w:t>职能</w:t>
      </w:r>
      <w:r>
        <w:rPr>
          <w:rStyle w:val="25"/>
          <w:rFonts w:hint="eastAsia" w:ascii="黑体" w:hAnsi="黑体" w:eastAsia="黑体"/>
          <w:b w:val="0"/>
          <w:bCs w:val="0"/>
          <w:color w:val="auto"/>
          <w:lang w:eastAsia="zh-CN"/>
        </w:rPr>
        <w:t>简介</w:t>
      </w:r>
      <w:bookmarkEnd w:id="23"/>
      <w:bookmarkEnd w:id="24"/>
      <w:bookmarkEnd w:id="25"/>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（1）贯彻落实国家有关国内外贸易、外商投资和国际经济合作的法律、法规和方针、政策，拟订全省国内外贸易、外商投资和对外经济合作的法规、规章和实施细则，制订全省商务发展规划、计划并组织实施。</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要求承担全省服务业发展工作中组织实施的协调职责，推进流通产业结构调整，加快第三方物流发展，指导流通企业改革、商贸服务业和社区商业发展，提出促进商贸企业发展的政策建议，推动流通标准化和连锁经营、商业特许经营、物流配送、电子商务等现代流通方式的发展。</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研究提出引导国内外资金投向市场体系建设的政策，编制大宗产品批发市场规划，指导城市商业网点规划和商业体系建设工作，推进农村市场体系建设，组织实施农村现代流通网络工程，促进城乡市场一体化发展。</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担牵头协调全省整顿和规范市场经济秩序工作的责任，拟订规范市场运行和流通秩序的政策，推动商务领域信用建设，指导商业信用销售，建立市场诚信公共服务平台，按有关规定对特殊流通行业、酒类流通进行监督管理。</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拟订促进转变外贸增长方式的政策措施，指导对外贸易行业执行国家进出口商品、加工贸易管理办法和进出口管理商品、技术目录，组织实施重要工业品、原材料和重要农产品进出口总量计划，会同有关部门协调大宗进出口商品和出口加工区的业务工作，指导贸易促进活动和外贸促进体系建设。 </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（7）依法监督技术引进、设备进口、国家限制出口技术的工作，推进进出口贸易标准化工作，牵头负责发展服务贸易的相关工作，推动服务外包平台建设。</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（8）拟订应对经济全球化、区域经济合作的对策措施，加强与自由贸易区、港澳台地区的商贸合作，推进贸易和投资便利化，负责外国和香港、澳门特别行政区及台湾地区常设驻川商务代表机构的管理。</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承担组织协调反倾销、反补贴、保障措施和技术性贸易壁垒等与进出口公平贸易相关工作的责任，建立进出口公平贸易预警机制，牵头开展对外贸易调查、产业损害调查和对经营者集中行为的反垄断审查，指导协调产业安全应对、企业在国外的反垄断应诉工作和国外对我省出口商品的反倾销、反补贴、保障措施的应诉工作。</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指导全省外商投资促进和管理工作，参与制订外商投资政策和改革方案并组织实施，统计分析全省外商投资情况，依法监督检查外商投资企业执行有关法律法规规章、合同章程的情况并协调解决有关问题，指导协调省内国家级经济技术开发区的有关工作。</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全省对外经济合作工作，拟订并执行对外经济合作政策，依法管理和监督对外承包工程、对外劳务合作和出境就业等，承担境外投资管理的责任，牵头负责外派劳务和赴境外就业人员的权益保护工作，组织管理我省承担的国家对外援助任务，管理多双边对我省的无偿援助和赠款（不含财政合作项目下外国政府及国际金融组织对我省赠款）等发展合作业务。</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（12）管理我省赴境外举办的各种商品交易和经贸推介活动，指导监督管理以四川省名义在境内举办的各种商贸交易会、展览会、展销会等活动。</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（13）规划全省商务系统电子政务、公共商务信息服务体系建设并组织实施，推动电子商务发展。</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（14）承担省政府公布的有关行政审批事项。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rPr>
      </w:pPr>
      <w:r>
        <w:rPr>
          <w:rFonts w:hint="eastAsia" w:ascii="仿宋_GB2312" w:hAnsi="仿宋_GB2312" w:eastAsia="仿宋_GB2312" w:cs="仿宋_GB2312"/>
          <w:sz w:val="32"/>
          <w:szCs w:val="32"/>
        </w:rPr>
        <w:t>（15）承办省政府交办的其他事项。</w:t>
      </w:r>
    </w:p>
    <w:p>
      <w:pPr>
        <w:pStyle w:val="4"/>
        <w:pageBreakBefore w:val="0"/>
        <w:numPr>
          <w:ilvl w:val="0"/>
          <w:numId w:val="0"/>
        </w:numPr>
        <w:kinsoku/>
        <w:wordWrap/>
        <w:overflowPunct/>
        <w:topLinePunct w:val="0"/>
        <w:autoSpaceDE/>
        <w:autoSpaceDN/>
        <w:bidi w:val="0"/>
        <w:adjustRightInd/>
        <w:snapToGrid/>
        <w:spacing w:line="700" w:lineRule="exact"/>
        <w:textAlignment w:val="auto"/>
        <w:rPr>
          <w:rFonts w:hint="eastAsia" w:ascii="黑体" w:hAnsi="黑体" w:eastAsia="黑体"/>
          <w:b w:val="0"/>
          <w:color w:val="auto"/>
          <w:lang w:eastAsia="zh-CN"/>
        </w:rPr>
      </w:pPr>
      <w:bookmarkStart w:id="28" w:name="_Toc30809"/>
      <w:bookmarkStart w:id="29" w:name="_Toc19530_WPSOffice_Level2"/>
      <w:bookmarkStart w:id="30" w:name="_Toc17874"/>
      <w:r>
        <w:rPr>
          <w:rFonts w:hint="eastAsia" w:ascii="黑体" w:hAnsi="黑体" w:eastAsia="黑体"/>
          <w:b w:val="0"/>
          <w:color w:val="auto"/>
          <w:lang w:val="en-US" w:eastAsia="zh-CN"/>
        </w:rPr>
        <w:t>二、2020年重点</w:t>
      </w:r>
      <w:r>
        <w:rPr>
          <w:rFonts w:hint="eastAsia" w:ascii="黑体" w:hAnsi="黑体" w:eastAsia="黑体"/>
          <w:b w:val="0"/>
          <w:color w:val="auto"/>
        </w:rPr>
        <w:t>工作</w:t>
      </w:r>
      <w:bookmarkEnd w:id="26"/>
      <w:bookmarkEnd w:id="27"/>
      <w:r>
        <w:rPr>
          <w:rFonts w:hint="eastAsia" w:ascii="黑体" w:hAnsi="黑体" w:eastAsia="黑体"/>
          <w:b w:val="0"/>
          <w:color w:val="auto"/>
          <w:lang w:eastAsia="zh-CN"/>
        </w:rPr>
        <w:t>完成情况</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商务厅坚决贯彻中央和省委、省政府决策部署，统筹推进疫情防控和商务发展，商务运行主要指标符合预期、稳步向好。彭清华书记赴商务厅调研座谈时，对商务工作寄予“四个新作为”殷切期望；商务部原部长钟山给予肯定性批示，并作出打造“四个示范”指示要求。</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扎实开展商务领域疫情防控。迅速成立商务厅应对疫情工作领导小组，协力发布群体性聚餐禁令，及时暂停展会、线下促销等节庆活动。第一时间启动市场应急保供机制，出台保障“菜篮子”供应等措施，聚焦8大类必需品确定2000余家企业参与保供。广泛动员境外采购和协调捐赠口罩2600万只、医用防护服近30万套、护目镜30万个等防护物资。在全国率先建立“医药企业进出口协调机制”，推动组建医药企业进出口联盟。出台20余项专项支持政策，分类有序推动复工复产，为商务经济循环恢复常态化运行奠定坚实基础。</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动对外贸易跨越升位。落实稳外贸稳外资政策“20条”，制定稳外贸基本盘工作方案。深入调研电子信息、汽车制造等4个外向型产业供应链、产业链，密切关注270家重点企业订单动态和83家商务部重点直报企业情况，妥善处理12起涉及四川的国际贸易摩擦案件，有效保障外贸产业链供应链稳定，对外贸易创历史新高。1—11月货物进出口逆势增长20.6%、增速居全国第2，总额首次突破1000亿美元，超过天津、辽宁居全国第8位；预计全年货物进出口增长20%左右。服务进出口667.5亿元、增长4.8%，高于全国21.1个百分点。</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创新提升开放平台能级。推动省委、省政府出台《四川省开放发展工作激励办法》，对先进市州、领军企业、示范平台、促进机构等实施激励，坚定了推动高水平对外开放的信心和决心。全省创建形成6个综保区、4个跨境电商综试区和3个国家级服务出口基地，8个国家级经开区、16个国际产业合作园区效益明显提升。实施自贸试验区制度创新、赋能放权、协同开放“三大攻坚”，159项改革任务实施率达98.7%，1—11月自贸试验区利用外资增长2.6倍、进出口增长31.5%。搭建国际产能合作平台，强化境外重点项目服务，对外直接投资同比实现翻番。中欧班列（成都）累计开行量突破6000列、综合载重率持续提升。</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促进消费回补升级。出台激发消费潜力24条措施，启动促进消费和服务业发展七大行动计划，消费市场逐季复苏回暖。全年开展各类惠民促销活动上万场次，参与企业近10万家次。加快推进消费中心城市建设，确定10个区域消费中心。宽窄巷子被商务部评为全国首批示范步行街，省级步行街改造提升试点工作启动实施。发布全国首个省级直播行业发展计划，聚力打造10条年产值超过百亿元电商产业带，成功引进阿里、腾讯等30余家电商头部企业在川设立区域总部，电商经营主体超过160万家。1—11月社消零实现1.87万亿元、下降3.2%。预计全年降幅收窄至3%。</w:t>
      </w: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（5）统筹推进服务业发展。省委、省政府召开全省服务业发展大会，出台《加快构建“4+6”现代服务业体系 推动服务业高质量发展意见》，建立省领导联系指导10个重点产业推进机制，全力促进服务业恢复振兴和高质量发展。深入实施服务业“三百工程”，成都环球贸易广场等213个服务业重大项目加快推进，完成续建重大项目投资约1200亿元。前三季度服务业增加值达1.8万亿元，由上半年下降0.4%转为增长2.2%。预计全年增长4%左右。</w:t>
      </w:r>
    </w:p>
    <w:p>
      <w:pPr>
        <w:pageBreakBefore w:val="0"/>
        <w:widowControl/>
        <w:kinsoku/>
        <w:wordWrap/>
        <w:overflowPunct/>
        <w:topLinePunct w:val="0"/>
        <w:autoSpaceDE/>
        <w:autoSpaceDN/>
        <w:bidi w:val="0"/>
        <w:adjustRightInd/>
        <w:snapToGrid/>
        <w:spacing w:line="700" w:lineRule="exact"/>
        <w:jc w:val="left"/>
        <w:textAlignment w:val="auto"/>
        <w:rPr>
          <w:rFonts w:hint="eastAsia" w:ascii="黑体" w:hAnsi="黑体" w:eastAsia="黑体" w:cstheme="majorBidi"/>
          <w:b w:val="0"/>
          <w:bCs/>
          <w:color w:val="auto"/>
          <w:kern w:val="2"/>
          <w:sz w:val="32"/>
          <w:szCs w:val="32"/>
          <w:lang w:val="en-US" w:eastAsia="zh-CN" w:bidi="ar-SA"/>
        </w:rPr>
      </w:pPr>
      <w:r>
        <w:rPr>
          <w:rFonts w:hint="eastAsia" w:ascii="黑体" w:hAnsi="黑体" w:eastAsia="黑体" w:cstheme="majorBidi"/>
          <w:b w:val="0"/>
          <w:bCs/>
          <w:color w:val="auto"/>
          <w:kern w:val="2"/>
          <w:sz w:val="32"/>
          <w:szCs w:val="32"/>
          <w:lang w:val="en-US" w:eastAsia="zh-CN" w:bidi="ar-SA"/>
        </w:rPr>
        <w:t>三、机构设置情况</w:t>
      </w:r>
    </w:p>
    <w:p>
      <w:pPr>
        <w:pageBreakBefore w:val="0"/>
        <w:widowControl/>
        <w:kinsoku/>
        <w:wordWrap/>
        <w:overflowPunct/>
        <w:topLinePunct w:val="0"/>
        <w:autoSpaceDE/>
        <w:autoSpaceDN/>
        <w:bidi w:val="0"/>
        <w:adjustRightInd/>
        <w:snapToGrid/>
        <w:spacing w:line="700" w:lineRule="exact"/>
        <w:ind w:firstLine="640" w:firstLineChars="200"/>
        <w:jc w:val="left"/>
        <w:textAlignment w:val="auto"/>
        <w:rPr>
          <w:rFonts w:ascii="仿宋" w:hAnsi="仿宋" w:eastAsia="仿宋"/>
          <w:color w:val="auto"/>
          <w:kern w:val="0"/>
          <w:sz w:val="32"/>
          <w:szCs w:val="32"/>
        </w:rPr>
      </w:pPr>
      <w:r>
        <w:rPr>
          <w:rFonts w:hint="eastAsia" w:ascii="仿宋_GB2312" w:hAnsi="仿宋_GB2312" w:eastAsia="仿宋_GB2312" w:cs="仿宋_GB2312"/>
          <w:sz w:val="32"/>
          <w:szCs w:val="32"/>
        </w:rPr>
        <w:t>四川省商务厅本级由26个内设机构组成，分别是：办公室、综合处、法规与贸易救济处、行政审批处、服务业发展协调处、市场秩序处、市场体系建设处、流通业发展处、市场运行与消费促进处、国际经贸关系处、对外贸易运行处、对外贸易发展处、服务贸易与商贸服务业处、国际合作产业推进处、对外经济合作处、电子商务与信息化处、财务处、审计处、综合信息处、制度创新处、协调指导处、人事教育处、离退休工作人员办公室、商业离退休人员工作处、物资离退休人员工作处、机关党委。</w:t>
      </w:r>
      <w:r>
        <w:rPr>
          <w:rFonts w:ascii="仿宋" w:hAnsi="仿宋" w:eastAsia="仿宋"/>
          <w:color w:val="auto"/>
          <w:sz w:val="32"/>
          <w:szCs w:val="32"/>
        </w:rPr>
        <w:br w:type="page"/>
      </w:r>
    </w:p>
    <w:p>
      <w:pPr>
        <w:pStyle w:val="3"/>
        <w:ind w:right="440"/>
        <w:jc w:val="center"/>
        <w:rPr>
          <w:rStyle w:val="24"/>
          <w:rFonts w:ascii="黑体" w:hAnsi="黑体" w:eastAsia="黑体"/>
          <w:b w:val="0"/>
          <w:bCs/>
          <w:color w:val="auto"/>
        </w:rPr>
      </w:pPr>
      <w:bookmarkStart w:id="31" w:name="_Toc19530_WPSOffice_Level1"/>
      <w:bookmarkStart w:id="32" w:name="_Toc15643"/>
      <w:bookmarkStart w:id="33" w:name="_Toc15377204"/>
      <w:bookmarkStart w:id="34" w:name="_Toc15396602"/>
      <w:bookmarkStart w:id="35" w:name="_Toc15386"/>
      <w:r>
        <w:rPr>
          <w:rFonts w:hint="eastAsia" w:ascii="黑体" w:hAnsi="黑体" w:eastAsia="黑体"/>
          <w:b w:val="0"/>
          <w:bCs/>
          <w:color w:val="auto"/>
        </w:rPr>
        <w:t xml:space="preserve">第二部分 </w:t>
      </w:r>
      <w:r>
        <w:rPr>
          <w:rFonts w:hint="eastAsia" w:ascii="黑体" w:hAnsi="黑体" w:eastAsia="黑体"/>
          <w:b w:val="0"/>
          <w:bCs/>
          <w:color w:val="auto"/>
          <w:lang w:val="en-US" w:eastAsia="zh-CN"/>
        </w:rPr>
        <w:t>2020年度</w:t>
      </w:r>
      <w:r>
        <w:rPr>
          <w:rStyle w:val="24"/>
          <w:rFonts w:hint="eastAsia" w:ascii="黑体" w:hAnsi="黑体" w:eastAsia="黑体"/>
          <w:b w:val="0"/>
          <w:bCs/>
          <w:color w:val="auto"/>
          <w:lang w:eastAsia="zh-CN"/>
        </w:rPr>
        <w:t>单位决算</w:t>
      </w:r>
      <w:r>
        <w:rPr>
          <w:rStyle w:val="24"/>
          <w:rFonts w:hint="eastAsia" w:ascii="黑体" w:hAnsi="黑体" w:eastAsia="黑体"/>
          <w:b w:val="0"/>
          <w:bCs/>
          <w:color w:val="auto"/>
        </w:rPr>
        <w:t>情况说明</w:t>
      </w:r>
      <w:bookmarkEnd w:id="31"/>
      <w:bookmarkEnd w:id="32"/>
      <w:bookmarkEnd w:id="33"/>
      <w:bookmarkEnd w:id="34"/>
      <w:bookmarkEnd w:id="35"/>
    </w:p>
    <w:p>
      <w:pPr>
        <w:rPr>
          <w:color w:val="auto"/>
        </w:rPr>
      </w:pPr>
    </w:p>
    <w:p>
      <w:pPr>
        <w:pStyle w:val="23"/>
        <w:numPr>
          <w:ilvl w:val="0"/>
          <w:numId w:val="1"/>
        </w:numPr>
        <w:spacing w:line="600" w:lineRule="exact"/>
        <w:ind w:firstLineChars="0"/>
        <w:outlineLvl w:val="1"/>
        <w:rPr>
          <w:rStyle w:val="25"/>
          <w:rFonts w:ascii="黑体" w:hAnsi="黑体" w:eastAsia="黑体"/>
          <w:b w:val="0"/>
          <w:color w:val="auto"/>
        </w:rPr>
      </w:pPr>
      <w:bookmarkStart w:id="36" w:name="_Toc26682"/>
      <w:bookmarkStart w:id="37" w:name="_Toc25849_WPSOffice_Level2"/>
      <w:bookmarkStart w:id="38" w:name="_Toc15396603"/>
      <w:bookmarkStart w:id="39" w:name="_Toc12472"/>
      <w:bookmarkStart w:id="40" w:name="_Toc15377205"/>
      <w:r>
        <w:rPr>
          <w:rFonts w:hint="eastAsia" w:ascii="黑体" w:hAnsi="黑体" w:eastAsia="黑体"/>
          <w:color w:val="auto"/>
          <w:sz w:val="32"/>
          <w:szCs w:val="32"/>
        </w:rPr>
        <w:t>收</w:t>
      </w:r>
      <w:r>
        <w:rPr>
          <w:rStyle w:val="25"/>
          <w:rFonts w:hint="eastAsia" w:ascii="黑体" w:hAnsi="黑体" w:eastAsia="黑体"/>
          <w:b w:val="0"/>
          <w:color w:val="auto"/>
        </w:rPr>
        <w:t>入支出决算总体情况说明</w:t>
      </w:r>
      <w:bookmarkEnd w:id="36"/>
      <w:bookmarkEnd w:id="37"/>
      <w:bookmarkEnd w:id="38"/>
      <w:bookmarkEnd w:id="39"/>
      <w:bookmarkEnd w:id="40"/>
    </w:p>
    <w:p>
      <w:pPr>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年度收、支总计</w:t>
      </w:r>
      <w:r>
        <w:rPr>
          <w:rFonts w:hint="eastAsia" w:ascii="仿宋_GB2312" w:hAnsi="仿宋_GB2312" w:eastAsia="仿宋_GB2312" w:cs="仿宋_GB2312"/>
          <w:color w:val="auto"/>
          <w:sz w:val="32"/>
          <w:szCs w:val="32"/>
          <w:lang w:val="en-US" w:eastAsia="zh-CN"/>
        </w:rPr>
        <w:t>28144.42</w:t>
      </w:r>
      <w:r>
        <w:rPr>
          <w:rFonts w:hint="eastAsia" w:ascii="仿宋_GB2312" w:hAnsi="仿宋_GB2312" w:eastAsia="仿宋_GB2312" w:cs="仿宋_GB2312"/>
          <w:color w:val="auto"/>
          <w:sz w:val="32"/>
          <w:szCs w:val="32"/>
        </w:rPr>
        <w:t>万元。与201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年相比，收、支总计各增加</w:t>
      </w:r>
      <w:r>
        <w:rPr>
          <w:rFonts w:hint="eastAsia" w:ascii="仿宋_GB2312" w:hAnsi="仿宋_GB2312" w:eastAsia="仿宋_GB2312" w:cs="仿宋_GB2312"/>
          <w:color w:val="auto"/>
          <w:sz w:val="32"/>
          <w:szCs w:val="32"/>
          <w:lang w:val="en-US" w:eastAsia="zh-CN"/>
        </w:rPr>
        <w:t>383.87</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1.38</w:t>
      </w:r>
      <w:r>
        <w:rPr>
          <w:rFonts w:hint="eastAsia" w:ascii="仿宋_GB2312" w:hAnsi="仿宋_GB2312" w:eastAsia="仿宋_GB2312" w:cs="仿宋_GB2312"/>
          <w:color w:val="auto"/>
          <w:sz w:val="32"/>
          <w:szCs w:val="32"/>
        </w:rPr>
        <w:t>%。主要变动原因是</w:t>
      </w:r>
      <w:r>
        <w:rPr>
          <w:rFonts w:hint="eastAsia" w:ascii="仿宋_GB2312" w:hAnsi="仿宋_GB2312" w:eastAsia="仿宋_GB2312" w:cs="仿宋_GB2312"/>
          <w:color w:val="auto"/>
          <w:sz w:val="32"/>
          <w:szCs w:val="32"/>
          <w:lang w:eastAsia="zh-CN"/>
        </w:rPr>
        <w:t>增加了全省</w:t>
      </w:r>
      <w:r>
        <w:rPr>
          <w:rFonts w:hint="eastAsia" w:ascii="仿宋_GB2312" w:hAnsi="仿宋_GB2312" w:eastAsia="仿宋_GB2312" w:cs="仿宋_GB2312"/>
          <w:color w:val="auto"/>
          <w:sz w:val="32"/>
          <w:szCs w:val="32"/>
          <w:lang w:val="en-US" w:eastAsia="zh-CN"/>
        </w:rPr>
        <w:t>服务业大会及峰会经费支出。</w:t>
      </w:r>
    </w:p>
    <w:p>
      <w:pPr>
        <w:pStyle w:val="2"/>
        <w:jc w:val="center"/>
        <w:rPr>
          <w:rFonts w:ascii="仿宋_GB2312" w:eastAsia="仿宋_GB2312"/>
          <w:color w:val="auto"/>
          <w:sz w:val="32"/>
          <w:szCs w:val="32"/>
        </w:rPr>
      </w:pPr>
      <w:r>
        <w:rPr>
          <w:rFonts w:hint="eastAsia" w:ascii="仿宋_GB2312" w:eastAsia="仿宋_GB2312"/>
          <w:color w:val="auto"/>
          <w:sz w:val="32"/>
          <w:szCs w:val="32"/>
          <w:lang w:eastAsia="zh-CN"/>
        </w:rPr>
        <w:drawing>
          <wp:inline distT="0" distB="0" distL="114300" distR="114300">
            <wp:extent cx="4277995" cy="2549525"/>
            <wp:effectExtent l="4445" t="4445" r="22860" b="1778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（图1：收、支决算总计变动情况图）（柱状图）</w:t>
      </w:r>
    </w:p>
    <w:p>
      <w:pPr>
        <w:pStyle w:val="23"/>
        <w:numPr>
          <w:ilvl w:val="0"/>
          <w:numId w:val="1"/>
        </w:numPr>
        <w:spacing w:line="600" w:lineRule="exact"/>
        <w:ind w:firstLineChars="0"/>
        <w:outlineLvl w:val="1"/>
        <w:rPr>
          <w:rStyle w:val="25"/>
          <w:rFonts w:ascii="黑体" w:hAnsi="黑体" w:eastAsia="黑体"/>
          <w:b w:val="0"/>
          <w:color w:val="auto"/>
        </w:rPr>
      </w:pPr>
      <w:bookmarkStart w:id="41" w:name="_Toc15396604"/>
      <w:bookmarkStart w:id="42" w:name="_Toc22814"/>
      <w:bookmarkStart w:id="43" w:name="_Toc15343"/>
      <w:bookmarkStart w:id="44" w:name="_Toc31222_WPSOffice_Level2"/>
      <w:bookmarkStart w:id="45" w:name="_Toc15377206"/>
      <w:r>
        <w:rPr>
          <w:rFonts w:hint="eastAsia" w:ascii="黑体" w:hAnsi="黑体" w:eastAsia="黑体"/>
          <w:color w:val="auto"/>
          <w:sz w:val="32"/>
          <w:szCs w:val="32"/>
        </w:rPr>
        <w:t>收</w:t>
      </w:r>
      <w:r>
        <w:rPr>
          <w:rStyle w:val="25"/>
          <w:rFonts w:hint="eastAsia" w:ascii="黑体" w:hAnsi="黑体" w:eastAsia="黑体"/>
          <w:b w:val="0"/>
          <w:color w:val="auto"/>
        </w:rPr>
        <w:t>入决算情况说明</w:t>
      </w:r>
      <w:bookmarkEnd w:id="41"/>
      <w:bookmarkEnd w:id="42"/>
      <w:bookmarkEnd w:id="43"/>
      <w:bookmarkEnd w:id="44"/>
      <w:bookmarkEnd w:id="45"/>
    </w:p>
    <w:p>
      <w:pPr>
        <w:spacing w:line="600" w:lineRule="exact"/>
        <w:ind w:firstLine="640" w:firstLineChars="200"/>
        <w:outlineLvl w:val="1"/>
        <w:rPr>
          <w:rFonts w:hint="eastAsia" w:ascii="仿宋_GB2312" w:hAnsi="仿宋_GB2312" w:eastAsia="仿宋_GB2312" w:cs="仿宋_GB2312"/>
          <w:color w:val="auto"/>
          <w:sz w:val="32"/>
          <w:szCs w:val="32"/>
        </w:rPr>
      </w:pPr>
      <w:bookmarkStart w:id="46" w:name="_Toc20679"/>
      <w:bookmarkStart w:id="47" w:name="_Toc21596"/>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年本年收入合计</w:t>
      </w:r>
      <w:r>
        <w:rPr>
          <w:rFonts w:hint="eastAsia" w:ascii="仿宋_GB2312" w:hAnsi="仿宋_GB2312" w:eastAsia="仿宋_GB2312" w:cs="仿宋_GB2312"/>
          <w:color w:val="auto"/>
          <w:sz w:val="32"/>
          <w:szCs w:val="32"/>
          <w:lang w:val="en-US" w:eastAsia="zh-CN"/>
        </w:rPr>
        <w:t>20932.19</w:t>
      </w:r>
      <w:r>
        <w:rPr>
          <w:rFonts w:hint="eastAsia" w:ascii="仿宋_GB2312" w:hAnsi="仿宋_GB2312" w:eastAsia="仿宋_GB2312" w:cs="仿宋_GB2312"/>
          <w:color w:val="auto"/>
          <w:sz w:val="32"/>
          <w:szCs w:val="32"/>
        </w:rPr>
        <w:t>万元，其中：一般公共预算财政拨款收入</w:t>
      </w:r>
      <w:r>
        <w:rPr>
          <w:rFonts w:hint="eastAsia" w:ascii="仿宋_GB2312" w:hAnsi="仿宋_GB2312" w:eastAsia="仿宋_GB2312" w:cs="仿宋_GB2312"/>
          <w:color w:val="auto"/>
          <w:sz w:val="32"/>
          <w:szCs w:val="32"/>
          <w:lang w:val="en-US" w:eastAsia="zh-CN"/>
        </w:rPr>
        <w:t>20931.65</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99.99</w:t>
      </w:r>
      <w:r>
        <w:rPr>
          <w:rFonts w:hint="eastAsia" w:ascii="仿宋_GB2312" w:hAnsi="仿宋_GB2312" w:eastAsia="仿宋_GB2312" w:cs="仿宋_GB2312"/>
          <w:color w:val="auto"/>
          <w:sz w:val="32"/>
          <w:szCs w:val="32"/>
        </w:rPr>
        <w:t>%；政府性基金预算财政拨款收入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%；上级补助收入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%；事业收入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%；经营收入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%；附属单位上缴收入</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%；其他收入</w:t>
      </w:r>
      <w:r>
        <w:rPr>
          <w:rFonts w:hint="eastAsia" w:ascii="仿宋_GB2312" w:hAnsi="仿宋_GB2312" w:eastAsia="仿宋_GB2312" w:cs="仿宋_GB2312"/>
          <w:color w:val="auto"/>
          <w:sz w:val="32"/>
          <w:szCs w:val="32"/>
          <w:lang w:val="en-US" w:eastAsia="zh-CN"/>
        </w:rPr>
        <w:t>0.54</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0.01</w:t>
      </w:r>
      <w:r>
        <w:rPr>
          <w:rFonts w:hint="eastAsia" w:ascii="仿宋_GB2312" w:hAnsi="仿宋_GB2312" w:eastAsia="仿宋_GB2312" w:cs="仿宋_GB2312"/>
          <w:color w:val="auto"/>
          <w:sz w:val="32"/>
          <w:szCs w:val="32"/>
        </w:rPr>
        <w:t>%。</w:t>
      </w:r>
      <w:bookmarkEnd w:id="46"/>
      <w:bookmarkEnd w:id="47"/>
    </w:p>
    <w:p>
      <w:pPr>
        <w:pStyle w:val="2"/>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drawing>
          <wp:inline distT="0" distB="0" distL="114300" distR="114300">
            <wp:extent cx="3937000" cy="3182620"/>
            <wp:effectExtent l="4445" t="4445" r="20955"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jc w:val="center"/>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rPr>
        <w:t>（图2：收入决算结构图）（饼状图）</w:t>
      </w:r>
    </w:p>
    <w:p>
      <w:pPr>
        <w:pStyle w:val="23"/>
        <w:numPr>
          <w:ilvl w:val="0"/>
          <w:numId w:val="1"/>
        </w:numPr>
        <w:spacing w:line="600" w:lineRule="exact"/>
        <w:ind w:firstLineChars="0"/>
        <w:outlineLvl w:val="1"/>
        <w:rPr>
          <w:rStyle w:val="25"/>
          <w:rFonts w:ascii="黑体" w:hAnsi="黑体" w:eastAsia="黑体"/>
          <w:b w:val="0"/>
          <w:color w:val="auto"/>
        </w:rPr>
      </w:pPr>
      <w:bookmarkStart w:id="48" w:name="_Toc15396605"/>
      <w:bookmarkStart w:id="49" w:name="_Toc19152"/>
      <w:bookmarkStart w:id="50" w:name="_Toc15377207"/>
      <w:bookmarkStart w:id="51" w:name="_Toc22964"/>
      <w:bookmarkStart w:id="52" w:name="_Toc27278_WPSOffice_Level2"/>
      <w:r>
        <w:rPr>
          <w:rFonts w:hint="eastAsia" w:ascii="黑体" w:hAnsi="黑体" w:eastAsia="黑体"/>
          <w:color w:val="auto"/>
          <w:sz w:val="32"/>
          <w:szCs w:val="32"/>
        </w:rPr>
        <w:t>支</w:t>
      </w:r>
      <w:r>
        <w:rPr>
          <w:rStyle w:val="25"/>
          <w:rFonts w:hint="eastAsia" w:ascii="黑体" w:hAnsi="黑体" w:eastAsia="黑体"/>
          <w:b w:val="0"/>
          <w:color w:val="auto"/>
        </w:rPr>
        <w:t>出决算情况说明</w:t>
      </w:r>
      <w:bookmarkEnd w:id="48"/>
      <w:bookmarkEnd w:id="49"/>
      <w:bookmarkEnd w:id="50"/>
      <w:bookmarkEnd w:id="51"/>
      <w:bookmarkEnd w:id="52"/>
    </w:p>
    <w:p>
      <w:pPr>
        <w:spacing w:line="600" w:lineRule="exact"/>
        <w:ind w:firstLine="640" w:firstLineChars="200"/>
        <w:outlineLvl w:val="1"/>
        <w:rPr>
          <w:rFonts w:hint="eastAsia" w:ascii="仿宋_GB2312" w:hAnsi="仿宋_GB2312" w:eastAsia="仿宋_GB2312" w:cs="仿宋_GB2312"/>
          <w:color w:val="auto"/>
          <w:sz w:val="32"/>
          <w:szCs w:val="32"/>
        </w:rPr>
      </w:pPr>
      <w:bookmarkStart w:id="53" w:name="_Toc31006"/>
      <w:bookmarkStart w:id="54" w:name="_Toc26556"/>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年本年支出合计</w:t>
      </w:r>
      <w:r>
        <w:rPr>
          <w:rFonts w:hint="eastAsia" w:ascii="仿宋_GB2312" w:hAnsi="仿宋_GB2312" w:eastAsia="仿宋_GB2312" w:cs="仿宋_GB2312"/>
          <w:color w:val="auto"/>
          <w:sz w:val="32"/>
          <w:szCs w:val="32"/>
          <w:lang w:val="en-US" w:eastAsia="zh-CN"/>
        </w:rPr>
        <w:t>20963.30</w:t>
      </w:r>
      <w:r>
        <w:rPr>
          <w:rFonts w:hint="eastAsia" w:ascii="仿宋_GB2312" w:hAnsi="仿宋_GB2312" w:eastAsia="仿宋_GB2312" w:cs="仿宋_GB2312"/>
          <w:color w:val="auto"/>
          <w:sz w:val="32"/>
          <w:szCs w:val="32"/>
        </w:rPr>
        <w:t>万元，其中：基本支出</w:t>
      </w:r>
      <w:r>
        <w:rPr>
          <w:rFonts w:hint="eastAsia" w:ascii="仿宋_GB2312" w:hAnsi="仿宋_GB2312" w:eastAsia="仿宋_GB2312" w:cs="仿宋_GB2312"/>
          <w:color w:val="auto"/>
          <w:sz w:val="32"/>
          <w:szCs w:val="32"/>
          <w:lang w:val="en-US" w:eastAsia="zh-CN"/>
        </w:rPr>
        <w:t>6008.28</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28.66</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14955.02</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71.34</w:t>
      </w:r>
      <w:r>
        <w:rPr>
          <w:rFonts w:hint="eastAsia" w:ascii="仿宋_GB2312" w:hAnsi="仿宋_GB2312" w:eastAsia="仿宋_GB2312" w:cs="仿宋_GB2312"/>
          <w:color w:val="auto"/>
          <w:sz w:val="32"/>
          <w:szCs w:val="32"/>
        </w:rPr>
        <w:t>%；上缴上级支出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%；经营支出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%；对附属单位补助支出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bookmarkEnd w:id="53"/>
      <w:bookmarkEnd w:id="54"/>
    </w:p>
    <w:p>
      <w:pPr>
        <w:pStyle w:val="2"/>
        <w:jc w:val="center"/>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drawing>
          <wp:inline distT="0" distB="0" distL="114300" distR="114300">
            <wp:extent cx="4096385" cy="3183890"/>
            <wp:effectExtent l="4445" t="5080" r="13970" b="1143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jc w:val="center"/>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rPr>
        <w:t>（图3：支出决算结构图）（饼状图）</w:t>
      </w:r>
    </w:p>
    <w:p>
      <w:pPr>
        <w:spacing w:line="600" w:lineRule="exact"/>
        <w:ind w:firstLine="640" w:firstLineChars="200"/>
        <w:outlineLvl w:val="1"/>
        <w:rPr>
          <w:rStyle w:val="25"/>
          <w:rFonts w:ascii="黑体" w:hAnsi="黑体" w:eastAsia="黑体"/>
          <w:b w:val="0"/>
          <w:color w:val="auto"/>
        </w:rPr>
      </w:pPr>
      <w:bookmarkStart w:id="55" w:name="_Toc1451"/>
      <w:bookmarkStart w:id="56" w:name="_Toc15377208"/>
      <w:bookmarkStart w:id="57" w:name="_Toc15396606"/>
      <w:bookmarkStart w:id="58" w:name="_Toc25614_WPSOffice_Level2"/>
      <w:bookmarkStart w:id="59" w:name="_Toc6822"/>
      <w:r>
        <w:rPr>
          <w:rFonts w:hint="eastAsia" w:ascii="黑体" w:hAnsi="黑体" w:eastAsia="黑体"/>
          <w:color w:val="auto"/>
          <w:sz w:val="32"/>
          <w:szCs w:val="32"/>
        </w:rPr>
        <w:t>四、财</w:t>
      </w:r>
      <w:r>
        <w:rPr>
          <w:rStyle w:val="25"/>
          <w:rFonts w:hint="eastAsia" w:ascii="黑体" w:hAnsi="黑体" w:eastAsia="黑体"/>
          <w:b w:val="0"/>
          <w:color w:val="auto"/>
        </w:rPr>
        <w:t>政拨款收入支出决算总体情况说明</w:t>
      </w:r>
      <w:bookmarkEnd w:id="55"/>
      <w:bookmarkEnd w:id="56"/>
      <w:bookmarkEnd w:id="57"/>
      <w:bookmarkEnd w:id="58"/>
      <w:bookmarkEnd w:id="59"/>
    </w:p>
    <w:p>
      <w:pPr>
        <w:spacing w:line="600" w:lineRule="exact"/>
        <w:ind w:firstLine="640" w:firstLineChars="20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年财政拨款收、支总计</w:t>
      </w:r>
      <w:r>
        <w:rPr>
          <w:rFonts w:hint="eastAsia" w:ascii="仿宋_GB2312" w:hAnsi="仿宋_GB2312" w:eastAsia="仿宋_GB2312" w:cs="仿宋_GB2312"/>
          <w:color w:val="auto"/>
          <w:sz w:val="32"/>
          <w:szCs w:val="32"/>
          <w:lang w:val="en-US" w:eastAsia="zh-CN"/>
        </w:rPr>
        <w:t>20963.65万</w:t>
      </w:r>
      <w:r>
        <w:rPr>
          <w:rFonts w:hint="eastAsia" w:ascii="仿宋_GB2312" w:hAnsi="仿宋_GB2312" w:eastAsia="仿宋_GB2312" w:cs="仿宋_GB2312"/>
          <w:color w:val="auto"/>
          <w:sz w:val="32"/>
          <w:szCs w:val="32"/>
        </w:rPr>
        <w:t>元。与201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年相比，财政拨款收、支总计各增加</w:t>
      </w:r>
      <w:r>
        <w:rPr>
          <w:rFonts w:hint="eastAsia" w:ascii="仿宋_GB2312" w:hAnsi="仿宋_GB2312" w:eastAsia="仿宋_GB2312" w:cs="仿宋_GB2312"/>
          <w:color w:val="auto"/>
          <w:sz w:val="32"/>
          <w:szCs w:val="32"/>
          <w:lang w:val="en-US" w:eastAsia="zh-CN"/>
        </w:rPr>
        <w:t>545.72</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2.67</w:t>
      </w:r>
      <w:r>
        <w:rPr>
          <w:rFonts w:hint="eastAsia" w:ascii="仿宋_GB2312" w:hAnsi="仿宋_GB2312" w:eastAsia="仿宋_GB2312" w:cs="仿宋_GB2312"/>
          <w:color w:val="auto"/>
          <w:sz w:val="32"/>
          <w:szCs w:val="32"/>
        </w:rPr>
        <w:t>%。主要变动原因是增加了</w:t>
      </w:r>
      <w:r>
        <w:rPr>
          <w:rFonts w:hint="eastAsia" w:ascii="仿宋_GB2312" w:hAnsi="仿宋_GB2312" w:eastAsia="仿宋_GB2312" w:cs="仿宋_GB2312"/>
          <w:color w:val="auto"/>
          <w:sz w:val="32"/>
          <w:szCs w:val="32"/>
          <w:lang w:eastAsia="zh-CN"/>
        </w:rPr>
        <w:t>全省服务业大会及峰会经费支出。</w:t>
      </w:r>
    </w:p>
    <w:p>
      <w:pPr>
        <w:pStyle w:val="2"/>
        <w:jc w:val="center"/>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
          <w:color w:val="auto"/>
          <w:sz w:val="32"/>
          <w:szCs w:val="32"/>
          <w:lang w:eastAsia="zh-CN"/>
        </w:rPr>
        <w:drawing>
          <wp:inline distT="0" distB="0" distL="114300" distR="114300">
            <wp:extent cx="4041140" cy="2914650"/>
            <wp:effectExtent l="4445" t="4445" r="1206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jc w:val="center"/>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（图4：财政拨款收、支决算总计变动情况）（柱状图）</w:t>
      </w:r>
    </w:p>
    <w:p>
      <w:pPr>
        <w:spacing w:line="600" w:lineRule="exact"/>
        <w:ind w:firstLine="640" w:firstLineChars="200"/>
        <w:outlineLvl w:val="1"/>
        <w:rPr>
          <w:rStyle w:val="25"/>
          <w:rFonts w:ascii="黑体" w:hAnsi="黑体" w:eastAsia="黑体"/>
          <w:b w:val="0"/>
          <w:color w:val="auto"/>
        </w:rPr>
      </w:pPr>
      <w:bookmarkStart w:id="60" w:name="_Toc15396607"/>
      <w:bookmarkStart w:id="61" w:name="_Toc18410_WPSOffice_Level2"/>
      <w:bookmarkStart w:id="62" w:name="_Toc15377209"/>
      <w:bookmarkStart w:id="63" w:name="_Toc19556"/>
      <w:bookmarkStart w:id="64" w:name="_Toc19577"/>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般公共预算财政拨款支出决算情况说明</w:t>
      </w:r>
      <w:bookmarkEnd w:id="60"/>
      <w:bookmarkEnd w:id="61"/>
      <w:bookmarkEnd w:id="62"/>
      <w:bookmarkEnd w:id="63"/>
      <w:bookmarkEnd w:id="64"/>
    </w:p>
    <w:p>
      <w:pPr>
        <w:spacing w:line="600" w:lineRule="exact"/>
        <w:ind w:firstLine="642" w:firstLineChars="200"/>
        <w:outlineLvl w:val="2"/>
        <w:rPr>
          <w:rFonts w:hint="eastAsia" w:ascii="仿宋_GB2312" w:hAnsi="仿宋_GB2312" w:eastAsia="仿宋_GB2312" w:cs="仿宋_GB2312"/>
          <w:b/>
          <w:color w:val="auto"/>
          <w:sz w:val="32"/>
          <w:szCs w:val="32"/>
        </w:rPr>
      </w:pPr>
      <w:bookmarkStart w:id="65" w:name="_Toc19530_WPSOffice_Level3"/>
      <w:bookmarkStart w:id="66" w:name="_Toc15377210"/>
      <w:bookmarkStart w:id="67" w:name="_Toc24856"/>
      <w:r>
        <w:rPr>
          <w:rFonts w:hint="eastAsia" w:ascii="仿宋_GB2312" w:hAnsi="仿宋_GB2312" w:eastAsia="仿宋_GB2312" w:cs="仿宋_GB2312"/>
          <w:b/>
          <w:color w:val="auto"/>
          <w:sz w:val="32"/>
          <w:szCs w:val="32"/>
        </w:rPr>
        <w:t>（一）一般公共预算财政拨款支出决算总体情况</w:t>
      </w:r>
      <w:bookmarkEnd w:id="65"/>
      <w:bookmarkEnd w:id="66"/>
      <w:bookmarkEnd w:id="67"/>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年一般公共预算财政拨款支出</w:t>
      </w:r>
      <w:r>
        <w:rPr>
          <w:rFonts w:hint="eastAsia" w:ascii="仿宋_GB2312" w:hAnsi="仿宋_GB2312" w:eastAsia="仿宋_GB2312" w:cs="仿宋_GB2312"/>
          <w:color w:val="auto"/>
          <w:sz w:val="32"/>
          <w:szCs w:val="32"/>
          <w:lang w:val="en-US" w:eastAsia="zh-CN"/>
        </w:rPr>
        <w:t>20925.49</w:t>
      </w:r>
      <w:r>
        <w:rPr>
          <w:rFonts w:hint="eastAsia" w:ascii="仿宋_GB2312" w:hAnsi="仿宋_GB2312" w:eastAsia="仿宋_GB2312" w:cs="仿宋_GB2312"/>
          <w:color w:val="auto"/>
          <w:sz w:val="32"/>
          <w:szCs w:val="32"/>
        </w:rPr>
        <w:t>万元，占本年支出合计的</w:t>
      </w:r>
      <w:r>
        <w:rPr>
          <w:rFonts w:hint="eastAsia" w:ascii="仿宋_GB2312" w:hAnsi="仿宋_GB2312" w:eastAsia="仿宋_GB2312" w:cs="仿宋_GB2312"/>
          <w:color w:val="auto"/>
          <w:sz w:val="32"/>
          <w:szCs w:val="32"/>
          <w:lang w:val="en-US" w:eastAsia="zh-CN"/>
        </w:rPr>
        <w:t>99.82</w:t>
      </w:r>
      <w:r>
        <w:rPr>
          <w:rFonts w:hint="eastAsia" w:ascii="仿宋_GB2312" w:hAnsi="仿宋_GB2312" w:eastAsia="仿宋_GB2312" w:cs="仿宋_GB2312"/>
          <w:color w:val="auto"/>
          <w:sz w:val="32"/>
          <w:szCs w:val="32"/>
        </w:rPr>
        <w:t>%。与201</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年相比，一般公共预算财政拨款增加</w:t>
      </w:r>
      <w:r>
        <w:rPr>
          <w:rFonts w:hint="eastAsia" w:ascii="仿宋_GB2312" w:hAnsi="仿宋_GB2312" w:eastAsia="仿宋_GB2312" w:cs="仿宋_GB2312"/>
          <w:color w:val="auto"/>
          <w:sz w:val="32"/>
          <w:szCs w:val="32"/>
          <w:lang w:val="en-US" w:eastAsia="zh-CN"/>
        </w:rPr>
        <w:t>12545.82</w:t>
      </w:r>
      <w:r>
        <w:rPr>
          <w:rFonts w:hint="eastAsia" w:ascii="仿宋_GB2312" w:hAnsi="仿宋_GB2312" w:eastAsia="仿宋_GB2312" w:cs="仿宋_GB2312"/>
          <w:color w:val="auto"/>
          <w:sz w:val="32"/>
          <w:szCs w:val="32"/>
        </w:rPr>
        <w:t>万元，增长</w:t>
      </w:r>
      <w:r>
        <w:rPr>
          <w:rFonts w:hint="eastAsia" w:ascii="仿宋_GB2312" w:hAnsi="仿宋_GB2312" w:eastAsia="仿宋_GB2312" w:cs="仿宋_GB2312"/>
          <w:color w:val="auto"/>
          <w:sz w:val="32"/>
          <w:szCs w:val="32"/>
          <w:lang w:val="en-US" w:eastAsia="zh-CN"/>
        </w:rPr>
        <w:t>149.72</w:t>
      </w:r>
      <w:r>
        <w:rPr>
          <w:rFonts w:hint="eastAsia" w:ascii="仿宋_GB2312" w:hAnsi="仿宋_GB2312" w:eastAsia="仿宋_GB2312" w:cs="仿宋_GB2312"/>
          <w:color w:val="auto"/>
          <w:sz w:val="32"/>
          <w:szCs w:val="32"/>
        </w:rPr>
        <w:t>%。主要变动原因是当年财政追加“服保贷”风险补偿资金池补助资金1.2亿元</w:t>
      </w:r>
      <w:r>
        <w:rPr>
          <w:rFonts w:hint="eastAsia" w:ascii="仿宋_GB2312" w:hAnsi="仿宋_GB2312" w:eastAsia="仿宋_GB2312" w:cs="仿宋_GB2312"/>
          <w:color w:val="auto"/>
          <w:sz w:val="32"/>
          <w:szCs w:val="32"/>
          <w:lang w:eastAsia="zh-CN"/>
        </w:rPr>
        <w:t>和四川省服务业大会及峰会专项资金等活动资金。</w:t>
      </w:r>
    </w:p>
    <w:p>
      <w:pPr>
        <w:pStyle w:val="2"/>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drawing>
          <wp:inline distT="0" distB="0" distL="114300" distR="114300">
            <wp:extent cx="4318000" cy="3373755"/>
            <wp:effectExtent l="4445" t="4445" r="20955" b="1270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（图5：一般公共预算财政拨款支出决算变动情况）（柱状图）</w:t>
      </w:r>
    </w:p>
    <w:p>
      <w:pPr>
        <w:spacing w:line="600" w:lineRule="exact"/>
        <w:ind w:firstLine="642" w:firstLineChars="200"/>
        <w:outlineLvl w:val="2"/>
        <w:rPr>
          <w:rFonts w:hint="eastAsia" w:ascii="仿宋_GB2312" w:hAnsi="仿宋_GB2312" w:eastAsia="仿宋_GB2312" w:cs="仿宋_GB2312"/>
          <w:b/>
          <w:color w:val="auto"/>
          <w:sz w:val="32"/>
          <w:szCs w:val="32"/>
        </w:rPr>
      </w:pPr>
      <w:bookmarkStart w:id="68" w:name="_Toc7783"/>
      <w:bookmarkStart w:id="69" w:name="_Toc15377211"/>
      <w:bookmarkStart w:id="70" w:name="_Toc25849_WPSOffice_Level3"/>
      <w:r>
        <w:rPr>
          <w:rFonts w:hint="eastAsia" w:ascii="仿宋_GB2312" w:hAnsi="仿宋_GB2312" w:eastAsia="仿宋_GB2312" w:cs="仿宋_GB2312"/>
          <w:b/>
          <w:color w:val="auto"/>
          <w:sz w:val="32"/>
          <w:szCs w:val="32"/>
        </w:rPr>
        <w:t>（二）一般公共预算财政拨款支出决算结构情况</w:t>
      </w:r>
      <w:bookmarkEnd w:id="68"/>
      <w:bookmarkEnd w:id="69"/>
      <w:bookmarkEnd w:id="70"/>
    </w:p>
    <w:p>
      <w:pPr>
        <w:spacing w:line="600" w:lineRule="exact"/>
        <w:ind w:firstLine="640"/>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年一般公共预算财政拨款支出</w:t>
      </w:r>
      <w:r>
        <w:rPr>
          <w:rFonts w:hint="eastAsia" w:ascii="仿宋_GB2312" w:hAnsi="仿宋_GB2312" w:eastAsia="仿宋_GB2312" w:cs="仿宋_GB2312"/>
          <w:color w:val="auto"/>
          <w:sz w:val="32"/>
          <w:szCs w:val="32"/>
          <w:lang w:val="en-US" w:eastAsia="zh-CN"/>
        </w:rPr>
        <w:t>20925.49</w:t>
      </w:r>
      <w:r>
        <w:rPr>
          <w:rFonts w:hint="eastAsia" w:ascii="仿宋_GB2312" w:hAnsi="仿宋_GB2312" w:eastAsia="仿宋_GB2312" w:cs="仿宋_GB2312"/>
          <w:color w:val="auto"/>
          <w:sz w:val="32"/>
          <w:szCs w:val="32"/>
        </w:rPr>
        <w:t>万元，主要用于以下方面:</w:t>
      </w:r>
      <w:bookmarkStart w:id="71" w:name="OLE_LINK1"/>
      <w:r>
        <w:rPr>
          <w:rFonts w:hint="eastAsia" w:ascii="仿宋_GB2312" w:hAnsi="仿宋_GB2312" w:eastAsia="仿宋_GB2312" w:cs="仿宋_GB2312"/>
          <w:color w:val="auto"/>
          <w:sz w:val="32"/>
          <w:szCs w:val="32"/>
        </w:rPr>
        <w:t>一般公共服务（类）支出</w:t>
      </w:r>
      <w:bookmarkEnd w:id="71"/>
      <w:r>
        <w:rPr>
          <w:rFonts w:hint="eastAsia" w:ascii="仿宋_GB2312" w:hAnsi="仿宋_GB2312" w:eastAsia="仿宋_GB2312" w:cs="仿宋_GB2312"/>
          <w:color w:val="auto"/>
          <w:sz w:val="32"/>
          <w:szCs w:val="32"/>
          <w:lang w:val="en-US" w:eastAsia="zh-CN"/>
        </w:rPr>
        <w:t>4187.06</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20.01</w:t>
      </w:r>
      <w:r>
        <w:rPr>
          <w:rFonts w:hint="eastAsia" w:ascii="仿宋_GB2312" w:hAnsi="仿宋_GB2312" w:eastAsia="仿宋_GB2312" w:cs="仿宋_GB2312"/>
          <w:color w:val="auto"/>
          <w:sz w:val="32"/>
          <w:szCs w:val="32"/>
        </w:rPr>
        <w:t>%；</w:t>
      </w:r>
      <w:bookmarkStart w:id="72" w:name="OLE_LINK2"/>
      <w:r>
        <w:rPr>
          <w:rFonts w:hint="eastAsia" w:ascii="仿宋_GB2312" w:hAnsi="仿宋_GB2312" w:eastAsia="仿宋_GB2312" w:cs="仿宋_GB2312"/>
          <w:color w:val="auto"/>
          <w:sz w:val="32"/>
          <w:szCs w:val="32"/>
        </w:rPr>
        <w:t>教育支出（类）</w:t>
      </w:r>
      <w:r>
        <w:rPr>
          <w:rFonts w:hint="eastAsia" w:ascii="仿宋_GB2312" w:hAnsi="仿宋_GB2312" w:eastAsia="仿宋_GB2312" w:cs="仿宋_GB2312"/>
          <w:color w:val="auto"/>
          <w:sz w:val="32"/>
          <w:szCs w:val="32"/>
          <w:lang w:eastAsia="zh-CN"/>
        </w:rPr>
        <w:t>支出</w:t>
      </w:r>
      <w:bookmarkEnd w:id="72"/>
      <w:r>
        <w:rPr>
          <w:rFonts w:hint="eastAsia" w:ascii="仿宋_GB2312" w:hAnsi="仿宋_GB2312" w:eastAsia="仿宋_GB2312" w:cs="仿宋_GB2312"/>
          <w:color w:val="auto"/>
          <w:sz w:val="32"/>
          <w:szCs w:val="32"/>
          <w:lang w:val="en-US" w:eastAsia="zh-CN"/>
        </w:rPr>
        <w:t>33.08</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0.16</w:t>
      </w:r>
      <w:r>
        <w:rPr>
          <w:rFonts w:hint="eastAsia" w:ascii="仿宋_GB2312" w:hAnsi="仿宋_GB2312" w:eastAsia="仿宋_GB2312" w:cs="仿宋_GB2312"/>
          <w:color w:val="auto"/>
          <w:sz w:val="32"/>
          <w:szCs w:val="32"/>
        </w:rPr>
        <w:t>%；</w:t>
      </w:r>
      <w:bookmarkStart w:id="73" w:name="OLE_LINK3"/>
      <w:r>
        <w:rPr>
          <w:rFonts w:hint="eastAsia" w:ascii="仿宋_GB2312" w:hAnsi="仿宋_GB2312" w:eastAsia="仿宋_GB2312" w:cs="仿宋_GB2312"/>
          <w:color w:val="auto"/>
          <w:sz w:val="32"/>
          <w:szCs w:val="32"/>
        </w:rPr>
        <w:t>科学技术（类）支出</w:t>
      </w:r>
      <w:bookmarkEnd w:id="73"/>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0.03</w:t>
      </w:r>
      <w:r>
        <w:rPr>
          <w:rFonts w:hint="eastAsia" w:ascii="仿宋_GB2312" w:hAnsi="仿宋_GB2312" w:eastAsia="仿宋_GB2312" w:cs="仿宋_GB2312"/>
          <w:color w:val="auto"/>
          <w:sz w:val="32"/>
          <w:szCs w:val="32"/>
        </w:rPr>
        <w:t>%；</w:t>
      </w:r>
      <w:bookmarkStart w:id="74" w:name="OLE_LINK4"/>
      <w:r>
        <w:rPr>
          <w:rFonts w:hint="eastAsia" w:ascii="仿宋_GB2312" w:hAnsi="仿宋_GB2312" w:eastAsia="仿宋_GB2312" w:cs="仿宋_GB2312"/>
          <w:color w:val="auto"/>
          <w:sz w:val="32"/>
          <w:szCs w:val="32"/>
        </w:rPr>
        <w:t>社会保障和就业（类）支出</w:t>
      </w:r>
      <w:bookmarkEnd w:id="74"/>
      <w:r>
        <w:rPr>
          <w:rFonts w:hint="eastAsia" w:ascii="仿宋_GB2312" w:hAnsi="仿宋_GB2312" w:eastAsia="仿宋_GB2312" w:cs="仿宋_GB2312"/>
          <w:color w:val="auto"/>
          <w:sz w:val="32"/>
          <w:szCs w:val="32"/>
          <w:lang w:val="en-US" w:eastAsia="zh-CN"/>
        </w:rPr>
        <w:t>1651.49</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7.89</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278.50</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1.33</w:t>
      </w:r>
      <w:r>
        <w:rPr>
          <w:rFonts w:hint="eastAsia" w:ascii="仿宋_GB2312" w:hAnsi="仿宋_GB2312" w:eastAsia="仿宋_GB2312" w:cs="仿宋_GB2312"/>
          <w:color w:val="auto"/>
          <w:sz w:val="32"/>
          <w:szCs w:val="32"/>
        </w:rPr>
        <w:t>%；商业服务业等支出</w:t>
      </w:r>
      <w:r>
        <w:rPr>
          <w:rFonts w:hint="eastAsia" w:ascii="仿宋_GB2312" w:hAnsi="仿宋_GB2312" w:eastAsia="仿宋_GB2312" w:cs="仿宋_GB2312"/>
          <w:color w:val="auto"/>
          <w:sz w:val="32"/>
          <w:szCs w:val="32"/>
          <w:lang w:val="en-US" w:eastAsia="zh-CN"/>
        </w:rPr>
        <w:t>14176.47万元，占67.75%；</w:t>
      </w:r>
      <w:r>
        <w:rPr>
          <w:rFonts w:hint="eastAsia" w:ascii="仿宋_GB2312" w:hAnsi="仿宋_GB2312" w:eastAsia="仿宋_GB2312" w:cs="仿宋_GB2312"/>
          <w:color w:val="auto"/>
          <w:sz w:val="32"/>
          <w:szCs w:val="32"/>
        </w:rPr>
        <w:t>住房保障</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587.89</w:t>
      </w:r>
      <w:r>
        <w:rPr>
          <w:rFonts w:hint="eastAsia" w:ascii="仿宋_GB2312" w:hAnsi="仿宋_GB2312" w:eastAsia="仿宋_GB2312" w:cs="仿宋_GB2312"/>
          <w:color w:val="auto"/>
          <w:sz w:val="32"/>
          <w:szCs w:val="32"/>
        </w:rPr>
        <w:t>万元，占</w:t>
      </w:r>
      <w:r>
        <w:rPr>
          <w:rFonts w:hint="eastAsia" w:ascii="仿宋_GB2312" w:hAnsi="仿宋_GB2312" w:eastAsia="仿宋_GB2312" w:cs="仿宋_GB2312"/>
          <w:color w:val="auto"/>
          <w:sz w:val="32"/>
          <w:szCs w:val="32"/>
          <w:lang w:val="en-US" w:eastAsia="zh-CN"/>
        </w:rPr>
        <w:t>2.81</w:t>
      </w:r>
      <w:r>
        <w:rPr>
          <w:rFonts w:hint="eastAsia" w:ascii="仿宋_GB2312" w:hAnsi="仿宋_GB2312" w:eastAsia="仿宋_GB2312" w:cs="仿宋_GB2312"/>
          <w:color w:val="auto"/>
          <w:sz w:val="32"/>
          <w:szCs w:val="32"/>
        </w:rPr>
        <w:t>%；灾害防治及应急管理</w:t>
      </w:r>
      <w:r>
        <w:rPr>
          <w:rFonts w:hint="eastAsia" w:ascii="仿宋_GB2312" w:hAnsi="仿宋_GB2312" w:eastAsia="仿宋_GB2312" w:cs="仿宋_GB2312"/>
          <w:color w:val="auto"/>
          <w:sz w:val="32"/>
          <w:szCs w:val="32"/>
          <w:lang w:eastAsia="zh-CN"/>
        </w:rPr>
        <w:t>（类）</w:t>
      </w:r>
      <w:r>
        <w:rPr>
          <w:rFonts w:hint="eastAsia" w:ascii="仿宋_GB2312" w:hAnsi="仿宋_GB2312" w:eastAsia="仿宋_GB2312" w:cs="仿宋_GB2312"/>
          <w:color w:val="auto"/>
          <w:sz w:val="32"/>
          <w:szCs w:val="32"/>
        </w:rPr>
        <w:t>支出</w:t>
      </w:r>
      <w:r>
        <w:rPr>
          <w:rFonts w:hint="eastAsia" w:ascii="仿宋_GB2312" w:hAnsi="仿宋_GB2312" w:eastAsia="仿宋_GB2312" w:cs="仿宋_GB2312"/>
          <w:color w:val="auto"/>
          <w:sz w:val="32"/>
          <w:szCs w:val="32"/>
          <w:lang w:val="en-US" w:eastAsia="zh-CN"/>
        </w:rPr>
        <w:t>5万元，占0.</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02%</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pStyle w:val="2"/>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drawing>
          <wp:inline distT="0" distB="0" distL="114300" distR="114300">
            <wp:extent cx="4057015" cy="3820795"/>
            <wp:effectExtent l="5080" t="4445" r="14605" b="2286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（图6：一般公共预算财政拨款支出决算结构）（饼状图）</w:t>
      </w:r>
    </w:p>
    <w:p>
      <w:pPr>
        <w:spacing w:line="600" w:lineRule="exact"/>
        <w:ind w:firstLine="642" w:firstLineChars="200"/>
        <w:outlineLvl w:val="2"/>
        <w:rPr>
          <w:rFonts w:hint="eastAsia" w:ascii="仿宋_GB2312" w:hAnsi="仿宋_GB2312" w:eastAsia="仿宋_GB2312" w:cs="仿宋_GB2312"/>
          <w:b/>
          <w:color w:val="auto"/>
          <w:sz w:val="32"/>
          <w:szCs w:val="32"/>
        </w:rPr>
      </w:pPr>
      <w:bookmarkStart w:id="75" w:name="_Toc18602"/>
      <w:bookmarkStart w:id="76" w:name="_Toc15377212"/>
      <w:bookmarkStart w:id="77" w:name="_Toc31222_WPSOffice_Level3"/>
      <w:r>
        <w:rPr>
          <w:rFonts w:hint="eastAsia" w:ascii="仿宋_GB2312" w:hAnsi="仿宋_GB2312" w:eastAsia="仿宋_GB2312" w:cs="仿宋_GB2312"/>
          <w:b/>
          <w:color w:val="auto"/>
          <w:sz w:val="32"/>
          <w:szCs w:val="32"/>
        </w:rPr>
        <w:t>（三）一般公共预算财政拨款支出决算具体情况</w:t>
      </w:r>
      <w:bookmarkEnd w:id="75"/>
      <w:bookmarkEnd w:id="76"/>
      <w:bookmarkEnd w:id="77"/>
    </w:p>
    <w:p>
      <w:pPr>
        <w:spacing w:line="600" w:lineRule="exact"/>
        <w:ind w:firstLine="642" w:firstLineChars="200"/>
        <w:outlineLvl w:val="2"/>
        <w:rPr>
          <w:rFonts w:hint="eastAsia" w:ascii="仿宋_GB2312" w:hAnsi="仿宋_GB2312" w:eastAsia="仿宋_GB2312" w:cs="仿宋_GB2312"/>
          <w:color w:val="FF0000"/>
          <w:sz w:val="32"/>
          <w:szCs w:val="32"/>
        </w:rPr>
      </w:pPr>
      <w:bookmarkStart w:id="78" w:name="_Toc15377213"/>
      <w:bookmarkStart w:id="79" w:name="_Toc26109"/>
      <w:bookmarkStart w:id="80" w:name="_Toc15377444"/>
      <w:bookmarkStart w:id="81" w:name="_Toc15378460"/>
      <w:r>
        <w:rPr>
          <w:rFonts w:hint="eastAsia" w:ascii="仿宋_GB2312" w:hAnsi="仿宋_GB2312" w:eastAsia="仿宋_GB2312" w:cs="仿宋_GB2312"/>
          <w:b/>
          <w:color w:val="000000" w:themeColor="text1"/>
          <w:sz w:val="32"/>
          <w:szCs w:val="32"/>
          <w14:textFill>
            <w14:solidFill>
              <w14:schemeClr w14:val="tx1"/>
            </w14:solidFill>
          </w14:textFill>
        </w:rPr>
        <w:t>20</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b/>
          <w:color w:val="000000" w:themeColor="text1"/>
          <w:sz w:val="32"/>
          <w:szCs w:val="32"/>
          <w14:textFill>
            <w14:solidFill>
              <w14:schemeClr w14:val="tx1"/>
            </w14:solidFill>
          </w14:textFill>
        </w:rPr>
        <w:t>年</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color w:val="000000" w:themeColor="text1"/>
          <w:sz w:val="32"/>
          <w:szCs w:val="32"/>
          <w14:textFill>
            <w14:solidFill>
              <w14:schemeClr w14:val="tx1"/>
            </w14:solidFill>
          </w14:textFill>
        </w:rPr>
        <w:t>般公共预算支出决算数为</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20925.49万元</w:t>
      </w:r>
      <w:r>
        <w:rPr>
          <w:rFonts w:hint="eastAsia" w:ascii="仿宋_GB2312" w:hAnsi="仿宋_GB2312" w:eastAsia="仿宋_GB2312" w:cs="仿宋_GB2312"/>
          <w:color w:val="000000" w:themeColor="text1"/>
          <w:sz w:val="32"/>
          <w:szCs w:val="32"/>
          <w14:textFill>
            <w14:solidFill>
              <w14:schemeClr w14:val="tx1"/>
            </w14:solidFill>
          </w14:textFill>
        </w:rPr>
        <w:t>，</w:t>
      </w:r>
      <w:r>
        <w:rPr>
          <w:rStyle w:val="14"/>
          <w:rFonts w:hint="eastAsia" w:ascii="仿宋_GB2312" w:hAnsi="仿宋_GB2312" w:eastAsia="仿宋_GB2312" w:cs="仿宋_GB2312"/>
          <w:bCs/>
          <w:color w:val="000000" w:themeColor="text1"/>
          <w:sz w:val="32"/>
          <w:szCs w:val="32"/>
          <w14:textFill>
            <w14:solidFill>
              <w14:schemeClr w14:val="tx1"/>
            </w14:solidFill>
          </w14:textFill>
        </w:rPr>
        <w:t>完成</w:t>
      </w:r>
      <w:r>
        <w:rPr>
          <w:rStyle w:val="14"/>
          <w:rFonts w:hint="eastAsia" w:ascii="仿宋_GB2312" w:hAnsi="仿宋_GB2312" w:eastAsia="仿宋_GB2312" w:cs="仿宋_GB2312"/>
          <w:bCs/>
          <w:color w:val="000000"/>
          <w:sz w:val="32"/>
          <w:szCs w:val="32"/>
        </w:rPr>
        <w:t>预算</w:t>
      </w:r>
      <w:r>
        <w:rPr>
          <w:rStyle w:val="14"/>
          <w:rFonts w:hint="eastAsia" w:ascii="仿宋_GB2312" w:hAnsi="仿宋_GB2312" w:eastAsia="仿宋_GB2312" w:cs="仿宋_GB2312"/>
          <w:bCs/>
          <w:color w:val="000000"/>
          <w:sz w:val="32"/>
          <w:szCs w:val="32"/>
          <w:lang w:val="en-US" w:eastAsia="zh-CN"/>
        </w:rPr>
        <w:t>99.82</w:t>
      </w:r>
      <w:r>
        <w:rPr>
          <w:rStyle w:val="14"/>
          <w:rFonts w:hint="eastAsia" w:ascii="仿宋_GB2312" w:hAnsi="仿宋_GB2312" w:eastAsia="仿宋_GB2312" w:cs="仿宋_GB2312"/>
          <w:bCs/>
          <w:color w:val="000000"/>
          <w:sz w:val="32"/>
          <w:szCs w:val="32"/>
        </w:rPr>
        <w:t>%。其中：</w:t>
      </w:r>
      <w:bookmarkEnd w:id="78"/>
      <w:bookmarkEnd w:id="79"/>
      <w:bookmarkEnd w:id="80"/>
      <w:bookmarkEnd w:id="8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1.</w:t>
      </w:r>
      <w:r>
        <w:rPr>
          <w:rStyle w:val="14"/>
          <w:rFonts w:hint="eastAsia" w:ascii="仿宋_GB2312" w:hAnsi="仿宋_GB2312" w:eastAsia="仿宋_GB2312" w:cs="仿宋_GB2312"/>
          <w:bCs/>
          <w:color w:val="000000"/>
          <w:sz w:val="32"/>
          <w:szCs w:val="32"/>
        </w:rPr>
        <w:t>一般公共服务（类）</w:t>
      </w:r>
      <w:r>
        <w:rPr>
          <w:rStyle w:val="14"/>
          <w:rFonts w:hint="eastAsia" w:ascii="仿宋_GB2312" w:hAnsi="仿宋_GB2312" w:eastAsia="仿宋_GB2312" w:cs="仿宋_GB2312"/>
          <w:bCs/>
          <w:color w:val="000000"/>
          <w:sz w:val="32"/>
          <w:szCs w:val="32"/>
          <w:lang w:eastAsia="zh-CN"/>
        </w:rPr>
        <w:t>发展与改革事务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行政运行</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101.04</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lang w:val="en-US" w:eastAsia="zh-CN"/>
        </w:rPr>
        <w:t>2</w:t>
      </w:r>
      <w:r>
        <w:rPr>
          <w:rStyle w:val="14"/>
          <w:rFonts w:hint="eastAsia" w:ascii="仿宋_GB2312" w:hAnsi="仿宋_GB2312" w:eastAsia="仿宋_GB2312" w:cs="仿宋_GB2312"/>
          <w:bCs/>
          <w:color w:val="000000"/>
          <w:sz w:val="32"/>
          <w:szCs w:val="32"/>
        </w:rPr>
        <w:t>.一般公共服务（类）</w:t>
      </w:r>
      <w:r>
        <w:rPr>
          <w:rStyle w:val="14"/>
          <w:rFonts w:hint="eastAsia" w:ascii="仿宋_GB2312" w:hAnsi="仿宋_GB2312" w:eastAsia="仿宋_GB2312" w:cs="仿宋_GB2312"/>
          <w:bCs/>
          <w:color w:val="000000"/>
          <w:sz w:val="32"/>
          <w:szCs w:val="32"/>
          <w:lang w:eastAsia="zh-CN"/>
        </w:rPr>
        <w:t>商贸事务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行政运行</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2439.28</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98.36</w:t>
      </w:r>
      <w:r>
        <w:rPr>
          <w:rStyle w:val="14"/>
          <w:rFonts w:hint="eastAsia" w:ascii="仿宋_GB2312" w:hAnsi="仿宋_GB2312" w:eastAsia="仿宋_GB2312" w:cs="仿宋_GB2312"/>
          <w:b w:val="0"/>
          <w:bCs/>
          <w:color w:val="000000"/>
          <w:sz w:val="32"/>
          <w:szCs w:val="32"/>
        </w:rPr>
        <w:t>%</w:t>
      </w:r>
      <w:r>
        <w:rPr>
          <w:rStyle w:val="14"/>
          <w:rFonts w:hint="eastAsia" w:ascii="仿宋_GB2312" w:hAnsi="仿宋_GB2312" w:eastAsia="仿宋_GB2312" w:cs="仿宋_GB2312"/>
          <w:b w:val="0"/>
          <w:bCs/>
          <w:color w:val="000000"/>
          <w:sz w:val="32"/>
          <w:szCs w:val="32"/>
          <w:lang w:eastAsia="zh-CN"/>
        </w:rPr>
        <w:t>，</w:t>
      </w:r>
      <w:r>
        <w:rPr>
          <w:rStyle w:val="14"/>
          <w:rFonts w:hint="eastAsia" w:ascii="仿宋_GB2312" w:hAnsi="仿宋_GB2312" w:eastAsia="仿宋_GB2312" w:cs="仿宋_GB2312"/>
          <w:b w:val="0"/>
          <w:bCs/>
          <w:color w:val="000000"/>
          <w:sz w:val="32"/>
          <w:szCs w:val="32"/>
        </w:rPr>
        <w:t>决算数小于预算数的主要原因是</w:t>
      </w:r>
      <w:r>
        <w:rPr>
          <w:rStyle w:val="14"/>
          <w:rFonts w:hint="eastAsia" w:ascii="仿宋_GB2312" w:hAnsi="仿宋_GB2312" w:eastAsia="仿宋_GB2312" w:cs="仿宋_GB2312"/>
          <w:b w:val="0"/>
          <w:bCs/>
          <w:color w:val="000000"/>
          <w:sz w:val="32"/>
          <w:szCs w:val="32"/>
          <w:lang w:eastAsia="zh-CN"/>
        </w:rPr>
        <w:t>厅机关厉行节约，公用经费有部分结余</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lang w:val="en-US" w:eastAsia="zh-CN"/>
        </w:rPr>
        <w:t>3</w:t>
      </w:r>
      <w:r>
        <w:rPr>
          <w:rStyle w:val="14"/>
          <w:rFonts w:hint="eastAsia" w:ascii="仿宋_GB2312" w:hAnsi="仿宋_GB2312" w:eastAsia="仿宋_GB2312" w:cs="仿宋_GB2312"/>
          <w:bCs/>
          <w:color w:val="000000"/>
          <w:sz w:val="32"/>
          <w:szCs w:val="32"/>
        </w:rPr>
        <w:t>.一般公共服务（类）</w:t>
      </w:r>
      <w:r>
        <w:rPr>
          <w:rStyle w:val="14"/>
          <w:rFonts w:hint="eastAsia" w:ascii="仿宋_GB2312" w:hAnsi="仿宋_GB2312" w:eastAsia="仿宋_GB2312" w:cs="仿宋_GB2312"/>
          <w:bCs/>
          <w:color w:val="000000"/>
          <w:sz w:val="32"/>
          <w:szCs w:val="32"/>
          <w:lang w:eastAsia="zh-CN"/>
        </w:rPr>
        <w:t>商贸事务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一般行政管理事务</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1047.66</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4</w:t>
      </w:r>
      <w:r>
        <w:rPr>
          <w:rStyle w:val="14"/>
          <w:rFonts w:hint="eastAsia" w:ascii="仿宋_GB2312" w:hAnsi="仿宋_GB2312" w:eastAsia="仿宋_GB2312" w:cs="仿宋_GB2312"/>
          <w:bCs/>
          <w:color w:val="000000"/>
          <w:sz w:val="32"/>
          <w:szCs w:val="32"/>
        </w:rPr>
        <w:t>.一般公共服务（类）</w:t>
      </w:r>
      <w:r>
        <w:rPr>
          <w:rStyle w:val="14"/>
          <w:rFonts w:hint="eastAsia" w:ascii="仿宋_GB2312" w:hAnsi="仿宋_GB2312" w:eastAsia="仿宋_GB2312" w:cs="仿宋_GB2312"/>
          <w:bCs/>
          <w:color w:val="000000"/>
          <w:sz w:val="32"/>
          <w:szCs w:val="32"/>
          <w:lang w:eastAsia="zh-CN"/>
        </w:rPr>
        <w:t>商贸事务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其他商贸事务支出</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575.08</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lang w:val="en-US" w:eastAsia="zh-CN"/>
        </w:rPr>
        <w:t>5</w:t>
      </w:r>
      <w:r>
        <w:rPr>
          <w:rStyle w:val="14"/>
          <w:rFonts w:hint="eastAsia" w:ascii="仿宋_GB2312" w:hAnsi="仿宋_GB2312" w:eastAsia="仿宋_GB2312" w:cs="仿宋_GB2312"/>
          <w:bCs/>
          <w:color w:val="000000"/>
          <w:sz w:val="32"/>
          <w:szCs w:val="32"/>
        </w:rPr>
        <w:t>.一般公共服务（类）</w:t>
      </w:r>
      <w:r>
        <w:rPr>
          <w:rStyle w:val="14"/>
          <w:rFonts w:hint="eastAsia" w:ascii="仿宋_GB2312" w:hAnsi="仿宋_GB2312" w:eastAsia="仿宋_GB2312" w:cs="仿宋_GB2312"/>
          <w:bCs/>
          <w:color w:val="000000"/>
          <w:sz w:val="32"/>
          <w:szCs w:val="32"/>
          <w:lang w:eastAsia="zh-CN"/>
        </w:rPr>
        <w:t>组织事务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一般行政管理事务</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9</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lang w:val="en-US" w:eastAsia="zh-CN"/>
        </w:rPr>
        <w:t>6</w:t>
      </w:r>
      <w:r>
        <w:rPr>
          <w:rStyle w:val="14"/>
          <w:rFonts w:hint="eastAsia" w:ascii="仿宋_GB2312" w:hAnsi="仿宋_GB2312" w:eastAsia="仿宋_GB2312" w:cs="仿宋_GB2312"/>
          <w:bCs/>
          <w:color w:val="000000"/>
          <w:sz w:val="32"/>
          <w:szCs w:val="32"/>
        </w:rPr>
        <w:t>.一般公共服务（类）</w:t>
      </w:r>
      <w:r>
        <w:rPr>
          <w:rStyle w:val="14"/>
          <w:rFonts w:hint="eastAsia" w:ascii="仿宋_GB2312" w:hAnsi="仿宋_GB2312" w:eastAsia="仿宋_GB2312" w:cs="仿宋_GB2312"/>
          <w:bCs/>
          <w:color w:val="000000"/>
          <w:sz w:val="32"/>
          <w:szCs w:val="32"/>
          <w:lang w:eastAsia="zh-CN"/>
        </w:rPr>
        <w:t>市场监督管理事务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其他市场监督管理事务</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12</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lang w:val="en-US" w:eastAsia="zh-CN"/>
        </w:rPr>
        <w:t>7</w:t>
      </w:r>
      <w:r>
        <w:rPr>
          <w:rStyle w:val="14"/>
          <w:rFonts w:hint="eastAsia" w:ascii="仿宋_GB2312" w:hAnsi="仿宋_GB2312" w:eastAsia="仿宋_GB2312" w:cs="仿宋_GB2312"/>
          <w:bCs/>
          <w:color w:val="000000"/>
          <w:sz w:val="32"/>
          <w:szCs w:val="32"/>
        </w:rPr>
        <w:t>.一般公共服务（类）</w:t>
      </w:r>
      <w:r>
        <w:rPr>
          <w:rStyle w:val="14"/>
          <w:rFonts w:hint="eastAsia" w:ascii="仿宋_GB2312" w:hAnsi="仿宋_GB2312" w:eastAsia="仿宋_GB2312" w:cs="仿宋_GB2312"/>
          <w:bCs/>
          <w:color w:val="000000"/>
          <w:sz w:val="32"/>
          <w:szCs w:val="32"/>
          <w:lang w:eastAsia="zh-CN"/>
        </w:rPr>
        <w:t>其他一般公共服务支出</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其他一般公共服务支出</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3</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lang w:val="en-US" w:eastAsia="zh-CN"/>
        </w:rPr>
        <w:t>8</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教育支出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进修及培训</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培训支出</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33.08</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lang w:val="en-US" w:eastAsia="zh-CN"/>
        </w:rPr>
        <w:t>9</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科学技术支出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技术研究与开发</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其他技术研究及开发支出</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6</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1</w:t>
      </w:r>
      <w:r>
        <w:rPr>
          <w:rStyle w:val="14"/>
          <w:rFonts w:hint="eastAsia" w:ascii="仿宋_GB2312" w:hAnsi="仿宋_GB2312" w:eastAsia="仿宋_GB2312" w:cs="仿宋_GB2312"/>
          <w:bCs/>
          <w:color w:val="000000"/>
          <w:sz w:val="32"/>
          <w:szCs w:val="32"/>
          <w:lang w:val="en-US" w:eastAsia="zh-CN"/>
        </w:rPr>
        <w:t>0</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社会保障和就业支出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行政事业单位养老支出</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行政单位离退休</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1196.16</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1</w:t>
      </w:r>
      <w:r>
        <w:rPr>
          <w:rStyle w:val="14"/>
          <w:rFonts w:hint="eastAsia" w:ascii="仿宋_GB2312" w:hAnsi="仿宋_GB2312" w:eastAsia="仿宋_GB2312" w:cs="仿宋_GB2312"/>
          <w:bCs/>
          <w:color w:val="000000"/>
          <w:sz w:val="32"/>
          <w:szCs w:val="32"/>
          <w:lang w:val="en-US" w:eastAsia="zh-CN"/>
        </w:rPr>
        <w:t>1</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社会保障和就业支出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行政事业单位养老支出</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事业单位离退休</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42.95</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1</w:t>
      </w:r>
      <w:r>
        <w:rPr>
          <w:rStyle w:val="14"/>
          <w:rFonts w:hint="eastAsia" w:ascii="仿宋_GB2312" w:hAnsi="仿宋_GB2312" w:eastAsia="仿宋_GB2312" w:cs="仿宋_GB2312"/>
          <w:bCs/>
          <w:color w:val="000000"/>
          <w:sz w:val="32"/>
          <w:szCs w:val="32"/>
          <w:lang w:val="en-US" w:eastAsia="zh-CN"/>
        </w:rPr>
        <w:t>2</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社会保障和就业支出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行政事业单位养老支出</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机关事业单位基本养老保险缴费支出</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224.98</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1</w:t>
      </w:r>
      <w:r>
        <w:rPr>
          <w:rStyle w:val="14"/>
          <w:rFonts w:hint="eastAsia" w:ascii="仿宋_GB2312" w:hAnsi="仿宋_GB2312" w:eastAsia="仿宋_GB2312" w:cs="仿宋_GB2312"/>
          <w:bCs/>
          <w:color w:val="000000"/>
          <w:sz w:val="32"/>
          <w:szCs w:val="32"/>
          <w:lang w:val="en-US" w:eastAsia="zh-CN"/>
        </w:rPr>
        <w:t>3</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社会保障和就业支出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行政事业单位养老支出</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机关事业单位职业年金缴费支出</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34.56</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1</w:t>
      </w:r>
      <w:r>
        <w:rPr>
          <w:rStyle w:val="14"/>
          <w:rFonts w:hint="eastAsia" w:ascii="仿宋_GB2312" w:hAnsi="仿宋_GB2312" w:eastAsia="仿宋_GB2312" w:cs="仿宋_GB2312"/>
          <w:bCs/>
          <w:color w:val="000000"/>
          <w:sz w:val="32"/>
          <w:szCs w:val="32"/>
          <w:lang w:val="en-US" w:eastAsia="zh-CN"/>
        </w:rPr>
        <w:t>4</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社会保障和就业支出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抚恤</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死亡抚恤</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129.42</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b/>
          <w:color w:val="000000"/>
          <w:sz w:val="32"/>
          <w:szCs w:val="32"/>
        </w:rPr>
      </w:pPr>
      <w:r>
        <w:rPr>
          <w:rStyle w:val="14"/>
          <w:rFonts w:hint="eastAsia" w:ascii="仿宋_GB2312" w:hAnsi="仿宋_GB2312" w:eastAsia="仿宋_GB2312" w:cs="仿宋_GB2312"/>
          <w:bCs/>
          <w:color w:val="000000"/>
          <w:sz w:val="32"/>
          <w:szCs w:val="32"/>
        </w:rPr>
        <w:t>1</w:t>
      </w:r>
      <w:r>
        <w:rPr>
          <w:rStyle w:val="14"/>
          <w:rFonts w:hint="eastAsia" w:ascii="仿宋_GB2312" w:hAnsi="仿宋_GB2312" w:eastAsia="仿宋_GB2312" w:cs="仿宋_GB2312"/>
          <w:bCs/>
          <w:color w:val="000000"/>
          <w:sz w:val="32"/>
          <w:szCs w:val="32"/>
          <w:lang w:val="en-US" w:eastAsia="zh-CN"/>
        </w:rPr>
        <w:t>5</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社会保障和就业支出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其他社会保障和就业支出</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其他社会保障和就业支出</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23.42</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1</w:t>
      </w:r>
      <w:r>
        <w:rPr>
          <w:rStyle w:val="14"/>
          <w:rFonts w:hint="eastAsia" w:ascii="仿宋_GB2312" w:hAnsi="仿宋_GB2312" w:eastAsia="仿宋_GB2312" w:cs="仿宋_GB2312"/>
          <w:bCs/>
          <w:color w:val="000000"/>
          <w:sz w:val="32"/>
          <w:szCs w:val="32"/>
          <w:lang w:val="en-US" w:eastAsia="zh-CN"/>
        </w:rPr>
        <w:t>6</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卫生健康支出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行政事业单位医疗</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行政单位医疗</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22.10</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1</w:t>
      </w:r>
      <w:r>
        <w:rPr>
          <w:rStyle w:val="14"/>
          <w:rFonts w:hint="eastAsia" w:ascii="仿宋_GB2312" w:hAnsi="仿宋_GB2312" w:eastAsia="仿宋_GB2312" w:cs="仿宋_GB2312"/>
          <w:bCs/>
          <w:color w:val="000000"/>
          <w:sz w:val="32"/>
          <w:szCs w:val="32"/>
          <w:lang w:val="en-US" w:eastAsia="zh-CN"/>
        </w:rPr>
        <w:t>7</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卫生健康支出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行政事业单位医疗</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事业单位医疗</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169.18</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rPr>
        <w:t>1</w:t>
      </w:r>
      <w:r>
        <w:rPr>
          <w:rStyle w:val="14"/>
          <w:rFonts w:hint="eastAsia" w:ascii="仿宋_GB2312" w:hAnsi="仿宋_GB2312" w:eastAsia="仿宋_GB2312" w:cs="仿宋_GB2312"/>
          <w:bCs/>
          <w:color w:val="000000"/>
          <w:sz w:val="32"/>
          <w:szCs w:val="32"/>
          <w:lang w:val="en-US" w:eastAsia="zh-CN"/>
        </w:rPr>
        <w:t>8</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卫生健康支出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行政事业单位医疗</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公务员医疗补助</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87.22</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19</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商业服务业等支出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商业流通事务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其他商业流通事务支出</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13122.53</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20</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商业服务业等支出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涉外发展服务支出</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其他涉外发展服务支出</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95</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21</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商业服务业等支出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其他商业服务业等支出</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其他商业服务业等支出</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958.94</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22</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住房保障支出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住房改革支出</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住房公积金</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239.18</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Style w:val="14"/>
          <w:rFonts w:hint="eastAsia" w:ascii="仿宋_GB2312" w:hAnsi="仿宋_GB2312" w:eastAsia="仿宋_GB2312" w:cs="仿宋_GB2312"/>
          <w:b w:val="0"/>
          <w:bCs/>
          <w:color w:val="000000"/>
          <w:sz w:val="32"/>
          <w:szCs w:val="32"/>
        </w:rPr>
      </w:pPr>
      <w:r>
        <w:rPr>
          <w:rStyle w:val="14"/>
          <w:rFonts w:hint="eastAsia" w:ascii="仿宋_GB2312" w:hAnsi="仿宋_GB2312" w:eastAsia="仿宋_GB2312" w:cs="仿宋_GB2312"/>
          <w:bCs/>
          <w:color w:val="000000"/>
          <w:sz w:val="32"/>
          <w:szCs w:val="32"/>
          <w:lang w:val="en-US" w:eastAsia="zh-CN"/>
        </w:rPr>
        <w:t>23</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住房保障支出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住房改革支出</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购房补贴</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348.71</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b/>
          <w:color w:val="auto"/>
          <w:sz w:val="32"/>
          <w:szCs w:val="32"/>
        </w:rPr>
      </w:pPr>
      <w:r>
        <w:rPr>
          <w:rStyle w:val="14"/>
          <w:rFonts w:hint="eastAsia" w:ascii="仿宋_GB2312" w:hAnsi="仿宋_GB2312" w:eastAsia="仿宋_GB2312" w:cs="仿宋_GB2312"/>
          <w:bCs/>
          <w:color w:val="000000"/>
          <w:sz w:val="32"/>
          <w:szCs w:val="32"/>
          <w:lang w:val="en-US" w:eastAsia="zh-CN"/>
        </w:rPr>
        <w:t>24</w:t>
      </w:r>
      <w:r>
        <w:rPr>
          <w:rStyle w:val="14"/>
          <w:rFonts w:hint="eastAsia" w:ascii="仿宋_GB2312" w:hAnsi="仿宋_GB2312" w:eastAsia="仿宋_GB2312" w:cs="仿宋_GB2312"/>
          <w:bCs/>
          <w:color w:val="000000"/>
          <w:sz w:val="32"/>
          <w:szCs w:val="32"/>
        </w:rPr>
        <w:t>.</w:t>
      </w:r>
      <w:r>
        <w:rPr>
          <w:rStyle w:val="14"/>
          <w:rFonts w:hint="eastAsia" w:ascii="仿宋_GB2312" w:hAnsi="仿宋_GB2312" w:eastAsia="仿宋_GB2312" w:cs="仿宋_GB2312"/>
          <w:bCs/>
          <w:color w:val="000000"/>
          <w:sz w:val="32"/>
          <w:szCs w:val="32"/>
          <w:lang w:eastAsia="zh-CN"/>
        </w:rPr>
        <w:t>灾害防治及应急管理支出</w:t>
      </w:r>
      <w:r>
        <w:rPr>
          <w:rStyle w:val="14"/>
          <w:rFonts w:hint="eastAsia" w:ascii="仿宋_GB2312" w:hAnsi="仿宋_GB2312" w:eastAsia="仿宋_GB2312" w:cs="仿宋_GB2312"/>
          <w:bCs/>
          <w:color w:val="000000"/>
          <w:sz w:val="32"/>
          <w:szCs w:val="32"/>
        </w:rPr>
        <w:t>（类）</w:t>
      </w:r>
      <w:r>
        <w:rPr>
          <w:rStyle w:val="14"/>
          <w:rFonts w:hint="eastAsia" w:ascii="仿宋_GB2312" w:hAnsi="仿宋_GB2312" w:eastAsia="仿宋_GB2312" w:cs="仿宋_GB2312"/>
          <w:bCs/>
          <w:color w:val="000000"/>
          <w:sz w:val="32"/>
          <w:szCs w:val="32"/>
          <w:lang w:eastAsia="zh-CN"/>
        </w:rPr>
        <w:t>应急管理事务</w:t>
      </w:r>
      <w:r>
        <w:rPr>
          <w:rStyle w:val="14"/>
          <w:rFonts w:hint="eastAsia" w:ascii="仿宋_GB2312" w:hAnsi="仿宋_GB2312" w:eastAsia="仿宋_GB2312" w:cs="仿宋_GB2312"/>
          <w:bCs/>
          <w:color w:val="000000"/>
          <w:sz w:val="32"/>
          <w:szCs w:val="32"/>
        </w:rPr>
        <w:t>（款）</w:t>
      </w:r>
      <w:r>
        <w:rPr>
          <w:rStyle w:val="14"/>
          <w:rFonts w:hint="eastAsia" w:ascii="仿宋_GB2312" w:hAnsi="仿宋_GB2312" w:eastAsia="仿宋_GB2312" w:cs="仿宋_GB2312"/>
          <w:bCs/>
          <w:color w:val="000000"/>
          <w:sz w:val="32"/>
          <w:szCs w:val="32"/>
          <w:lang w:eastAsia="zh-CN"/>
        </w:rPr>
        <w:t>安全监管</w:t>
      </w:r>
      <w:r>
        <w:rPr>
          <w:rStyle w:val="14"/>
          <w:rFonts w:hint="eastAsia" w:ascii="仿宋_GB2312" w:hAnsi="仿宋_GB2312" w:eastAsia="仿宋_GB2312" w:cs="仿宋_GB2312"/>
          <w:bCs/>
          <w:color w:val="000000"/>
          <w:sz w:val="32"/>
          <w:szCs w:val="32"/>
        </w:rPr>
        <w:t>（项）:</w:t>
      </w:r>
      <w:r>
        <w:rPr>
          <w:rStyle w:val="14"/>
          <w:rFonts w:hint="eastAsia" w:ascii="仿宋_GB2312" w:hAnsi="仿宋_GB2312" w:eastAsia="仿宋_GB2312" w:cs="仿宋_GB2312"/>
          <w:b w:val="0"/>
          <w:bCs/>
          <w:color w:val="000000"/>
          <w:sz w:val="32"/>
          <w:szCs w:val="32"/>
        </w:rPr>
        <w:t xml:space="preserve"> 支出决算为</w:t>
      </w:r>
      <w:r>
        <w:rPr>
          <w:rStyle w:val="14"/>
          <w:rFonts w:hint="eastAsia" w:ascii="仿宋_GB2312" w:hAnsi="仿宋_GB2312" w:eastAsia="仿宋_GB2312" w:cs="仿宋_GB2312"/>
          <w:b w:val="0"/>
          <w:bCs/>
          <w:color w:val="000000"/>
          <w:sz w:val="32"/>
          <w:szCs w:val="32"/>
          <w:lang w:val="en-US" w:eastAsia="zh-CN"/>
        </w:rPr>
        <w:t>5</w:t>
      </w:r>
      <w:r>
        <w:rPr>
          <w:rStyle w:val="14"/>
          <w:rFonts w:hint="eastAsia" w:ascii="仿宋_GB2312" w:hAnsi="仿宋_GB2312" w:eastAsia="仿宋_GB2312" w:cs="仿宋_GB2312"/>
          <w:b w:val="0"/>
          <w:bCs/>
          <w:color w:val="000000"/>
          <w:sz w:val="32"/>
          <w:szCs w:val="32"/>
        </w:rPr>
        <w:t>万元，完成预算</w:t>
      </w:r>
      <w:r>
        <w:rPr>
          <w:rStyle w:val="14"/>
          <w:rFonts w:hint="eastAsia" w:ascii="仿宋_GB2312" w:hAnsi="仿宋_GB2312" w:eastAsia="仿宋_GB2312" w:cs="仿宋_GB2312"/>
          <w:b w:val="0"/>
          <w:bCs/>
          <w:color w:val="000000"/>
          <w:sz w:val="32"/>
          <w:szCs w:val="32"/>
          <w:lang w:val="en-US" w:eastAsia="zh-CN"/>
        </w:rPr>
        <w:t>100</w:t>
      </w:r>
      <w:r>
        <w:rPr>
          <w:rStyle w:val="14"/>
          <w:rFonts w:hint="eastAsia" w:ascii="仿宋_GB2312" w:hAnsi="仿宋_GB2312" w:eastAsia="仿宋_GB2312" w:cs="仿宋_GB2312"/>
          <w:b w:val="0"/>
          <w:bCs/>
          <w:color w:val="000000"/>
          <w:sz w:val="32"/>
          <w:szCs w:val="32"/>
        </w:rPr>
        <w:t>%。</w:t>
      </w:r>
    </w:p>
    <w:p>
      <w:pPr>
        <w:tabs>
          <w:tab w:val="right" w:pos="8306"/>
        </w:tabs>
        <w:spacing w:line="600" w:lineRule="exact"/>
        <w:ind w:firstLine="640"/>
        <w:outlineLvl w:val="1"/>
        <w:rPr>
          <w:rStyle w:val="25"/>
          <w:color w:val="auto"/>
        </w:rPr>
      </w:pPr>
      <w:bookmarkStart w:id="82" w:name="_Toc27690"/>
      <w:bookmarkStart w:id="83" w:name="_Toc15396608"/>
      <w:bookmarkStart w:id="84" w:name="_Toc21682_WPSOffice_Level2"/>
      <w:bookmarkStart w:id="85" w:name="_Toc12701"/>
      <w:bookmarkStart w:id="86" w:name="_Toc15377214"/>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5"/>
          <w:rFonts w:hint="eastAsia" w:ascii="黑体" w:hAnsi="黑体" w:eastAsia="黑体"/>
          <w:b w:val="0"/>
          <w:color w:val="auto"/>
        </w:rPr>
        <w:t>般公共预算财政拨款基本支出决算情况说明</w:t>
      </w:r>
      <w:bookmarkEnd w:id="82"/>
      <w:bookmarkEnd w:id="83"/>
      <w:bookmarkEnd w:id="84"/>
      <w:bookmarkEnd w:id="85"/>
      <w:bookmarkEnd w:id="86"/>
      <w:r>
        <w:rPr>
          <w:rStyle w:val="25"/>
          <w:rFonts w:ascii="黑体" w:hAnsi="黑体" w:eastAsia="黑体"/>
          <w:b w:val="0"/>
          <w:color w:val="auto"/>
        </w:rPr>
        <w:tab/>
      </w:r>
    </w:p>
    <w:p>
      <w:pPr>
        <w:spacing w:line="600" w:lineRule="exact"/>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年一般公共预算财政拨款基本支出</w:t>
      </w:r>
      <w:r>
        <w:rPr>
          <w:rFonts w:hint="eastAsia" w:ascii="仿宋_GB2312" w:hAnsi="仿宋_GB2312" w:eastAsia="仿宋_GB2312" w:cs="仿宋_GB2312"/>
          <w:color w:val="auto"/>
          <w:sz w:val="32"/>
          <w:szCs w:val="32"/>
          <w:lang w:val="en-US" w:eastAsia="zh-CN"/>
        </w:rPr>
        <w:t>5985.11</w:t>
      </w:r>
      <w:r>
        <w:rPr>
          <w:rFonts w:hint="eastAsia" w:ascii="仿宋_GB2312" w:hAnsi="仿宋_GB2312" w:eastAsia="仿宋_GB2312" w:cs="仿宋_GB2312"/>
          <w:color w:val="auto"/>
          <w:sz w:val="32"/>
          <w:szCs w:val="32"/>
        </w:rPr>
        <w:t>万元，其中：</w:t>
      </w:r>
    </w:p>
    <w:p>
      <w:pPr>
        <w:spacing w:line="600" w:lineRule="exact"/>
        <w:ind w:firstLine="645"/>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人员经费</w:t>
      </w:r>
      <w:r>
        <w:rPr>
          <w:rFonts w:hint="eastAsia" w:ascii="仿宋_GB2312" w:hAnsi="仿宋_GB2312" w:eastAsia="仿宋_GB2312" w:cs="仿宋_GB2312"/>
          <w:color w:val="auto"/>
          <w:sz w:val="32"/>
          <w:szCs w:val="32"/>
          <w:lang w:val="en-US" w:eastAsia="zh-CN"/>
        </w:rPr>
        <w:t>4533.77</w:t>
      </w:r>
      <w:r>
        <w:rPr>
          <w:rFonts w:hint="eastAsia" w:ascii="仿宋_GB2312" w:hAnsi="仿宋_GB2312" w:eastAsia="仿宋_GB2312" w:cs="仿宋_GB2312"/>
          <w:color w:val="auto"/>
          <w:sz w:val="32"/>
          <w:szCs w:val="32"/>
        </w:rPr>
        <w:t>万元，主要包括：基本工资、津贴补贴、奖金、机关事业单位基本养老保险缴费、职业年金缴费、职工基本医疗保险缴费、公务员医疗补助缴费、住房公积金、其他工资福利支出、离休费、退休费、抚恤金、生活补助、奖励金、其他对个人和家庭的补助支出等。</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rPr>
        <w:t>　　公用经费</w:t>
      </w:r>
      <w:r>
        <w:rPr>
          <w:rFonts w:hint="eastAsia" w:ascii="仿宋_GB2312" w:hAnsi="仿宋_GB2312" w:eastAsia="仿宋_GB2312" w:cs="仿宋_GB2312"/>
          <w:color w:val="auto"/>
          <w:sz w:val="32"/>
          <w:szCs w:val="32"/>
          <w:lang w:val="en-US" w:eastAsia="zh-CN"/>
        </w:rPr>
        <w:t>1451.33</w:t>
      </w:r>
      <w:r>
        <w:rPr>
          <w:rFonts w:hint="eastAsia" w:ascii="仿宋_GB2312" w:hAnsi="仿宋_GB2312" w:eastAsia="仿宋_GB2312" w:cs="仿宋_GB2312"/>
          <w:color w:val="auto"/>
          <w:sz w:val="32"/>
          <w:szCs w:val="32"/>
        </w:rPr>
        <w:t>万元，主要包括：办公费、印刷费、水费、电费、邮电费、物业管理费、差旅费、维修（护）费、会议费、培训费、公务接待费、劳务费、工会经费、福利费、公务用车运行维护费、其他交通费</w:t>
      </w:r>
      <w:r>
        <w:rPr>
          <w:rFonts w:hint="eastAsia" w:ascii="仿宋_GB2312" w:hAnsi="仿宋_GB2312" w:eastAsia="仿宋_GB2312" w:cs="仿宋_GB2312"/>
          <w:color w:val="auto"/>
          <w:sz w:val="32"/>
          <w:szCs w:val="32"/>
          <w:lang w:eastAsia="zh-CN"/>
        </w:rPr>
        <w:t>用</w:t>
      </w:r>
      <w:r>
        <w:rPr>
          <w:rFonts w:hint="eastAsia" w:ascii="仿宋_GB2312" w:hAnsi="仿宋_GB2312" w:eastAsia="仿宋_GB2312" w:cs="仿宋_GB2312"/>
          <w:color w:val="auto"/>
          <w:sz w:val="32"/>
          <w:szCs w:val="32"/>
        </w:rPr>
        <w:t>、其他商品和服务支出、办公设备购置等。</w:t>
      </w:r>
    </w:p>
    <w:p>
      <w:pPr>
        <w:spacing w:line="600" w:lineRule="exact"/>
        <w:ind w:firstLine="640"/>
        <w:outlineLvl w:val="1"/>
        <w:rPr>
          <w:rStyle w:val="25"/>
          <w:rFonts w:ascii="黑体" w:hAnsi="黑体" w:eastAsia="黑体"/>
          <w:b w:val="0"/>
          <w:color w:val="auto"/>
        </w:rPr>
      </w:pPr>
      <w:bookmarkStart w:id="87" w:name="_Toc15377215"/>
      <w:bookmarkStart w:id="88" w:name="_Toc28411"/>
      <w:bookmarkStart w:id="89" w:name="_Toc15395"/>
      <w:bookmarkStart w:id="90" w:name="_Toc18673_WPSOffice_Level2"/>
      <w:bookmarkStart w:id="91" w:name="_Toc15396609"/>
      <w:r>
        <w:rPr>
          <w:rFonts w:hint="eastAsia" w:ascii="黑体" w:eastAsia="黑体"/>
          <w:color w:val="auto"/>
          <w:sz w:val="32"/>
          <w:szCs w:val="32"/>
        </w:rPr>
        <w:t>七、</w:t>
      </w:r>
      <w:r>
        <w:rPr>
          <w:rStyle w:val="25"/>
          <w:rFonts w:hint="eastAsia" w:ascii="黑体" w:hAnsi="黑体" w:eastAsia="黑体"/>
          <w:color w:val="auto"/>
        </w:rPr>
        <w:t>“</w:t>
      </w:r>
      <w:r>
        <w:rPr>
          <w:rStyle w:val="25"/>
          <w:rFonts w:hint="eastAsia" w:ascii="黑体" w:hAnsi="黑体" w:eastAsia="黑体"/>
          <w:b w:val="0"/>
          <w:color w:val="auto"/>
        </w:rPr>
        <w:t>三公”经费财政拨款支出决算情况说明</w:t>
      </w:r>
      <w:bookmarkEnd w:id="87"/>
      <w:bookmarkEnd w:id="88"/>
      <w:bookmarkEnd w:id="89"/>
      <w:bookmarkEnd w:id="90"/>
      <w:bookmarkEnd w:id="91"/>
    </w:p>
    <w:p>
      <w:pPr>
        <w:spacing w:line="600" w:lineRule="exact"/>
        <w:ind w:firstLine="640"/>
        <w:outlineLvl w:val="2"/>
        <w:rPr>
          <w:rFonts w:hint="eastAsia" w:ascii="仿宋_GB2312" w:hAnsi="仿宋_GB2312" w:eastAsia="仿宋_GB2312" w:cs="仿宋_GB2312"/>
          <w:b/>
          <w:color w:val="auto"/>
          <w:sz w:val="32"/>
          <w:szCs w:val="32"/>
        </w:rPr>
      </w:pPr>
      <w:bookmarkStart w:id="92" w:name="_Toc15377216"/>
      <w:bookmarkStart w:id="93" w:name="_Toc3021"/>
      <w:bookmarkStart w:id="94" w:name="_Toc27278_WPSOffice_Level3"/>
      <w:r>
        <w:rPr>
          <w:rFonts w:hint="eastAsia" w:ascii="仿宋_GB2312" w:hAnsi="仿宋_GB2312" w:eastAsia="仿宋_GB2312" w:cs="仿宋_GB2312"/>
          <w:b/>
          <w:color w:val="auto"/>
          <w:sz w:val="32"/>
          <w:szCs w:val="32"/>
        </w:rPr>
        <w:t>（一）“三公”经费财政拨款支出决算总体情况说明</w:t>
      </w:r>
      <w:bookmarkEnd w:id="92"/>
      <w:bookmarkEnd w:id="93"/>
      <w:bookmarkEnd w:id="94"/>
    </w:p>
    <w:p>
      <w:pPr>
        <w:spacing w:line="60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年“三公”经费财政拨款支出决算为</w:t>
      </w:r>
      <w:r>
        <w:rPr>
          <w:rFonts w:hint="eastAsia" w:ascii="仿宋_GB2312" w:hAnsi="仿宋_GB2312" w:eastAsia="仿宋_GB2312" w:cs="仿宋_GB2312"/>
          <w:color w:val="auto"/>
          <w:sz w:val="32"/>
          <w:szCs w:val="32"/>
          <w:lang w:val="en-US" w:eastAsia="zh-CN"/>
        </w:rPr>
        <w:t>83.11</w:t>
      </w:r>
      <w:r>
        <w:rPr>
          <w:rFonts w:hint="eastAsia" w:ascii="仿宋_GB2312" w:hAnsi="仿宋_GB2312" w:eastAsia="仿宋_GB2312" w:cs="仿宋_GB2312"/>
          <w:color w:val="auto"/>
          <w:sz w:val="32"/>
          <w:szCs w:val="32"/>
        </w:rPr>
        <w:t>万元，完成预算</w:t>
      </w:r>
      <w:r>
        <w:rPr>
          <w:rFonts w:hint="eastAsia" w:ascii="仿宋_GB2312" w:hAnsi="仿宋_GB2312" w:eastAsia="仿宋_GB2312" w:cs="仿宋_GB2312"/>
          <w:color w:val="auto"/>
          <w:sz w:val="32"/>
          <w:szCs w:val="32"/>
          <w:lang w:val="en-US" w:eastAsia="zh-CN"/>
        </w:rPr>
        <w:t>66.80</w:t>
      </w:r>
      <w:r>
        <w:rPr>
          <w:rFonts w:hint="eastAsia" w:ascii="仿宋_GB2312" w:hAnsi="仿宋_GB2312" w:eastAsia="仿宋_GB2312" w:cs="仿宋_GB2312"/>
          <w:color w:val="auto"/>
          <w:sz w:val="32"/>
          <w:szCs w:val="32"/>
        </w:rPr>
        <w:t>%，决算数小于预算数的主要原因是厉行节约，减少不必要的公务接待。</w:t>
      </w:r>
    </w:p>
    <w:p>
      <w:pPr>
        <w:spacing w:line="600" w:lineRule="exact"/>
        <w:ind w:firstLine="640"/>
        <w:outlineLvl w:val="2"/>
        <w:rPr>
          <w:rFonts w:hint="eastAsia" w:ascii="仿宋_GB2312" w:hAnsi="仿宋_GB2312" w:eastAsia="仿宋_GB2312" w:cs="仿宋_GB2312"/>
          <w:b/>
          <w:color w:val="auto"/>
          <w:sz w:val="32"/>
          <w:szCs w:val="32"/>
        </w:rPr>
      </w:pPr>
      <w:bookmarkStart w:id="95" w:name="_Toc15377217"/>
      <w:bookmarkStart w:id="96" w:name="_Toc26829"/>
      <w:bookmarkStart w:id="97" w:name="_Toc25614_WPSOffice_Level3"/>
      <w:r>
        <w:rPr>
          <w:rFonts w:hint="eastAsia" w:ascii="仿宋_GB2312" w:hAnsi="仿宋_GB2312" w:eastAsia="仿宋_GB2312" w:cs="仿宋_GB2312"/>
          <w:b/>
          <w:color w:val="auto"/>
          <w:sz w:val="32"/>
          <w:szCs w:val="32"/>
        </w:rPr>
        <w:t>（二）“三公”经费财政拨款支出决算具体情况说明</w:t>
      </w:r>
      <w:bookmarkEnd w:id="95"/>
      <w:bookmarkEnd w:id="96"/>
      <w:bookmarkEnd w:id="97"/>
    </w:p>
    <w:p>
      <w:pPr>
        <w:spacing w:line="600" w:lineRule="exact"/>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年“三公”经费财政拨款支出决算中，因公出国（境）</w:t>
      </w:r>
      <w:r>
        <w:rPr>
          <w:rFonts w:hint="eastAsia" w:ascii="仿宋_GB2312" w:hAnsi="仿宋_GB2312" w:eastAsia="仿宋_GB2312" w:cs="仿宋_GB2312"/>
          <w:color w:val="000000"/>
          <w:sz w:val="32"/>
          <w:szCs w:val="32"/>
          <w:lang w:eastAsia="zh-CN"/>
        </w:rPr>
        <w:t>费用</w:t>
      </w:r>
      <w:r>
        <w:rPr>
          <w:rFonts w:hint="eastAsia" w:ascii="仿宋_GB2312" w:hAnsi="仿宋_GB2312" w:eastAsia="仿宋_GB2312" w:cs="仿宋_GB2312"/>
          <w:color w:val="000000"/>
          <w:sz w:val="32"/>
          <w:szCs w:val="32"/>
        </w:rPr>
        <w:t>支出决算</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%；公务用车购置及运行维护费支出决算</w:t>
      </w:r>
      <w:r>
        <w:rPr>
          <w:rFonts w:hint="eastAsia" w:ascii="仿宋_GB2312" w:hAnsi="仿宋_GB2312" w:eastAsia="仿宋_GB2312" w:cs="仿宋_GB2312"/>
          <w:color w:val="000000"/>
          <w:sz w:val="32"/>
          <w:szCs w:val="32"/>
          <w:lang w:val="en-US" w:eastAsia="zh-CN"/>
        </w:rPr>
        <w:t>76.71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92.30</w:t>
      </w:r>
      <w:r>
        <w:rPr>
          <w:rFonts w:hint="eastAsia" w:ascii="仿宋_GB2312" w:hAnsi="仿宋_GB2312" w:eastAsia="仿宋_GB2312" w:cs="仿宋_GB2312"/>
          <w:color w:val="000000"/>
          <w:sz w:val="32"/>
          <w:szCs w:val="32"/>
        </w:rPr>
        <w:t>%；公务接待费支出决算</w:t>
      </w:r>
      <w:r>
        <w:rPr>
          <w:rFonts w:hint="eastAsia" w:ascii="仿宋_GB2312" w:hAnsi="仿宋_GB2312" w:eastAsia="仿宋_GB2312" w:cs="仿宋_GB2312"/>
          <w:color w:val="000000"/>
          <w:sz w:val="32"/>
          <w:szCs w:val="32"/>
          <w:lang w:val="en-US" w:eastAsia="zh-CN"/>
        </w:rPr>
        <w:t>6.40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7.70</w:t>
      </w:r>
      <w:r>
        <w:rPr>
          <w:rFonts w:hint="eastAsia" w:ascii="仿宋_GB2312" w:hAnsi="仿宋_GB2312" w:eastAsia="仿宋_GB2312" w:cs="仿宋_GB2312"/>
          <w:color w:val="000000"/>
          <w:sz w:val="32"/>
          <w:szCs w:val="32"/>
        </w:rPr>
        <w:t>%。具体情况如下</w:t>
      </w:r>
      <w:r>
        <w:rPr>
          <w:rFonts w:hint="eastAsia" w:ascii="仿宋_GB2312" w:hAnsi="仿宋_GB2312" w:eastAsia="仿宋_GB2312" w:cs="仿宋_GB2312"/>
          <w:color w:val="auto"/>
          <w:sz w:val="32"/>
          <w:szCs w:val="32"/>
        </w:rPr>
        <w:t>：</w:t>
      </w:r>
    </w:p>
    <w:p>
      <w:pPr>
        <w:pStyle w:val="2"/>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drawing>
          <wp:inline distT="0" distB="0" distL="114300" distR="114300">
            <wp:extent cx="3803650" cy="3755390"/>
            <wp:effectExtent l="4445" t="4445" r="20955" b="1206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（图7：“三公”经费财政拨款支出结构）（饼状图）</w:t>
      </w:r>
    </w:p>
    <w:p>
      <w:pPr>
        <w:spacing w:line="600" w:lineRule="exact"/>
        <w:ind w:firstLine="640"/>
        <w:rPr>
          <w:rFonts w:ascii="仿宋_GB2312" w:eastAsia="仿宋_GB2312"/>
          <w:b/>
          <w:color w:val="000000"/>
          <w:sz w:val="32"/>
          <w:szCs w:val="32"/>
        </w:rPr>
      </w:pPr>
      <w:bookmarkStart w:id="98" w:name="_Toc15396610"/>
      <w:bookmarkStart w:id="99" w:name="_Toc15377218"/>
      <w:r>
        <w:rPr>
          <w:rFonts w:ascii="仿宋_GB2312" w:eastAsia="仿宋_GB2312"/>
          <w:b/>
          <w:color w:val="000000"/>
          <w:sz w:val="32"/>
          <w:szCs w:val="32"/>
        </w:rPr>
        <w:t>1.</w:t>
      </w:r>
      <w:r>
        <w:rPr>
          <w:rFonts w:hint="eastAsia" w:ascii="仿宋_GB2312" w:eastAsia="仿宋_GB2312"/>
          <w:b/>
          <w:color w:val="000000"/>
          <w:sz w:val="32"/>
          <w:szCs w:val="32"/>
        </w:rPr>
        <w:t>因公出国（境）</w:t>
      </w:r>
      <w:r>
        <w:rPr>
          <w:rFonts w:hint="eastAsia" w:ascii="仿宋_GB2312" w:eastAsia="仿宋_GB2312"/>
          <w:b/>
          <w:color w:val="000000"/>
          <w:sz w:val="32"/>
          <w:szCs w:val="32"/>
          <w:lang w:eastAsia="zh-CN"/>
        </w:rPr>
        <w:t>费用</w:t>
      </w:r>
      <w:r>
        <w:rPr>
          <w:rFonts w:hint="eastAsia" w:ascii="仿宋_GB2312" w:eastAsia="仿宋_GB2312"/>
          <w:b/>
          <w:color w:val="000000"/>
          <w:sz w:val="32"/>
          <w:szCs w:val="32"/>
        </w:rPr>
        <w:t>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减少</w:t>
      </w:r>
      <w:r>
        <w:rPr>
          <w:rFonts w:hint="eastAsia" w:ascii="仿宋_GB2312" w:eastAsia="仿宋_GB2312"/>
          <w:color w:val="000000"/>
          <w:sz w:val="32"/>
          <w:szCs w:val="32"/>
          <w:lang w:val="en-US" w:eastAsia="zh-CN"/>
        </w:rPr>
        <w:t>199.59</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100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全球新冠疫情影响减少出国任务安排</w:t>
      </w:r>
      <w:r>
        <w:rPr>
          <w:rFonts w:hint="eastAsia" w:ascii="仿宋_GB2312" w:eastAsia="仿宋_GB2312"/>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公务用车购置及运行费支出</w:t>
      </w:r>
      <w:r>
        <w:rPr>
          <w:rFonts w:hint="eastAsia" w:ascii="仿宋_GB2312" w:eastAsia="仿宋_GB2312"/>
          <w:color w:val="000000"/>
          <w:sz w:val="32"/>
          <w:szCs w:val="32"/>
          <w:lang w:val="en-US" w:eastAsia="zh-CN"/>
        </w:rPr>
        <w:t>76.71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96.61</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5.03</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7.01</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eastAsia="zh-CN"/>
        </w:rPr>
        <w:t>当年汽油价格上涨</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万元，越野车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辆、越野车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辆、载客汽车</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公务用车运行费支出</w:t>
      </w:r>
      <w:r>
        <w:rPr>
          <w:rFonts w:hint="eastAsia" w:ascii="仿宋_GB2312" w:eastAsia="仿宋_GB2312"/>
          <w:color w:val="000000"/>
          <w:sz w:val="32"/>
          <w:szCs w:val="32"/>
          <w:lang w:val="en-US" w:eastAsia="zh-CN"/>
        </w:rPr>
        <w:t>76.71</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商务厅机关</w:t>
      </w:r>
      <w:r>
        <w:rPr>
          <w:rFonts w:hint="eastAsia" w:ascii="仿宋_GB2312" w:eastAsia="仿宋_GB2312"/>
          <w:color w:val="000000"/>
          <w:sz w:val="32"/>
          <w:szCs w:val="32"/>
        </w:rPr>
        <w:t>公务用车</w:t>
      </w:r>
      <w:r>
        <w:rPr>
          <w:rFonts w:hint="eastAsia" w:ascii="仿宋_GB2312" w:eastAsia="仿宋_GB2312"/>
          <w:color w:val="000000"/>
          <w:sz w:val="32"/>
          <w:szCs w:val="32"/>
          <w:lang w:eastAsia="zh-CN"/>
        </w:rPr>
        <w:t>运转</w:t>
      </w:r>
      <w:r>
        <w:rPr>
          <w:rFonts w:hint="eastAsia" w:ascii="仿宋_GB2312" w:eastAsia="仿宋_GB2312"/>
          <w:color w:val="000000"/>
          <w:sz w:val="32"/>
          <w:szCs w:val="32"/>
        </w:rPr>
        <w:t>所需的燃料费、维修费、过路过桥费、保险费等支出。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6.40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14.22</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6.36</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49.84</w:t>
      </w:r>
      <w:r>
        <w:rPr>
          <w:rFonts w:ascii="仿宋_GB2312" w:eastAsia="仿宋_GB2312"/>
          <w:color w:val="000000"/>
          <w:sz w:val="32"/>
          <w:szCs w:val="32"/>
        </w:rPr>
        <w:t>%</w:t>
      </w:r>
      <w:r>
        <w:rPr>
          <w:rFonts w:hint="eastAsia" w:ascii="仿宋_GB2312" w:eastAsia="仿宋_GB2312"/>
          <w:color w:val="000000"/>
          <w:sz w:val="32"/>
          <w:szCs w:val="32"/>
        </w:rPr>
        <w:t>。主要原因是厉行节约，减少不必要的公务接待。其中：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4.24</w:t>
      </w:r>
      <w:r>
        <w:rPr>
          <w:rFonts w:hint="eastAsia" w:ascii="仿宋_GB2312" w:eastAsia="仿宋_GB2312"/>
          <w:color w:val="000000"/>
          <w:sz w:val="32"/>
          <w:szCs w:val="32"/>
        </w:rPr>
        <w:t>万元，主要用于执行公务、开展业务活动开支</w:t>
      </w:r>
      <w:r>
        <w:rPr>
          <w:rFonts w:hint="eastAsia" w:ascii="仿宋_GB2312" w:eastAsia="仿宋_GB2312"/>
          <w:color w:val="000000"/>
          <w:sz w:val="32"/>
          <w:szCs w:val="32"/>
          <w:lang w:eastAsia="zh-CN"/>
        </w:rPr>
        <w:t>的</w:t>
      </w:r>
      <w:r>
        <w:rPr>
          <w:rFonts w:hint="eastAsia" w:ascii="仿宋_GB2312" w:eastAsia="仿宋_GB2312"/>
          <w:color w:val="000000"/>
          <w:sz w:val="32"/>
          <w:szCs w:val="32"/>
        </w:rPr>
        <w:t>用餐费等。国内公务接待</w:t>
      </w:r>
      <w:r>
        <w:rPr>
          <w:rFonts w:hint="eastAsia" w:ascii="仿宋_GB2312" w:eastAsia="仿宋_GB2312"/>
          <w:color w:val="000000"/>
          <w:sz w:val="32"/>
          <w:szCs w:val="32"/>
          <w:lang w:val="en-US" w:eastAsia="zh-CN"/>
        </w:rPr>
        <w:t>39</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309</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4.24</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eastAsia="zh-CN"/>
        </w:rPr>
        <w:t>接待相关省市商务厅（委）、商务部相关司局来川调研的支出</w:t>
      </w:r>
      <w:r>
        <w:rPr>
          <w:rFonts w:hint="eastAsia" w:ascii="仿宋_GB2312" w:eastAsia="仿宋_GB2312"/>
          <w:color w:val="000000"/>
          <w:sz w:val="32"/>
          <w:szCs w:val="32"/>
        </w:rPr>
        <w:t>。</w:t>
      </w:r>
    </w:p>
    <w:p>
      <w:pPr>
        <w:spacing w:line="600" w:lineRule="exact"/>
        <w:ind w:firstLine="642" w:firstLineChars="200"/>
        <w:rPr>
          <w:rFonts w:ascii="黑体" w:eastAsia="黑体"/>
          <w:color w:val="auto"/>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2.16</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批次，</w:t>
      </w:r>
      <w:r>
        <w:rPr>
          <w:rFonts w:hint="eastAsia" w:ascii="仿宋_GB2312" w:eastAsia="仿宋_GB2312"/>
          <w:color w:val="000000" w:themeColor="text1"/>
          <w:sz w:val="32"/>
          <w:szCs w:val="32"/>
          <w:lang w:val="en-US" w:eastAsia="zh-CN"/>
          <w14:textFill>
            <w14:solidFill>
              <w14:schemeClr w14:val="tx1"/>
            </w14:solidFill>
          </w14:textFill>
        </w:rPr>
        <w:t>38</w:t>
      </w:r>
      <w:r>
        <w:rPr>
          <w:rFonts w:hint="eastAsia" w:ascii="仿宋_GB2312" w:eastAsia="仿宋_GB2312"/>
          <w:color w:val="000000" w:themeColor="text1"/>
          <w:sz w:val="32"/>
          <w:szCs w:val="32"/>
          <w14:textFill>
            <w14:solidFill>
              <w14:schemeClr w14:val="tx1"/>
            </w14:solidFill>
          </w14:textFill>
        </w:rPr>
        <w:t>人，共计支出</w:t>
      </w:r>
      <w:r>
        <w:rPr>
          <w:rFonts w:hint="eastAsia" w:ascii="仿宋_GB2312" w:eastAsia="仿宋_GB2312"/>
          <w:color w:val="000000" w:themeColor="text1"/>
          <w:sz w:val="32"/>
          <w:szCs w:val="32"/>
          <w:lang w:val="en-US" w:eastAsia="zh-CN"/>
          <w14:textFill>
            <w14:solidFill>
              <w14:schemeClr w14:val="tx1"/>
            </w14:solidFill>
          </w14:textFill>
        </w:rPr>
        <w:t>2.16</w:t>
      </w:r>
      <w:r>
        <w:rPr>
          <w:rFonts w:hint="eastAsia" w:ascii="仿宋_GB2312" w:eastAsia="仿宋_GB2312"/>
          <w:color w:val="000000" w:themeColor="text1"/>
          <w:sz w:val="32"/>
          <w:szCs w:val="32"/>
          <w14:textFill>
            <w14:solidFill>
              <w14:schemeClr w14:val="tx1"/>
            </w14:solidFill>
          </w14:textFill>
        </w:rPr>
        <w:t>万元，主要用于接待</w:t>
      </w:r>
      <w:r>
        <w:rPr>
          <w:rFonts w:hint="eastAsia" w:ascii="仿宋_GB2312" w:eastAsia="仿宋_GB2312"/>
          <w:color w:val="000000" w:themeColor="text1"/>
          <w:sz w:val="32"/>
          <w:szCs w:val="32"/>
          <w:lang w:eastAsia="zh-CN"/>
          <w14:textFill>
            <w14:solidFill>
              <w14:schemeClr w14:val="tx1"/>
            </w14:solidFill>
          </w14:textFill>
        </w:rPr>
        <w:t>香港贸易发展局中国内地总代表餐费</w:t>
      </w:r>
      <w:r>
        <w:rPr>
          <w:rFonts w:hint="eastAsia" w:ascii="仿宋_GB2312" w:eastAsia="仿宋_GB2312"/>
          <w:color w:val="000000" w:themeColor="text1"/>
          <w:sz w:val="32"/>
          <w:szCs w:val="32"/>
          <w14:textFill>
            <w14:solidFill>
              <w14:schemeClr w14:val="tx1"/>
            </w14:solidFill>
          </w14:textFill>
        </w:rPr>
        <w:t>。</w:t>
      </w:r>
    </w:p>
    <w:p>
      <w:pPr>
        <w:spacing w:line="600" w:lineRule="exact"/>
        <w:ind w:firstLine="640"/>
        <w:outlineLvl w:val="1"/>
        <w:rPr>
          <w:rStyle w:val="25"/>
          <w:rFonts w:ascii="黑体" w:hAnsi="黑体" w:eastAsia="黑体"/>
          <w:color w:val="auto"/>
        </w:rPr>
      </w:pPr>
      <w:bookmarkStart w:id="100" w:name="_Toc18000"/>
      <w:bookmarkStart w:id="101" w:name="_Toc4443_WPSOffice_Level2"/>
      <w:bookmarkStart w:id="102" w:name="_Toc24765"/>
      <w:r>
        <w:rPr>
          <w:rFonts w:hint="eastAsia" w:ascii="黑体" w:eastAsia="黑体"/>
          <w:color w:val="auto"/>
          <w:sz w:val="32"/>
          <w:szCs w:val="32"/>
        </w:rPr>
        <w:t>八、</w:t>
      </w:r>
      <w:r>
        <w:rPr>
          <w:rStyle w:val="25"/>
          <w:rFonts w:hint="eastAsia" w:ascii="黑体" w:hAnsi="黑体" w:eastAsia="黑体"/>
          <w:b w:val="0"/>
          <w:color w:val="auto"/>
        </w:rPr>
        <w:t>政府性基金预算支出决算情况说明</w:t>
      </w:r>
      <w:bookmarkEnd w:id="98"/>
      <w:bookmarkEnd w:id="99"/>
      <w:bookmarkEnd w:id="100"/>
      <w:bookmarkEnd w:id="101"/>
      <w:bookmarkEnd w:id="102"/>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年政府性基金预算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numPr>
          <w:ilvl w:val="0"/>
          <w:numId w:val="2"/>
        </w:numPr>
        <w:spacing w:line="600" w:lineRule="exact"/>
        <w:ind w:firstLine="640"/>
        <w:outlineLvl w:val="1"/>
        <w:rPr>
          <w:rStyle w:val="25"/>
          <w:rFonts w:ascii="黑体" w:hAnsi="黑体" w:eastAsia="黑体"/>
          <w:b w:val="0"/>
          <w:color w:val="auto"/>
        </w:rPr>
      </w:pPr>
      <w:bookmarkStart w:id="103" w:name="_Toc15377219"/>
      <w:bookmarkStart w:id="104" w:name="_Toc20649"/>
      <w:bookmarkStart w:id="105" w:name="_Toc10715_WPSOffice_Level2"/>
      <w:bookmarkStart w:id="106" w:name="_Toc15396611"/>
      <w:bookmarkStart w:id="107" w:name="_Toc13133"/>
      <w:r>
        <w:rPr>
          <w:rStyle w:val="25"/>
          <w:rFonts w:hint="eastAsia" w:ascii="黑体" w:hAnsi="黑体" w:eastAsia="黑体"/>
          <w:b w:val="0"/>
          <w:color w:val="auto"/>
        </w:rPr>
        <w:t>国有资本经营预算支出决算情况说明</w:t>
      </w:r>
      <w:bookmarkEnd w:id="103"/>
      <w:bookmarkEnd w:id="104"/>
      <w:bookmarkEnd w:id="105"/>
      <w:bookmarkEnd w:id="106"/>
      <w:bookmarkEnd w:id="107"/>
    </w:p>
    <w:p>
      <w:pPr>
        <w:spacing w:line="600" w:lineRule="exact"/>
        <w:ind w:firstLine="640"/>
        <w:rPr>
          <w:rFonts w:ascii="方正小标宋简体" w:hAnsi="方正小标宋简体" w:eastAsia="方正小标宋简体" w:cs="方正小标宋简体"/>
          <w:color w:val="auto"/>
          <w:sz w:val="44"/>
          <w:szCs w:val="44"/>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年国有资本经营预算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numPr>
          <w:ilvl w:val="0"/>
          <w:numId w:val="2"/>
        </w:numPr>
        <w:spacing w:line="600" w:lineRule="exact"/>
        <w:ind w:firstLine="640"/>
        <w:outlineLvl w:val="1"/>
        <w:rPr>
          <w:rStyle w:val="25"/>
          <w:rFonts w:hint="eastAsia" w:ascii="黑体" w:hAnsi="黑体" w:eastAsia="黑体"/>
          <w:b w:val="0"/>
          <w:color w:val="auto"/>
        </w:rPr>
      </w:pPr>
      <w:bookmarkStart w:id="108" w:name="_Toc15377221"/>
      <w:bookmarkStart w:id="109" w:name="_Toc15396612"/>
      <w:bookmarkStart w:id="110" w:name="_Toc12679"/>
      <w:bookmarkStart w:id="111" w:name="_Toc5870"/>
      <w:bookmarkStart w:id="112" w:name="_Toc10132_WPSOffice_Level2"/>
      <w:r>
        <w:rPr>
          <w:rStyle w:val="25"/>
          <w:rFonts w:hint="eastAsia" w:ascii="黑体" w:hAnsi="黑体" w:eastAsia="黑体"/>
          <w:b w:val="0"/>
          <w:color w:val="auto"/>
        </w:rPr>
        <w:t>其他重要事项的情况说明</w:t>
      </w:r>
      <w:bookmarkEnd w:id="108"/>
      <w:bookmarkEnd w:id="109"/>
      <w:bookmarkEnd w:id="110"/>
      <w:bookmarkEnd w:id="111"/>
      <w:bookmarkEnd w:id="112"/>
    </w:p>
    <w:p>
      <w:pPr>
        <w:spacing w:line="600" w:lineRule="exact"/>
        <w:ind w:firstLine="642" w:firstLineChars="200"/>
        <w:outlineLvl w:val="2"/>
        <w:rPr>
          <w:rFonts w:ascii="仿宋" w:hAnsi="仿宋" w:eastAsia="仿宋"/>
          <w:color w:val="auto"/>
          <w:sz w:val="32"/>
          <w:szCs w:val="32"/>
        </w:rPr>
      </w:pPr>
      <w:bookmarkStart w:id="113" w:name="_Toc31435"/>
      <w:bookmarkStart w:id="114" w:name="_Toc18410_WPSOffice_Level3"/>
      <w:bookmarkStart w:id="115" w:name="_Toc15377222"/>
      <w:r>
        <w:rPr>
          <w:rFonts w:hint="eastAsia" w:ascii="仿宋" w:hAnsi="仿宋" w:eastAsia="仿宋"/>
          <w:b/>
          <w:color w:val="auto"/>
          <w:sz w:val="32"/>
          <w:szCs w:val="32"/>
        </w:rPr>
        <w:t>（一）机关运行经费支出情况</w:t>
      </w:r>
      <w:bookmarkEnd w:id="113"/>
      <w:bookmarkEnd w:id="114"/>
      <w:bookmarkEnd w:id="115"/>
    </w:p>
    <w:p>
      <w:pPr>
        <w:spacing w:line="600" w:lineRule="exact"/>
        <w:ind w:firstLine="640" w:firstLineChars="200"/>
        <w:rPr>
          <w:rFonts w:ascii="仿宋_GB2312" w:eastAsia="仿宋_GB2312"/>
          <w:color w:val="auto"/>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商务厅</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1451.33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年增加</w:t>
      </w:r>
      <w:r>
        <w:rPr>
          <w:rFonts w:hint="eastAsia" w:ascii="仿宋_GB2312" w:eastAsia="仿宋_GB2312"/>
          <w:color w:val="000000"/>
          <w:sz w:val="32"/>
          <w:szCs w:val="32"/>
          <w:lang w:val="en-US" w:eastAsia="zh-CN"/>
        </w:rPr>
        <w:t>135.43</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10.29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当年有部分新调入职工，机关运行成本提高。</w:t>
      </w:r>
    </w:p>
    <w:p>
      <w:pPr>
        <w:autoSpaceDE w:val="0"/>
        <w:autoSpaceDN w:val="0"/>
        <w:adjustRightInd w:val="0"/>
        <w:spacing w:line="600" w:lineRule="exact"/>
        <w:ind w:firstLine="642" w:firstLineChars="200"/>
        <w:jc w:val="left"/>
        <w:outlineLvl w:val="2"/>
        <w:rPr>
          <w:rFonts w:ascii="仿宋" w:hAnsi="仿宋" w:eastAsia="仿宋"/>
          <w:b/>
          <w:color w:val="auto"/>
          <w:sz w:val="32"/>
          <w:szCs w:val="32"/>
        </w:rPr>
      </w:pPr>
      <w:bookmarkStart w:id="116" w:name="_Toc233"/>
      <w:bookmarkStart w:id="117" w:name="_Toc21682_WPSOffice_Level3"/>
      <w:bookmarkStart w:id="118" w:name="_Toc15377223"/>
      <w:r>
        <w:rPr>
          <w:rFonts w:hint="eastAsia" w:ascii="仿宋" w:hAnsi="仿宋" w:eastAsia="仿宋"/>
          <w:b/>
          <w:color w:val="auto"/>
          <w:sz w:val="32"/>
          <w:szCs w:val="32"/>
        </w:rPr>
        <w:t>（二）政府采购支出情况</w:t>
      </w:r>
      <w:bookmarkEnd w:id="116"/>
      <w:bookmarkEnd w:id="117"/>
      <w:bookmarkEnd w:id="118"/>
    </w:p>
    <w:p>
      <w:pPr>
        <w:spacing w:line="600" w:lineRule="exact"/>
        <w:ind w:firstLine="640" w:firstLineChars="200"/>
        <w:rPr>
          <w:rFonts w:ascii="仿宋_GB2312" w:eastAsia="仿宋_GB2312"/>
          <w:color w:val="auto"/>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商务厅机关</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4200.07</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5.5</w:t>
      </w:r>
      <w:r>
        <w:rPr>
          <w:rFonts w:hint="eastAsia" w:ascii="仿宋_GB2312" w:eastAsia="仿宋_GB2312"/>
          <w:color w:val="000000"/>
          <w:sz w:val="32"/>
          <w:szCs w:val="32"/>
        </w:rPr>
        <w:t>万元、政府采购工程支出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4194.57</w:t>
      </w:r>
      <w:r>
        <w:rPr>
          <w:rFonts w:hint="eastAsia" w:ascii="仿宋_GB2312" w:eastAsia="仿宋_GB2312"/>
          <w:color w:val="000000"/>
          <w:sz w:val="32"/>
          <w:szCs w:val="32"/>
        </w:rPr>
        <w:t>万元。主要用于</w:t>
      </w:r>
      <w:r>
        <w:rPr>
          <w:rFonts w:hint="eastAsia" w:ascii="仿宋_GB2312" w:eastAsia="仿宋_GB2312"/>
          <w:color w:val="000000"/>
          <w:sz w:val="32"/>
          <w:szCs w:val="32"/>
          <w:lang w:eastAsia="zh-CN"/>
        </w:rPr>
        <w:t>市场拓展三大活动</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5.5</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0.13</w:t>
      </w:r>
      <w:r>
        <w:rPr>
          <w:rFonts w:ascii="仿宋_GB2312" w:eastAsia="仿宋_GB2312"/>
          <w:color w:val="000000"/>
          <w:sz w:val="32"/>
          <w:szCs w:val="32"/>
        </w:rPr>
        <w:t>%</w:t>
      </w:r>
      <w:r>
        <w:rPr>
          <w:rFonts w:hint="eastAsia" w:ascii="仿宋_GB2312" w:eastAsia="仿宋_GB2312"/>
          <w:color w:val="000000"/>
          <w:sz w:val="32"/>
          <w:szCs w:val="32"/>
        </w:rPr>
        <w:t>，其中：授予小微企业合同金额</w:t>
      </w:r>
      <w:r>
        <w:rPr>
          <w:rFonts w:hint="eastAsia" w:ascii="仿宋_GB2312" w:eastAsia="仿宋_GB2312"/>
          <w:color w:val="000000"/>
          <w:sz w:val="32"/>
          <w:szCs w:val="32"/>
          <w:lang w:val="en-US" w:eastAsia="zh-CN"/>
        </w:rPr>
        <w:t>5.5</w:t>
      </w:r>
      <w:r>
        <w:rPr>
          <w:rFonts w:hint="eastAsia" w:ascii="仿宋_GB2312" w:eastAsia="仿宋_GB2312"/>
          <w:color w:val="000000"/>
          <w:sz w:val="32"/>
          <w:szCs w:val="32"/>
        </w:rPr>
        <w:t>万元，占政府采购支出总额的</w:t>
      </w:r>
      <w:r>
        <w:rPr>
          <w:rFonts w:hint="eastAsia" w:ascii="仿宋_GB2312" w:eastAsia="仿宋_GB2312"/>
          <w:color w:val="000000"/>
          <w:sz w:val="32"/>
          <w:szCs w:val="32"/>
          <w:lang w:val="en-US" w:eastAsia="zh-CN"/>
        </w:rPr>
        <w:t>0.13</w:t>
      </w:r>
      <w:r>
        <w:rPr>
          <w:rFonts w:ascii="仿宋_GB2312" w:eastAsia="仿宋_GB2312"/>
          <w:color w:val="000000"/>
          <w:sz w:val="32"/>
          <w:szCs w:val="32"/>
        </w:rPr>
        <w:t>%</w:t>
      </w:r>
      <w:r>
        <w:rPr>
          <w:rFonts w:hint="eastAsia" w:ascii="仿宋_GB2312" w:eastAsia="仿宋_GB2312"/>
          <w:color w:val="auto"/>
          <w:sz w:val="32"/>
          <w:szCs w:val="32"/>
        </w:rPr>
        <w:t>。</w:t>
      </w:r>
    </w:p>
    <w:p>
      <w:pPr>
        <w:autoSpaceDE w:val="0"/>
        <w:autoSpaceDN w:val="0"/>
        <w:adjustRightInd w:val="0"/>
        <w:spacing w:line="600" w:lineRule="exact"/>
        <w:ind w:firstLine="642" w:firstLineChars="200"/>
        <w:jc w:val="left"/>
        <w:outlineLvl w:val="2"/>
        <w:rPr>
          <w:rFonts w:ascii="仿宋" w:hAnsi="仿宋" w:eastAsia="仿宋"/>
          <w:b/>
          <w:color w:val="auto"/>
          <w:sz w:val="32"/>
          <w:szCs w:val="32"/>
          <w:highlight w:val="none"/>
        </w:rPr>
      </w:pPr>
      <w:bookmarkStart w:id="119" w:name="_Toc32674"/>
      <w:bookmarkStart w:id="120" w:name="_Toc15377224"/>
      <w:bookmarkStart w:id="121" w:name="_Toc18673_WPSOffice_Level3"/>
      <w:r>
        <w:rPr>
          <w:rFonts w:hint="eastAsia" w:ascii="仿宋" w:hAnsi="仿宋" w:eastAsia="仿宋"/>
          <w:b/>
          <w:color w:val="auto"/>
          <w:sz w:val="32"/>
          <w:szCs w:val="32"/>
          <w:highlight w:val="none"/>
        </w:rPr>
        <w:t>（三）国有资产占有使用情况</w:t>
      </w:r>
      <w:bookmarkEnd w:id="119"/>
      <w:bookmarkEnd w:id="120"/>
      <w:bookmarkEnd w:id="121"/>
    </w:p>
    <w:p>
      <w:pPr>
        <w:autoSpaceDE w:val="0"/>
        <w:autoSpaceDN w:val="0"/>
        <w:adjustRightInd w:val="0"/>
        <w:spacing w:line="600" w:lineRule="exact"/>
        <w:ind w:firstLine="640" w:firstLineChars="200"/>
        <w:jc w:val="left"/>
        <w:rPr>
          <w:rFonts w:hint="eastAsia" w:ascii="仿宋_GB2312" w:eastAsia="仿宋_GB2312"/>
          <w:color w:val="auto"/>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商务厅机关</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辆，其中：主要领导干部用车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辆、机要通信用车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辆、应急保障用车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离退休干部用车</w:t>
      </w:r>
      <w:r>
        <w:rPr>
          <w:rFonts w:hint="eastAsia" w:ascii="仿宋_GB2312" w:eastAsia="仿宋_GB2312"/>
          <w:color w:val="000000"/>
          <w:sz w:val="32"/>
          <w:szCs w:val="32"/>
          <w:lang w:val="en-US" w:eastAsia="zh-CN"/>
        </w:rPr>
        <w:t>10辆，</w:t>
      </w:r>
      <w:r>
        <w:rPr>
          <w:rFonts w:hint="eastAsia" w:ascii="仿宋_GB2312" w:eastAsia="仿宋_GB2312"/>
          <w:color w:val="000000"/>
          <w:sz w:val="32"/>
          <w:szCs w:val="32"/>
        </w:rPr>
        <w:t>其他用车</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其他用车主要是用于</w:t>
      </w:r>
      <w:r>
        <w:rPr>
          <w:rFonts w:hint="eastAsia" w:ascii="仿宋_GB2312" w:eastAsia="仿宋_GB2312"/>
          <w:color w:val="000000" w:themeColor="text1"/>
          <w:sz w:val="32"/>
          <w:szCs w:val="32"/>
          <w:lang w:eastAsia="zh-CN"/>
          <w14:textFill>
            <w14:solidFill>
              <w14:schemeClr w14:val="tx1"/>
            </w14:solidFill>
          </w14:textFill>
        </w:rPr>
        <w:t>到地区开展调研、督导等。单</w:t>
      </w:r>
      <w:r>
        <w:rPr>
          <w:rFonts w:hint="eastAsia" w:ascii="仿宋_GB2312" w:eastAsia="仿宋_GB2312"/>
          <w:color w:val="000000" w:themeColor="text1"/>
          <w:sz w:val="32"/>
          <w:szCs w:val="32"/>
          <w14:textFill>
            <w14:solidFill>
              <w14:schemeClr w14:val="tx1"/>
            </w14:solidFill>
          </w14:textFill>
        </w:rPr>
        <w:t>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r>
        <w:rPr>
          <w:rFonts w:hint="eastAsia" w:ascii="仿宋_GB2312" w:eastAsia="仿宋_GB2312"/>
          <w:color w:val="auto"/>
          <w:sz w:val="32"/>
          <w:szCs w:val="32"/>
        </w:rPr>
        <w:t>。</w:t>
      </w:r>
    </w:p>
    <w:p>
      <w:pPr>
        <w:autoSpaceDE w:val="0"/>
        <w:autoSpaceDN w:val="0"/>
        <w:adjustRightInd w:val="0"/>
        <w:spacing w:line="600" w:lineRule="exact"/>
        <w:ind w:firstLine="642" w:firstLineChars="200"/>
        <w:jc w:val="left"/>
        <w:outlineLvl w:val="2"/>
        <w:rPr>
          <w:rFonts w:hint="eastAsia" w:ascii="仿宋" w:hAnsi="仿宋" w:eastAsia="仿宋"/>
          <w:b/>
          <w:color w:val="auto"/>
          <w:sz w:val="32"/>
          <w:szCs w:val="32"/>
          <w:lang w:eastAsia="zh-CN"/>
        </w:rPr>
      </w:pPr>
      <w:bookmarkStart w:id="122" w:name="_Toc4443_WPSOffice_Level3"/>
      <w:bookmarkStart w:id="123" w:name="_Toc7594"/>
      <w:r>
        <w:rPr>
          <w:rFonts w:hint="eastAsia" w:ascii="仿宋" w:hAnsi="仿宋" w:eastAsia="仿宋"/>
          <w:b/>
          <w:color w:val="auto"/>
          <w:sz w:val="32"/>
          <w:szCs w:val="32"/>
        </w:rPr>
        <w:t>（四）预算绩效管理情况</w:t>
      </w:r>
      <w:bookmarkEnd w:id="122"/>
      <w:bookmarkEnd w:id="123"/>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w:t>
      </w:r>
      <w:r>
        <w:rPr>
          <w:rFonts w:hint="eastAsia" w:ascii="仿宋_GB2312" w:hAnsi="仿宋_GB2312" w:eastAsia="仿宋_GB2312" w:cs="仿宋_GB2312"/>
          <w:color w:val="auto"/>
          <w:sz w:val="32"/>
          <w:szCs w:val="32"/>
          <w:highlight w:val="none"/>
          <w:lang w:val="en-US" w:eastAsia="zh-CN"/>
        </w:rPr>
        <w:t>2020年度</w:t>
      </w:r>
      <w:r>
        <w:rPr>
          <w:rFonts w:hint="eastAsia" w:ascii="仿宋_GB2312" w:hAnsi="仿宋_GB2312" w:eastAsia="仿宋_GB2312" w:cs="仿宋_GB2312"/>
          <w:color w:val="auto"/>
          <w:sz w:val="32"/>
          <w:szCs w:val="32"/>
        </w:rPr>
        <w:t>预算编制阶段，组织对商务事业运行补助经费</w:t>
      </w:r>
      <w:r>
        <w:rPr>
          <w:rFonts w:hint="eastAsia" w:ascii="仿宋_GB2312" w:hAnsi="仿宋_GB2312" w:eastAsia="仿宋_GB2312" w:cs="仿宋_GB2312"/>
          <w:color w:val="auto"/>
          <w:sz w:val="32"/>
          <w:szCs w:val="32"/>
          <w:lang w:eastAsia="zh-CN"/>
        </w:rPr>
        <w:t>和设备购置费</w:t>
      </w:r>
      <w:r>
        <w:rPr>
          <w:rFonts w:hint="eastAsia" w:ascii="仿宋_GB2312" w:hAnsi="仿宋_GB2312" w:eastAsia="仿宋_GB2312" w:cs="仿宋_GB2312"/>
          <w:color w:val="auto"/>
          <w:sz w:val="32"/>
          <w:szCs w:val="32"/>
          <w:lang w:val="en-US" w:eastAsia="zh-CN"/>
        </w:rPr>
        <w:t>2个项目</w:t>
      </w:r>
      <w:r>
        <w:rPr>
          <w:rFonts w:hint="eastAsia" w:ascii="仿宋_GB2312" w:hAnsi="仿宋_GB2312" w:eastAsia="仿宋_GB2312" w:cs="仿宋_GB2312"/>
          <w:color w:val="auto"/>
          <w:sz w:val="32"/>
          <w:szCs w:val="32"/>
        </w:rPr>
        <w:t>开展了预算事前绩效评估，对</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个项目开展绩效监控，年终执行完毕后，对</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个项目开展了绩效目标完成情况自评。</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按要求对20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年整体支出开展绩效自评，从评价情况来看商务厅坚决贯彻中央和省委、省政府决策部署，统筹推进疫情防控和商务发展，严格按照年初预算进行部门整体支出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支出过程中严格遵守各项规章制度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商务运行主要指标符合预期、稳步向好。本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还自行组织了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个项目支出绩效评价，从评价情况来看</w:t>
      </w:r>
      <w:r>
        <w:rPr>
          <w:rFonts w:hint="eastAsia" w:ascii="仿宋_GB2312" w:hAnsi="仿宋_GB2312" w:eastAsia="仿宋_GB2312" w:cs="仿宋_GB2312"/>
          <w:color w:val="auto"/>
          <w:sz w:val="32"/>
          <w:szCs w:val="32"/>
          <w:lang w:val="en-US" w:eastAsia="zh-CN"/>
        </w:rPr>
        <w:t>2020年川货电商节</w:t>
      </w:r>
      <w:r>
        <w:rPr>
          <w:rFonts w:hint="eastAsia" w:ascii="仿宋_GB2312" w:hAnsi="仿宋_GB2312" w:eastAsia="仿宋_GB2312" w:cs="仿宋_GB2312"/>
          <w:color w:val="auto"/>
          <w:sz w:val="32"/>
          <w:szCs w:val="32"/>
        </w:rPr>
        <w:t>已圆满完成，</w:t>
      </w:r>
      <w:r>
        <w:rPr>
          <w:rFonts w:hint="eastAsia" w:ascii="仿宋_GB2312" w:hAnsi="仿宋_GB2312" w:eastAsia="仿宋_GB2312" w:cs="仿宋_GB2312"/>
          <w:color w:val="auto"/>
          <w:sz w:val="32"/>
          <w:szCs w:val="32"/>
          <w:lang w:eastAsia="zh-CN"/>
        </w:rPr>
        <w:t>预算数</w:t>
      </w:r>
      <w:r>
        <w:rPr>
          <w:rFonts w:hint="eastAsia" w:ascii="仿宋_GB2312" w:hAnsi="仿宋_GB2312" w:eastAsia="仿宋_GB2312" w:cs="仿宋_GB2312"/>
          <w:color w:val="auto"/>
          <w:sz w:val="32"/>
          <w:szCs w:val="32"/>
          <w:lang w:val="en-US" w:eastAsia="zh-CN"/>
        </w:rPr>
        <w:t>371.39万元，执行数365万元，</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rPr>
        <w:t>达到预期目标，对进一步培育消费新业态、新模式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新导向，提升消费，拉动市场，促进社会消费品零售市场快速回升</w:t>
      </w:r>
      <w:r>
        <w:rPr>
          <w:rFonts w:hint="eastAsia" w:ascii="仿宋_GB2312" w:hAnsi="仿宋_GB2312" w:eastAsia="仿宋_GB2312" w:cs="仿宋_GB2312"/>
          <w:color w:val="auto"/>
          <w:sz w:val="32"/>
          <w:szCs w:val="32"/>
          <w:lang w:eastAsia="zh-CN"/>
        </w:rPr>
        <w:t>发挥重要作用</w:t>
      </w:r>
      <w:r>
        <w:rPr>
          <w:rFonts w:hint="eastAsia" w:ascii="仿宋_GB2312" w:hAnsi="仿宋_GB2312" w:eastAsia="仿宋_GB2312" w:cs="仿宋_GB2312"/>
          <w:color w:val="auto"/>
          <w:sz w:val="32"/>
          <w:szCs w:val="32"/>
        </w:rPr>
        <w:t>。</w:t>
      </w:r>
    </w:p>
    <w:p>
      <w:pPr>
        <w:spacing w:line="58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1.项目绩效目标完成情况。</w:t>
      </w:r>
      <w:r>
        <w:rPr>
          <w:rFonts w:hint="eastAsia" w:ascii="楷体_GB2312" w:hAnsi="楷体_GB2312" w:eastAsia="楷体_GB2312" w:cs="楷体_GB2312"/>
          <w:color w:val="auto"/>
          <w:sz w:val="32"/>
          <w:szCs w:val="32"/>
        </w:rPr>
        <w:br w:type="textWrapping"/>
      </w:r>
      <w:r>
        <w:rPr>
          <w:rFonts w:hint="eastAsia" w:ascii="仿宋_GB2312" w:hAnsi="仿宋_GB2312" w:eastAsia="仿宋_GB2312" w:cs="仿宋_GB2312"/>
          <w:color w:val="auto"/>
          <w:sz w:val="32"/>
          <w:szCs w:val="32"/>
        </w:rPr>
        <w:t xml:space="preserve">    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在20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单位决算</w:t>
      </w:r>
      <w:r>
        <w:rPr>
          <w:rFonts w:hint="eastAsia" w:ascii="仿宋_GB2312" w:hAnsi="仿宋_GB2312" w:eastAsia="仿宋_GB2312" w:cs="仿宋_GB2312"/>
          <w:color w:val="auto"/>
          <w:sz w:val="32"/>
          <w:szCs w:val="32"/>
        </w:rPr>
        <w:t>中反映“</w:t>
      </w:r>
      <w:r>
        <w:rPr>
          <w:rFonts w:hint="eastAsia" w:ascii="仿宋_GB2312" w:hAnsi="仿宋_GB2312" w:eastAsia="仿宋_GB2312" w:cs="仿宋_GB2312"/>
          <w:color w:val="auto"/>
          <w:sz w:val="32"/>
          <w:szCs w:val="32"/>
          <w:lang w:eastAsia="zh-CN"/>
        </w:rPr>
        <w:t>商务事业运行补助经费</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个项目绩效目标实际完成情况。</w:t>
      </w:r>
    </w:p>
    <w:p>
      <w:pPr>
        <w:spacing w:line="58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商务事业运行补助经费</w:t>
      </w:r>
      <w:r>
        <w:rPr>
          <w:rFonts w:hint="eastAsia" w:ascii="仿宋_GB2312" w:hAnsi="仿宋_GB2312" w:eastAsia="仿宋_GB2312" w:cs="仿宋_GB2312"/>
          <w:color w:val="auto"/>
          <w:sz w:val="32"/>
          <w:szCs w:val="32"/>
        </w:rPr>
        <w:t>项目绩效目标完成情况综述。项目全年预算数</w:t>
      </w:r>
      <w:r>
        <w:rPr>
          <w:rFonts w:hint="eastAsia" w:ascii="仿宋_GB2312" w:hAnsi="仿宋_GB2312" w:eastAsia="仿宋_GB2312" w:cs="仿宋_GB2312"/>
          <w:color w:val="auto"/>
          <w:sz w:val="32"/>
          <w:szCs w:val="32"/>
          <w:lang w:val="en-US" w:eastAsia="zh-CN"/>
        </w:rPr>
        <w:t>352.33</w:t>
      </w:r>
      <w:r>
        <w:rPr>
          <w:rFonts w:hint="eastAsia" w:ascii="仿宋_GB2312" w:hAnsi="仿宋_GB2312" w:eastAsia="仿宋_GB2312" w:cs="仿宋_GB2312"/>
          <w:color w:val="auto"/>
          <w:sz w:val="32"/>
          <w:szCs w:val="32"/>
        </w:rPr>
        <w:t>万元，执行数为</w:t>
      </w:r>
      <w:r>
        <w:rPr>
          <w:rFonts w:hint="eastAsia" w:ascii="仿宋_GB2312" w:hAnsi="仿宋_GB2312" w:eastAsia="仿宋_GB2312" w:cs="仿宋_GB2312"/>
          <w:color w:val="auto"/>
          <w:sz w:val="32"/>
          <w:szCs w:val="32"/>
          <w:lang w:val="en-US" w:eastAsia="zh-CN"/>
        </w:rPr>
        <w:t>255.13</w:t>
      </w:r>
      <w:r>
        <w:rPr>
          <w:rFonts w:hint="eastAsia" w:ascii="仿宋_GB2312" w:hAnsi="仿宋_GB2312" w:eastAsia="仿宋_GB2312" w:cs="仿宋_GB2312"/>
          <w:color w:val="auto"/>
          <w:sz w:val="32"/>
          <w:szCs w:val="32"/>
        </w:rPr>
        <w:t>万元，完成预算的</w:t>
      </w:r>
      <w:r>
        <w:rPr>
          <w:rFonts w:hint="eastAsia" w:ascii="仿宋_GB2312" w:hAnsi="仿宋_GB2312" w:eastAsia="仿宋_GB2312" w:cs="仿宋_GB2312"/>
          <w:color w:val="auto"/>
          <w:sz w:val="32"/>
          <w:szCs w:val="32"/>
          <w:lang w:val="en-US" w:eastAsia="zh-CN"/>
        </w:rPr>
        <w:t>72.41</w:t>
      </w:r>
      <w:r>
        <w:rPr>
          <w:rFonts w:hint="eastAsia" w:ascii="仿宋_GB2312" w:hAnsi="仿宋_GB2312" w:eastAsia="仿宋_GB2312" w:cs="仿宋_GB2312"/>
          <w:color w:val="auto"/>
          <w:sz w:val="32"/>
          <w:szCs w:val="32"/>
        </w:rPr>
        <w:t>%。通过</w:t>
      </w:r>
      <w:r>
        <w:rPr>
          <w:rFonts w:hint="eastAsia" w:ascii="仿宋_GB2312" w:hAnsi="仿宋_GB2312" w:eastAsia="仿宋_GB2312" w:cs="仿宋_GB2312"/>
          <w:color w:val="auto"/>
          <w:sz w:val="32"/>
          <w:szCs w:val="32"/>
          <w:lang w:eastAsia="zh-CN"/>
        </w:rPr>
        <w:t>该</w:t>
      </w:r>
      <w:r>
        <w:rPr>
          <w:rFonts w:hint="eastAsia" w:ascii="仿宋_GB2312" w:hAnsi="仿宋_GB2312" w:eastAsia="仿宋_GB2312" w:cs="仿宋_GB2312"/>
          <w:color w:val="auto"/>
          <w:sz w:val="32"/>
          <w:szCs w:val="32"/>
        </w:rPr>
        <w:t>项目实施，保障</w:t>
      </w:r>
      <w:r>
        <w:rPr>
          <w:rFonts w:hint="eastAsia" w:ascii="仿宋_GB2312" w:hAnsi="仿宋_GB2312" w:eastAsia="仿宋_GB2312" w:cs="仿宋_GB2312"/>
          <w:color w:val="auto"/>
          <w:sz w:val="32"/>
          <w:szCs w:val="32"/>
          <w:lang w:eastAsia="zh-CN"/>
        </w:rPr>
        <w:t>了商务领域十四五规划前期研究，</w:t>
      </w:r>
      <w:r>
        <w:rPr>
          <w:rFonts w:hint="eastAsia" w:ascii="仿宋_GB2312" w:hAnsi="仿宋_GB2312" w:eastAsia="仿宋_GB2312" w:cs="仿宋_GB2312"/>
          <w:color w:val="auto"/>
          <w:sz w:val="32"/>
          <w:szCs w:val="32"/>
        </w:rPr>
        <w:t>统筹推进服务业发展</w:t>
      </w:r>
      <w:r>
        <w:rPr>
          <w:rFonts w:hint="eastAsia" w:ascii="仿宋_GB2312" w:hAnsi="仿宋_GB2312" w:eastAsia="仿宋_GB2312" w:cs="仿宋_GB2312"/>
          <w:color w:val="auto"/>
          <w:sz w:val="32"/>
          <w:szCs w:val="32"/>
          <w:lang w:eastAsia="zh-CN"/>
        </w:rPr>
        <w:t>，推动了对外贸易跨越升位，创新提升开放平台能级。</w:t>
      </w:r>
      <w:r>
        <w:rPr>
          <w:rFonts w:hint="eastAsia" w:ascii="仿宋_GB2312" w:hAnsi="仿宋_GB2312" w:eastAsia="仿宋_GB2312" w:cs="仿宋_GB2312"/>
          <w:color w:val="auto"/>
          <w:sz w:val="32"/>
          <w:szCs w:val="32"/>
        </w:rPr>
        <w:t>发现的主要问题：</w:t>
      </w:r>
      <w:r>
        <w:rPr>
          <w:rFonts w:hint="eastAsia" w:ascii="仿宋_GB2312" w:hAnsi="仿宋_GB2312" w:eastAsia="仿宋_GB2312" w:cs="仿宋_GB2312"/>
          <w:color w:val="auto"/>
          <w:sz w:val="32"/>
          <w:szCs w:val="32"/>
          <w:lang w:eastAsia="zh-CN"/>
        </w:rPr>
        <w:t>项目实施周期与部门预算周期有错位，难以保障项目资金及时支付</w:t>
      </w:r>
      <w:r>
        <w:rPr>
          <w:rFonts w:hint="eastAsia" w:ascii="仿宋_GB2312" w:hAnsi="仿宋_GB2312" w:eastAsia="仿宋_GB2312" w:cs="仿宋_GB2312"/>
          <w:color w:val="auto"/>
          <w:sz w:val="32"/>
          <w:szCs w:val="32"/>
        </w:rPr>
        <w:t>。下一步改进措施：</w:t>
      </w:r>
      <w:r>
        <w:rPr>
          <w:rFonts w:hint="eastAsia" w:ascii="仿宋_GB2312" w:hAnsi="仿宋_GB2312" w:eastAsia="仿宋_GB2312" w:cs="仿宋_GB2312"/>
          <w:color w:val="auto"/>
          <w:sz w:val="32"/>
          <w:szCs w:val="32"/>
          <w:lang w:eastAsia="zh-CN"/>
        </w:rPr>
        <w:t>提高项目实施与资金预算的匹配度，提高财政资金使用质效。</w:t>
      </w:r>
    </w:p>
    <w:p>
      <w:pPr>
        <w:spacing w:line="580" w:lineRule="exact"/>
        <w:ind w:firstLine="640" w:firstLineChars="200"/>
        <w:rPr>
          <w:rFonts w:ascii="仿宋_GB2312" w:hAnsi="仿宋_GB2312" w:eastAsia="仿宋_GB2312" w:cs="仿宋_GB2312"/>
          <w:color w:val="auto"/>
          <w:sz w:val="32"/>
          <w:szCs w:val="32"/>
        </w:rPr>
      </w:pPr>
    </w:p>
    <w:p>
      <w:pPr>
        <w:pStyle w:val="2"/>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auto"/>
                <w:sz w:val="36"/>
                <w:szCs w:val="36"/>
              </w:rPr>
            </w:pPr>
            <w:r>
              <w:rPr>
                <w:rFonts w:hint="eastAsia" w:ascii="宋体" w:hAnsi="宋体" w:cs="宋体"/>
                <w:b/>
                <w:bCs/>
                <w:color w:val="auto"/>
                <w:kern w:val="0"/>
                <w:sz w:val="36"/>
                <w:szCs w:val="36"/>
                <w:lang w:bidi="ar"/>
              </w:rPr>
              <w:t>项目绩效目标完成情况表</w:t>
            </w:r>
            <w:r>
              <w:rPr>
                <w:rFonts w:hint="eastAsia" w:ascii="宋体" w:hAnsi="宋体" w:cs="宋体"/>
                <w:b/>
                <w:bCs/>
                <w:color w:val="auto"/>
                <w:kern w:val="0"/>
                <w:sz w:val="36"/>
                <w:szCs w:val="36"/>
                <w:lang w:bidi="ar"/>
              </w:rPr>
              <w:br w:type="textWrapping"/>
            </w:r>
            <w:r>
              <w:rPr>
                <w:rFonts w:hint="eastAsia" w:ascii="宋体" w:hAnsi="宋体" w:cs="宋体"/>
                <w:color w:val="auto"/>
                <w:kern w:val="0"/>
                <w:sz w:val="36"/>
                <w:szCs w:val="36"/>
                <w:lang w:bidi="ar"/>
              </w:rPr>
              <w:t>(20</w:t>
            </w:r>
            <w:r>
              <w:rPr>
                <w:rFonts w:hint="eastAsia" w:ascii="宋体" w:hAnsi="宋体" w:cs="宋体"/>
                <w:color w:val="auto"/>
                <w:kern w:val="0"/>
                <w:sz w:val="36"/>
                <w:szCs w:val="36"/>
                <w:lang w:val="en-US" w:eastAsia="zh-CN" w:bidi="ar"/>
              </w:rPr>
              <w:t>20</w:t>
            </w:r>
            <w:r>
              <w:rPr>
                <w:rFonts w:hint="eastAsia" w:ascii="宋体" w:hAnsi="宋体" w:cs="宋体"/>
                <w:color w:val="auto"/>
                <w:kern w:val="0"/>
                <w:sz w:val="36"/>
                <w:szCs w:val="36"/>
                <w:lang w:bidi="ar"/>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商务事业运行补助经费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四川省商务厅机关</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352.33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255.13</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352.33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255.13</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把握新要求，明确新目标，谋划新举措，努力推动商务高质量发展，突出抓好“两大工程”、着力构建“三大体系”、扎实推进“四大行动”，努力建设现代化商务经济强省。</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auto"/>
                <w:sz w:val="24"/>
              </w:rPr>
            </w:pPr>
            <w:r>
              <w:rPr>
                <w:rFonts w:hint="eastAsia" w:ascii="宋体" w:hAnsi="宋体" w:cs="宋体"/>
                <w:color w:val="auto"/>
                <w:sz w:val="24"/>
              </w:rPr>
              <w:t>及时掌握2020年度外贸数据，表彰四川自贸试验区工作先进，完成中国（四川）自由贸易试验区建设三周年第三方评估，编印《四川商务年鉴》，完成商务相关课题研究，完成四川省十四五服务业发展规划编制，对厅机关安全设备进行优化，网络安全等测评，完成《四川省加强管理服务促进会展业发展的规定》立法修订项目。</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实际完成指标值(包含数字及文字描述)</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完成项目数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不少于</w:t>
            </w:r>
            <w:r>
              <w:rPr>
                <w:rFonts w:hint="eastAsia" w:ascii="宋体" w:hAnsi="宋体" w:cs="宋体"/>
                <w:color w:val="auto"/>
                <w:sz w:val="24"/>
                <w:lang w:val="en-US" w:eastAsia="zh-CN"/>
              </w:rPr>
              <w:t>5个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10个</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法律咨询</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每周不少于</w:t>
            </w:r>
            <w:r>
              <w:rPr>
                <w:rFonts w:hint="eastAsia" w:ascii="宋体" w:hAnsi="宋体" w:cs="宋体"/>
                <w:color w:val="auto"/>
                <w:sz w:val="24"/>
                <w:lang w:val="en-US" w:eastAsia="zh-CN"/>
              </w:rPr>
              <w:t>1次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eastAsia="zh-CN"/>
              </w:rPr>
              <w:t>每周</w:t>
            </w:r>
            <w:r>
              <w:rPr>
                <w:rFonts w:hint="eastAsia" w:ascii="宋体" w:hAnsi="宋体" w:cs="宋体"/>
                <w:color w:val="auto"/>
                <w:sz w:val="24"/>
                <w:lang w:val="en-US" w:eastAsia="zh-CN"/>
              </w:rPr>
              <w:t>1次</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项目完成节点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1年</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kern w:val="0"/>
                <w:sz w:val="24"/>
                <w:lang w:bidi="ar"/>
              </w:rPr>
            </w:pPr>
            <w:r>
              <w:rPr>
                <w:rFonts w:hint="eastAsia" w:ascii="宋体" w:hAnsi="宋体" w:cs="宋体"/>
                <w:color w:val="auto"/>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财政资金投入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352.33万元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255.13万元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eastAsia="zh-CN"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海关数据获取</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及时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及时</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对生态环境影响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良好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良好</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可持续影响指标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项目影响年限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长期</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满意</w:t>
            </w:r>
          </w:p>
        </w:tc>
      </w:tr>
    </w:tbl>
    <w:p>
      <w:pPr>
        <w:spacing w:line="580" w:lineRule="exact"/>
        <w:ind w:left="63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2.</w:t>
      </w:r>
      <w:r>
        <w:rPr>
          <w:rFonts w:hint="eastAsia" w:ascii="楷体_GB2312" w:hAnsi="楷体_GB2312" w:eastAsia="楷体_GB2312" w:cs="楷体_GB2312"/>
          <w:color w:val="auto"/>
          <w:sz w:val="32"/>
          <w:szCs w:val="32"/>
          <w:lang w:eastAsia="zh-CN"/>
        </w:rPr>
        <w:t>单位</w:t>
      </w:r>
      <w:r>
        <w:rPr>
          <w:rFonts w:hint="eastAsia" w:ascii="楷体_GB2312" w:hAnsi="楷体_GB2312" w:eastAsia="楷体_GB2312" w:cs="楷体_GB2312"/>
          <w:color w:val="auto"/>
          <w:sz w:val="32"/>
          <w:szCs w:val="32"/>
        </w:rPr>
        <w:t>绩效评价结果。</w:t>
      </w:r>
    </w:p>
    <w:p>
      <w:pPr>
        <w:spacing w:line="580" w:lineRule="exact"/>
        <w:ind w:firstLine="640" w:firstLineChars="200"/>
        <w:rPr>
          <w:rFonts w:ascii="仿宋_GB2312" w:eastAsia="仿宋_GB2312"/>
          <w:b/>
          <w:color w:val="auto"/>
          <w:sz w:val="32"/>
          <w:szCs w:val="32"/>
          <w:highlight w:val="yellow"/>
        </w:rPr>
      </w:pPr>
      <w:r>
        <w:rPr>
          <w:rFonts w:hint="eastAsia" w:ascii="仿宋_GB2312" w:hAnsi="仿宋_GB2312" w:eastAsia="仿宋_GB2312" w:cs="仿宋_GB2312"/>
          <w:color w:val="auto"/>
          <w:sz w:val="32"/>
          <w:szCs w:val="32"/>
        </w:rPr>
        <w:t>本单位自行组织对</w:t>
      </w:r>
      <w:r>
        <w:rPr>
          <w:rFonts w:hint="eastAsia" w:ascii="仿宋_GB2312" w:hAnsi="仿宋_GB2312" w:eastAsia="仿宋_GB2312" w:cs="仿宋_GB2312"/>
          <w:color w:val="auto"/>
          <w:sz w:val="32"/>
          <w:szCs w:val="32"/>
          <w:lang w:eastAsia="zh-CN"/>
        </w:rPr>
        <w:t>商务事业运行补助经费</w:t>
      </w:r>
      <w:r>
        <w:rPr>
          <w:rFonts w:hint="eastAsia" w:ascii="仿宋_GB2312" w:hAnsi="仿宋_GB2312" w:eastAsia="仿宋_GB2312" w:cs="仿宋_GB2312"/>
          <w:color w:val="auto"/>
          <w:sz w:val="32"/>
          <w:szCs w:val="32"/>
        </w:rPr>
        <w:t>项目开展了绩效评价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《四川省商务厅机关2020年部门预算项目支出绩效自评报告》见附件</w:t>
      </w:r>
      <w:r>
        <w:rPr>
          <w:rFonts w:hint="eastAsia" w:ascii="仿宋_GB2312" w:hAnsi="仿宋_GB2312" w:eastAsia="仿宋_GB2312" w:cs="仿宋_GB2312"/>
          <w:color w:val="auto"/>
          <w:sz w:val="32"/>
          <w:szCs w:val="32"/>
          <w:lang w:eastAsia="zh-CN"/>
        </w:rPr>
        <w:t>（第四部分）</w:t>
      </w:r>
      <w:r>
        <w:rPr>
          <w:rFonts w:hint="eastAsia" w:ascii="仿宋_GB2312" w:hAnsi="仿宋_GB2312" w:eastAsia="仿宋_GB2312" w:cs="仿宋_GB2312"/>
          <w:color w:val="auto"/>
          <w:sz w:val="32"/>
          <w:szCs w:val="32"/>
        </w:rPr>
        <w:t>。</w:t>
      </w:r>
    </w:p>
    <w:p>
      <w:pPr>
        <w:widowControl/>
        <w:jc w:val="left"/>
        <w:rPr>
          <w:rFonts w:ascii="仿宋_GB2312" w:eastAsia="仿宋_GB2312"/>
          <w:b/>
          <w:color w:val="auto"/>
          <w:sz w:val="32"/>
          <w:szCs w:val="32"/>
        </w:rPr>
      </w:pPr>
      <w:r>
        <w:rPr>
          <w:rFonts w:ascii="仿宋_GB2312" w:eastAsia="仿宋_GB2312"/>
          <w:b/>
          <w:color w:val="auto"/>
          <w:sz w:val="32"/>
          <w:szCs w:val="32"/>
        </w:rPr>
        <w:br w:type="page"/>
      </w:r>
    </w:p>
    <w:p>
      <w:pPr>
        <w:numPr>
          <w:ilvl w:val="0"/>
          <w:numId w:val="3"/>
        </w:numPr>
        <w:spacing w:line="600" w:lineRule="exact"/>
        <w:ind w:firstLine="660" w:firstLineChars="150"/>
        <w:jc w:val="center"/>
        <w:outlineLvl w:val="0"/>
        <w:rPr>
          <w:rStyle w:val="24"/>
          <w:rFonts w:ascii="黑体" w:hAnsi="黑体" w:eastAsia="黑体"/>
          <w:b w:val="0"/>
          <w:color w:val="auto"/>
          <w:highlight w:val="none"/>
        </w:rPr>
      </w:pPr>
      <w:bookmarkStart w:id="124" w:name="_Toc15396613"/>
      <w:bookmarkStart w:id="125" w:name="_Toc15455"/>
      <w:bookmarkStart w:id="126" w:name="_Toc25849_WPSOffice_Level1"/>
      <w:bookmarkStart w:id="127" w:name="_Toc19627"/>
      <w:bookmarkStart w:id="128" w:name="_Toc113776490_WPSOffice_Level1"/>
      <w:bookmarkStart w:id="129" w:name="_Toc15377225"/>
      <w:bookmarkStart w:id="130" w:name="_Toc1672773470_WPSOffice_Level1"/>
      <w:bookmarkStart w:id="131" w:name="_Toc15396614"/>
      <w:bookmarkStart w:id="132" w:name="_Toc15377226"/>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124"/>
      <w:bookmarkEnd w:id="125"/>
      <w:bookmarkEnd w:id="126"/>
      <w:bookmarkEnd w:id="127"/>
      <w:bookmarkEnd w:id="128"/>
      <w:bookmarkEnd w:id="129"/>
      <w:bookmarkEnd w:id="130"/>
    </w:p>
    <w:p>
      <w:pPr>
        <w:spacing w:line="600" w:lineRule="exact"/>
        <w:jc w:val="left"/>
        <w:rPr>
          <w:rFonts w:ascii="宋体"/>
          <w:b/>
          <w:color w:val="auto"/>
          <w:sz w:val="44"/>
          <w:szCs w:val="44"/>
          <w:highlight w:val="none"/>
        </w:rPr>
      </w:pPr>
    </w:p>
    <w:p>
      <w:pPr>
        <w:pStyle w:val="22"/>
        <w:spacing w:line="560" w:lineRule="exact"/>
        <w:ind w:firstLine="640" w:firstLineChars="200"/>
        <w:jc w:val="both"/>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highlight w:val="none"/>
          <w:lang w:eastAsia="zh-CN"/>
        </w:rPr>
        <w:t>指利息收入、捐赠收入、固定资产出租收入</w:t>
      </w:r>
      <w:r>
        <w:rPr>
          <w:rFonts w:hint="eastAsia" w:ascii="仿宋_GB2312" w:eastAsia="仿宋_GB2312"/>
          <w:color w:val="auto"/>
          <w:sz w:val="32"/>
          <w:szCs w:val="32"/>
          <w:highlight w:val="none"/>
        </w:rPr>
        <w:t>等。</w:t>
      </w:r>
      <w:r>
        <w:rPr>
          <w:rFonts w:ascii="仿宋_GB2312" w:eastAsia="仿宋_GB2312"/>
          <w:color w:val="auto"/>
          <w:sz w:val="32"/>
          <w:szCs w:val="32"/>
          <w:highlight w:val="none"/>
        </w:rPr>
        <w:t xml:space="preserve"> </w:t>
      </w:r>
    </w:p>
    <w:p>
      <w:pPr>
        <w:pStyle w:val="22"/>
        <w:spacing w:line="560" w:lineRule="exac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jc w:val="both"/>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4</w:t>
      </w:r>
      <w:r>
        <w:rPr>
          <w:rFonts w:hint="default" w:ascii="仿宋_GB2312" w:eastAsia="仿宋_GB2312"/>
          <w:color w:val="auto"/>
          <w:sz w:val="32"/>
          <w:szCs w:val="32"/>
          <w:highlight w:val="none"/>
          <w:lang w:val="en"/>
        </w:rPr>
        <w:t>.</w:t>
      </w:r>
      <w:r>
        <w:rPr>
          <w:rFonts w:hint="eastAsia" w:ascii="仿宋_GB2312" w:eastAsia="仿宋_GB2312"/>
          <w:color w:val="auto"/>
          <w:sz w:val="32"/>
          <w:szCs w:val="32"/>
          <w:highlight w:val="none"/>
        </w:rPr>
        <w:t>年末结转和结余：指单位按有关规定结转到下年或以后年度继续使用的资金。</w:t>
      </w:r>
    </w:p>
    <w:p>
      <w:pPr>
        <w:pStyle w:val="22"/>
        <w:spacing w:line="560" w:lineRule="exact"/>
        <w:ind w:firstLine="640" w:firstLineChars="200"/>
        <w:jc w:val="both"/>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5</w:t>
      </w:r>
      <w:r>
        <w:rPr>
          <w:rFonts w:hint="default" w:ascii="仿宋_GB2312" w:eastAsia="仿宋_GB2312"/>
          <w:color w:val="auto"/>
          <w:sz w:val="32"/>
          <w:szCs w:val="32"/>
          <w:highlight w:val="none"/>
          <w:lang w:val="en" w:eastAsia="zh-CN"/>
        </w:rPr>
        <w:t>.</w:t>
      </w:r>
      <w:r>
        <w:rPr>
          <w:rFonts w:hint="eastAsia" w:ascii="仿宋_GB2312" w:eastAsia="仿宋_GB2312"/>
          <w:color w:val="auto"/>
          <w:sz w:val="32"/>
          <w:szCs w:val="32"/>
          <w:highlight w:val="none"/>
        </w:rPr>
        <w:t>一般公共服务支出（类）</w:t>
      </w:r>
      <w:r>
        <w:rPr>
          <w:rFonts w:hint="eastAsia" w:ascii="仿宋_GB2312" w:eastAsia="仿宋_GB2312"/>
          <w:color w:val="auto"/>
          <w:sz w:val="32"/>
          <w:szCs w:val="32"/>
          <w:highlight w:val="none"/>
          <w:lang w:eastAsia="zh-CN"/>
        </w:rPr>
        <w:t>发展与改革事务（款）行政运行（项）：指商务厅机关的基本支出。</w:t>
      </w:r>
    </w:p>
    <w:p>
      <w:pPr>
        <w:pStyle w:val="22"/>
        <w:spacing w:line="560" w:lineRule="exac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ascii="仿宋_GB2312" w:eastAsia="仿宋_GB2312"/>
          <w:color w:val="auto"/>
          <w:sz w:val="32"/>
          <w:szCs w:val="32"/>
          <w:highlight w:val="none"/>
        </w:rPr>
        <w:t>.</w:t>
      </w:r>
      <w:r>
        <w:rPr>
          <w:rFonts w:ascii="仿宋_GB2312" w:eastAsia="仿宋_GB2312"/>
          <w:color w:val="auto"/>
          <w:sz w:val="32"/>
          <w:szCs w:val="32"/>
          <w:highlight w:val="none"/>
          <w:lang w:eastAsia="zh-CN"/>
        </w:rPr>
        <w:t>一般公共服务支出（类）商贸事务（款）行政运行（项）：</w:t>
      </w:r>
      <w:r>
        <w:rPr>
          <w:rFonts w:hint="eastAsia" w:ascii="仿宋_GB2312" w:eastAsia="仿宋_GB2312"/>
          <w:color w:val="auto"/>
          <w:sz w:val="32"/>
          <w:szCs w:val="32"/>
          <w:highlight w:val="none"/>
          <w:lang w:eastAsia="zh-CN"/>
        </w:rPr>
        <w:t>指商务厅机关的基本支出。</w:t>
      </w:r>
    </w:p>
    <w:p>
      <w:pPr>
        <w:pStyle w:val="22"/>
        <w:spacing w:line="560" w:lineRule="exact"/>
        <w:ind w:firstLine="640" w:firstLineChars="200"/>
        <w:jc w:val="both"/>
        <w:rPr>
          <w:rFonts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7</w:t>
      </w:r>
      <w:r>
        <w:rPr>
          <w:rFonts w:ascii="仿宋_GB2312" w:eastAsia="仿宋_GB2312"/>
          <w:color w:val="auto"/>
          <w:sz w:val="32"/>
          <w:szCs w:val="32"/>
          <w:highlight w:val="none"/>
          <w:lang w:eastAsia="zh-CN"/>
        </w:rPr>
        <w:t>.一般公共服务支出（类）商贸事务（款）一般行政管理事务（项）：指</w:t>
      </w:r>
      <w:r>
        <w:rPr>
          <w:rFonts w:hint="eastAsia" w:ascii="仿宋_GB2312" w:eastAsia="仿宋_GB2312"/>
          <w:color w:val="auto"/>
          <w:sz w:val="32"/>
          <w:szCs w:val="32"/>
          <w:highlight w:val="none"/>
          <w:lang w:eastAsia="zh-CN"/>
        </w:rPr>
        <w:t>商务厅机关的基本支出及项目支出。</w:t>
      </w:r>
    </w:p>
    <w:p>
      <w:pPr>
        <w:pStyle w:val="22"/>
        <w:spacing w:line="560" w:lineRule="exact"/>
        <w:ind w:firstLine="640" w:firstLineChars="200"/>
        <w:jc w:val="both"/>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8</w:t>
      </w:r>
      <w:r>
        <w:rPr>
          <w:rFonts w:ascii="仿宋_GB2312" w:eastAsia="仿宋_GB2312"/>
          <w:color w:val="auto"/>
          <w:sz w:val="32"/>
          <w:szCs w:val="32"/>
          <w:highlight w:val="none"/>
          <w:lang w:eastAsia="zh-CN"/>
        </w:rPr>
        <w:t>.一般公共服务支出（类）商贸事务（款）其他商贸事务支出（项）：指</w:t>
      </w:r>
      <w:r>
        <w:rPr>
          <w:rFonts w:hint="eastAsia" w:ascii="仿宋_GB2312" w:eastAsia="仿宋_GB2312"/>
          <w:color w:val="auto"/>
          <w:sz w:val="32"/>
          <w:szCs w:val="32"/>
          <w:highlight w:val="none"/>
          <w:lang w:eastAsia="zh-CN"/>
        </w:rPr>
        <w:t>商务厅用于</w:t>
      </w:r>
      <w:r>
        <w:rPr>
          <w:rFonts w:ascii="仿宋_GB2312" w:eastAsia="仿宋_GB2312"/>
          <w:color w:val="auto"/>
          <w:sz w:val="32"/>
          <w:szCs w:val="32"/>
          <w:highlight w:val="none"/>
          <w:lang w:eastAsia="zh-CN"/>
        </w:rPr>
        <w:t>其他商贸事务</w:t>
      </w:r>
      <w:r>
        <w:rPr>
          <w:rFonts w:hint="eastAsia" w:ascii="仿宋_GB2312" w:eastAsia="仿宋_GB2312"/>
          <w:color w:val="auto"/>
          <w:sz w:val="32"/>
          <w:szCs w:val="32"/>
          <w:highlight w:val="none"/>
          <w:lang w:eastAsia="zh-CN"/>
        </w:rPr>
        <w:t>的</w:t>
      </w:r>
      <w:r>
        <w:rPr>
          <w:rFonts w:ascii="仿宋_GB2312" w:eastAsia="仿宋_GB2312"/>
          <w:color w:val="auto"/>
          <w:sz w:val="32"/>
          <w:szCs w:val="32"/>
          <w:highlight w:val="none"/>
          <w:lang w:eastAsia="zh-CN"/>
        </w:rPr>
        <w:t>支出</w:t>
      </w:r>
      <w:r>
        <w:rPr>
          <w:rFonts w:hint="eastAsia" w:ascii="仿宋_GB2312" w:eastAsia="仿宋_GB2312"/>
          <w:color w:val="auto"/>
          <w:sz w:val="32"/>
          <w:szCs w:val="32"/>
          <w:highlight w:val="none"/>
          <w:lang w:eastAsia="zh-CN"/>
        </w:rPr>
        <w:t>。</w:t>
      </w:r>
    </w:p>
    <w:p>
      <w:pPr>
        <w:pStyle w:val="22"/>
        <w:spacing w:line="560" w:lineRule="exact"/>
        <w:ind w:firstLine="640" w:firstLineChars="200"/>
        <w:jc w:val="both"/>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9</w:t>
      </w:r>
      <w:r>
        <w:rPr>
          <w:rFonts w:ascii="仿宋_GB2312" w:eastAsia="仿宋_GB2312"/>
          <w:color w:val="auto"/>
          <w:sz w:val="32"/>
          <w:szCs w:val="32"/>
          <w:highlight w:val="none"/>
          <w:lang w:eastAsia="zh-CN"/>
        </w:rPr>
        <w:t>.一般公共服务支出（类）</w:t>
      </w:r>
      <w:r>
        <w:rPr>
          <w:rFonts w:hint="eastAsia" w:ascii="仿宋_GB2312" w:eastAsia="仿宋_GB2312"/>
          <w:color w:val="auto"/>
          <w:sz w:val="32"/>
          <w:szCs w:val="32"/>
          <w:highlight w:val="none"/>
          <w:lang w:eastAsia="zh-CN"/>
        </w:rPr>
        <w:t>组织事务（款）一般行政管理事务（项）：指商务厅机关其他支出。</w:t>
      </w:r>
    </w:p>
    <w:p>
      <w:pPr>
        <w:pStyle w:val="22"/>
        <w:spacing w:line="560" w:lineRule="exact"/>
        <w:ind w:firstLine="640" w:firstLineChars="200"/>
        <w:jc w:val="both"/>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10</w:t>
      </w:r>
      <w:r>
        <w:rPr>
          <w:rFonts w:ascii="仿宋_GB2312" w:eastAsia="仿宋_GB2312"/>
          <w:color w:val="auto"/>
          <w:sz w:val="32"/>
          <w:szCs w:val="32"/>
          <w:highlight w:val="none"/>
          <w:lang w:eastAsia="zh-CN"/>
        </w:rPr>
        <w:t>.一般公共服务支出（类）</w:t>
      </w:r>
      <w:r>
        <w:rPr>
          <w:rFonts w:hint="eastAsia" w:ascii="仿宋_GB2312" w:eastAsia="仿宋_GB2312"/>
          <w:color w:val="auto"/>
          <w:sz w:val="32"/>
          <w:szCs w:val="32"/>
          <w:highlight w:val="none"/>
          <w:lang w:eastAsia="zh-CN"/>
        </w:rPr>
        <w:t>市场监督管理事务</w:t>
      </w:r>
      <w:r>
        <w:rPr>
          <w:rFonts w:ascii="仿宋_GB2312" w:eastAsia="仿宋_GB2312"/>
          <w:color w:val="auto"/>
          <w:sz w:val="32"/>
          <w:szCs w:val="32"/>
          <w:highlight w:val="none"/>
          <w:lang w:eastAsia="zh-CN"/>
        </w:rPr>
        <w:t>（款）其他</w:t>
      </w:r>
      <w:r>
        <w:rPr>
          <w:rFonts w:hint="eastAsia" w:ascii="仿宋_GB2312" w:eastAsia="仿宋_GB2312"/>
          <w:color w:val="auto"/>
          <w:sz w:val="32"/>
          <w:szCs w:val="32"/>
          <w:highlight w:val="none"/>
          <w:lang w:eastAsia="zh-CN"/>
        </w:rPr>
        <w:t>市场监督管理事务</w:t>
      </w:r>
      <w:r>
        <w:rPr>
          <w:rFonts w:ascii="仿宋_GB2312" w:eastAsia="仿宋_GB2312"/>
          <w:color w:val="auto"/>
          <w:sz w:val="32"/>
          <w:szCs w:val="32"/>
          <w:highlight w:val="none"/>
          <w:lang w:eastAsia="zh-CN"/>
        </w:rPr>
        <w:t>（项）：指</w:t>
      </w:r>
      <w:r>
        <w:rPr>
          <w:rFonts w:hint="eastAsia" w:ascii="仿宋_GB2312" w:eastAsia="仿宋_GB2312"/>
          <w:color w:val="auto"/>
          <w:sz w:val="32"/>
          <w:szCs w:val="32"/>
          <w:highlight w:val="none"/>
          <w:lang w:eastAsia="zh-CN"/>
        </w:rPr>
        <w:t>商务厅机关</w:t>
      </w:r>
      <w:r>
        <w:rPr>
          <w:rFonts w:ascii="仿宋_GB2312" w:eastAsia="仿宋_GB2312"/>
          <w:color w:val="auto"/>
          <w:sz w:val="32"/>
          <w:szCs w:val="32"/>
          <w:highlight w:val="none"/>
          <w:lang w:eastAsia="zh-CN"/>
        </w:rPr>
        <w:t>其他</w:t>
      </w:r>
      <w:r>
        <w:rPr>
          <w:rFonts w:hint="eastAsia" w:ascii="仿宋_GB2312" w:eastAsia="仿宋_GB2312"/>
          <w:color w:val="auto"/>
          <w:sz w:val="32"/>
          <w:szCs w:val="32"/>
          <w:highlight w:val="none"/>
          <w:lang w:eastAsia="zh-CN"/>
        </w:rPr>
        <w:t>市场监督管理</w:t>
      </w:r>
      <w:r>
        <w:rPr>
          <w:rFonts w:ascii="仿宋_GB2312" w:eastAsia="仿宋_GB2312"/>
          <w:color w:val="auto"/>
          <w:sz w:val="32"/>
          <w:szCs w:val="32"/>
          <w:highlight w:val="none"/>
          <w:lang w:eastAsia="zh-CN"/>
        </w:rPr>
        <w:t>事务支出</w:t>
      </w:r>
      <w:r>
        <w:rPr>
          <w:rFonts w:hint="eastAsia" w:ascii="仿宋_GB2312" w:eastAsia="仿宋_GB2312"/>
          <w:color w:val="auto"/>
          <w:sz w:val="32"/>
          <w:szCs w:val="32"/>
          <w:highlight w:val="none"/>
          <w:lang w:eastAsia="zh-CN"/>
        </w:rPr>
        <w:t>。</w:t>
      </w:r>
    </w:p>
    <w:p>
      <w:pPr>
        <w:pStyle w:val="22"/>
        <w:spacing w:line="560" w:lineRule="exact"/>
        <w:ind w:firstLine="640" w:firstLineChars="200"/>
        <w:jc w:val="both"/>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11.</w:t>
      </w:r>
      <w:r>
        <w:rPr>
          <w:rFonts w:ascii="仿宋_GB2312" w:eastAsia="仿宋_GB2312"/>
          <w:color w:val="auto"/>
          <w:sz w:val="32"/>
          <w:szCs w:val="32"/>
          <w:highlight w:val="none"/>
          <w:lang w:eastAsia="zh-CN"/>
        </w:rPr>
        <w:t>一般公共服务支出（类）</w:t>
      </w:r>
      <w:r>
        <w:rPr>
          <w:rFonts w:hint="eastAsia" w:ascii="仿宋_GB2312" w:eastAsia="仿宋_GB2312"/>
          <w:color w:val="auto"/>
          <w:sz w:val="32"/>
          <w:szCs w:val="32"/>
          <w:highlight w:val="none"/>
          <w:lang w:eastAsia="zh-CN"/>
        </w:rPr>
        <w:t>其他一般公共服务支出</w:t>
      </w:r>
      <w:r>
        <w:rPr>
          <w:rFonts w:ascii="仿宋_GB2312" w:eastAsia="仿宋_GB2312"/>
          <w:color w:val="auto"/>
          <w:sz w:val="32"/>
          <w:szCs w:val="32"/>
          <w:highlight w:val="none"/>
          <w:lang w:eastAsia="zh-CN"/>
        </w:rPr>
        <w:t>（款）</w:t>
      </w:r>
      <w:r>
        <w:rPr>
          <w:rFonts w:hint="eastAsia" w:ascii="仿宋_GB2312" w:eastAsia="仿宋_GB2312"/>
          <w:color w:val="auto"/>
          <w:sz w:val="32"/>
          <w:szCs w:val="32"/>
          <w:highlight w:val="none"/>
          <w:lang w:eastAsia="zh-CN"/>
        </w:rPr>
        <w:t>其他一般公共服务支出</w:t>
      </w:r>
      <w:r>
        <w:rPr>
          <w:rFonts w:ascii="仿宋_GB2312" w:eastAsia="仿宋_GB2312"/>
          <w:color w:val="auto"/>
          <w:sz w:val="32"/>
          <w:szCs w:val="32"/>
          <w:highlight w:val="none"/>
          <w:lang w:eastAsia="zh-CN"/>
        </w:rPr>
        <w:t>（项）：指</w:t>
      </w:r>
      <w:r>
        <w:rPr>
          <w:rFonts w:hint="eastAsia" w:ascii="仿宋_GB2312" w:eastAsia="仿宋_GB2312"/>
          <w:color w:val="auto"/>
          <w:sz w:val="32"/>
          <w:szCs w:val="32"/>
          <w:highlight w:val="none"/>
          <w:lang w:eastAsia="zh-CN"/>
        </w:rPr>
        <w:t>商务厅机关车辆运行维护费。</w:t>
      </w:r>
    </w:p>
    <w:p>
      <w:pPr>
        <w:pStyle w:val="22"/>
        <w:spacing w:line="560" w:lineRule="exact"/>
        <w:ind w:firstLine="640" w:firstLineChars="200"/>
        <w:jc w:val="both"/>
        <w:rPr>
          <w:rFonts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lang w:eastAsia="zh-CN"/>
        </w:rPr>
        <w:t>.教育支出（类）进修及培训（款）培训支出（项）：指</w:t>
      </w:r>
      <w:r>
        <w:rPr>
          <w:rFonts w:hint="eastAsia" w:ascii="仿宋_GB2312" w:eastAsia="仿宋_GB2312"/>
          <w:color w:val="auto"/>
          <w:sz w:val="32"/>
          <w:szCs w:val="32"/>
          <w:highlight w:val="none"/>
          <w:lang w:eastAsia="zh-CN"/>
        </w:rPr>
        <w:t>商务厅安排的培训支出。</w:t>
      </w:r>
    </w:p>
    <w:p>
      <w:pPr>
        <w:pStyle w:val="22"/>
        <w:spacing w:line="560" w:lineRule="exact"/>
        <w:ind w:firstLine="640" w:firstLineChars="200"/>
        <w:jc w:val="both"/>
        <w:rPr>
          <w:rFonts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lang w:eastAsia="zh-CN"/>
        </w:rPr>
        <w:t>.社会保障和就业支出（类）行政事业单位</w:t>
      </w:r>
      <w:r>
        <w:rPr>
          <w:rFonts w:hint="eastAsia" w:ascii="仿宋_GB2312" w:eastAsia="仿宋_GB2312"/>
          <w:color w:val="auto"/>
          <w:sz w:val="32"/>
          <w:szCs w:val="32"/>
          <w:highlight w:val="none"/>
          <w:lang w:eastAsia="zh-CN"/>
        </w:rPr>
        <w:t>养老支出</w:t>
      </w:r>
      <w:r>
        <w:rPr>
          <w:rFonts w:ascii="仿宋_GB2312" w:eastAsia="仿宋_GB2312"/>
          <w:color w:val="auto"/>
          <w:sz w:val="32"/>
          <w:szCs w:val="32"/>
          <w:highlight w:val="none"/>
          <w:lang w:eastAsia="zh-CN"/>
        </w:rPr>
        <w:t>（款）行政单位离退休（项）：指</w:t>
      </w:r>
      <w:r>
        <w:rPr>
          <w:rFonts w:hint="eastAsia" w:ascii="仿宋_GB2312" w:eastAsia="仿宋_GB2312"/>
          <w:color w:val="auto"/>
          <w:sz w:val="32"/>
          <w:szCs w:val="32"/>
          <w:highlight w:val="none"/>
          <w:lang w:eastAsia="zh-CN"/>
        </w:rPr>
        <w:t>商务厅机关的</w:t>
      </w:r>
      <w:r>
        <w:rPr>
          <w:rFonts w:ascii="仿宋_GB2312" w:eastAsia="仿宋_GB2312"/>
          <w:color w:val="auto"/>
          <w:sz w:val="32"/>
          <w:szCs w:val="32"/>
          <w:highlight w:val="none"/>
          <w:lang w:eastAsia="zh-CN"/>
        </w:rPr>
        <w:t>离退休</w:t>
      </w:r>
      <w:r>
        <w:rPr>
          <w:rFonts w:hint="eastAsia" w:ascii="仿宋_GB2312" w:eastAsia="仿宋_GB2312"/>
          <w:color w:val="auto"/>
          <w:sz w:val="32"/>
          <w:szCs w:val="32"/>
          <w:highlight w:val="none"/>
          <w:lang w:eastAsia="zh-CN"/>
        </w:rPr>
        <w:t>经费支出。</w:t>
      </w:r>
    </w:p>
    <w:p>
      <w:pPr>
        <w:pStyle w:val="22"/>
        <w:spacing w:line="560" w:lineRule="exact"/>
        <w:ind w:firstLine="640" w:firstLineChars="200"/>
        <w:jc w:val="both"/>
        <w:rPr>
          <w:rFonts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lang w:eastAsia="zh-CN"/>
        </w:rPr>
        <w:t>.社会保障和就业支出（类）行政事业单位</w:t>
      </w:r>
      <w:r>
        <w:rPr>
          <w:rFonts w:hint="eastAsia" w:ascii="仿宋_GB2312" w:eastAsia="仿宋_GB2312"/>
          <w:color w:val="auto"/>
          <w:sz w:val="32"/>
          <w:szCs w:val="32"/>
          <w:highlight w:val="none"/>
          <w:lang w:eastAsia="zh-CN"/>
        </w:rPr>
        <w:t>养老支出</w:t>
      </w:r>
      <w:r>
        <w:rPr>
          <w:rFonts w:ascii="仿宋_GB2312" w:eastAsia="仿宋_GB2312"/>
          <w:color w:val="auto"/>
          <w:sz w:val="32"/>
          <w:szCs w:val="32"/>
          <w:highlight w:val="none"/>
          <w:lang w:eastAsia="zh-CN"/>
        </w:rPr>
        <w:t>（款）机关事业单位基本养老保险缴费支出（项）：指</w:t>
      </w:r>
      <w:r>
        <w:rPr>
          <w:rFonts w:hint="eastAsia" w:ascii="仿宋_GB2312" w:eastAsia="仿宋_GB2312"/>
          <w:color w:val="auto"/>
          <w:sz w:val="32"/>
          <w:szCs w:val="32"/>
          <w:highlight w:val="none"/>
          <w:lang w:eastAsia="zh-CN"/>
        </w:rPr>
        <w:t>商务厅机关实施养老保险制度由单位缴纳的基本养老保险费支出。</w:t>
      </w:r>
    </w:p>
    <w:p>
      <w:pPr>
        <w:pStyle w:val="22"/>
        <w:spacing w:line="560" w:lineRule="exact"/>
        <w:ind w:firstLine="640" w:firstLineChars="200"/>
        <w:jc w:val="both"/>
        <w:rPr>
          <w:rFonts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lang w:eastAsia="zh-CN"/>
        </w:rPr>
        <w:t>.社会保障和就业支出（类）行政事业单位</w:t>
      </w:r>
      <w:r>
        <w:rPr>
          <w:rFonts w:hint="eastAsia" w:ascii="仿宋_GB2312" w:eastAsia="仿宋_GB2312"/>
          <w:color w:val="auto"/>
          <w:sz w:val="32"/>
          <w:szCs w:val="32"/>
          <w:highlight w:val="none"/>
          <w:lang w:eastAsia="zh-CN"/>
        </w:rPr>
        <w:t>养老支出</w:t>
      </w:r>
      <w:r>
        <w:rPr>
          <w:rFonts w:ascii="仿宋_GB2312" w:eastAsia="仿宋_GB2312"/>
          <w:color w:val="auto"/>
          <w:sz w:val="32"/>
          <w:szCs w:val="32"/>
          <w:highlight w:val="none"/>
          <w:lang w:eastAsia="zh-CN"/>
        </w:rPr>
        <w:t>（款）机关事业单位职业年金缴费支出（项）：指</w:t>
      </w:r>
      <w:r>
        <w:rPr>
          <w:rFonts w:hint="eastAsia" w:ascii="仿宋_GB2312" w:eastAsia="仿宋_GB2312"/>
          <w:color w:val="auto"/>
          <w:sz w:val="32"/>
          <w:szCs w:val="32"/>
          <w:highlight w:val="none"/>
          <w:lang w:eastAsia="zh-CN"/>
        </w:rPr>
        <w:t>商务厅机关实施养老保险制度由单位实际缴纳的职业年金支出。</w:t>
      </w:r>
    </w:p>
    <w:p>
      <w:pPr>
        <w:pStyle w:val="22"/>
        <w:spacing w:line="560" w:lineRule="exact"/>
        <w:ind w:firstLine="640" w:firstLineChars="200"/>
        <w:jc w:val="both"/>
        <w:rPr>
          <w:rFonts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lang w:eastAsia="zh-CN"/>
        </w:rPr>
        <w:t>.社会保障和就业支出（类）抚恤（款）死亡抚恤（项）：指</w:t>
      </w:r>
      <w:r>
        <w:rPr>
          <w:rFonts w:hint="eastAsia" w:ascii="仿宋_GB2312" w:eastAsia="仿宋_GB2312"/>
          <w:color w:val="auto"/>
          <w:sz w:val="32"/>
          <w:szCs w:val="32"/>
          <w:highlight w:val="none"/>
          <w:lang w:eastAsia="zh-CN"/>
        </w:rPr>
        <w:t>按规定用于烈士和牺牲、病故人员家属的一次性和定期抚恤金及丧葬补助费。</w:t>
      </w:r>
    </w:p>
    <w:p>
      <w:pPr>
        <w:pStyle w:val="22"/>
        <w:spacing w:line="560" w:lineRule="exact"/>
        <w:ind w:firstLine="640" w:firstLineChars="200"/>
        <w:jc w:val="both"/>
        <w:rPr>
          <w:rFonts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lang w:eastAsia="zh-CN"/>
        </w:rPr>
        <w:t>.社会保障和就业支出（类）其他社会保障和就业支出（款）其他社会保障和就业支出（项）：指</w:t>
      </w:r>
      <w:r>
        <w:rPr>
          <w:rFonts w:hint="eastAsia" w:ascii="仿宋_GB2312" w:eastAsia="仿宋_GB2312"/>
          <w:color w:val="auto"/>
          <w:sz w:val="32"/>
          <w:szCs w:val="32"/>
          <w:highlight w:val="none"/>
          <w:lang w:eastAsia="zh-CN"/>
        </w:rPr>
        <w:t>商务厅机关其</w:t>
      </w:r>
      <w:r>
        <w:rPr>
          <w:rFonts w:ascii="仿宋_GB2312" w:eastAsia="仿宋_GB2312"/>
          <w:color w:val="auto"/>
          <w:sz w:val="32"/>
          <w:szCs w:val="32"/>
          <w:highlight w:val="none"/>
          <w:lang w:eastAsia="zh-CN"/>
        </w:rPr>
        <w:t>他社会保障和就业支出</w:t>
      </w:r>
      <w:r>
        <w:rPr>
          <w:rFonts w:hint="eastAsia" w:ascii="仿宋_GB2312" w:eastAsia="仿宋_GB2312"/>
          <w:color w:val="auto"/>
          <w:sz w:val="32"/>
          <w:szCs w:val="32"/>
          <w:highlight w:val="none"/>
          <w:lang w:eastAsia="zh-CN"/>
        </w:rPr>
        <w:t>。</w:t>
      </w:r>
    </w:p>
    <w:p>
      <w:pPr>
        <w:pStyle w:val="22"/>
        <w:spacing w:line="560" w:lineRule="exact"/>
        <w:ind w:firstLine="640" w:firstLineChars="200"/>
        <w:jc w:val="both"/>
        <w:rPr>
          <w:rFonts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lang w:eastAsia="zh-CN"/>
        </w:rPr>
        <w:t>.卫生</w:t>
      </w:r>
      <w:r>
        <w:rPr>
          <w:rFonts w:hint="eastAsia" w:ascii="仿宋_GB2312" w:eastAsia="仿宋_GB2312"/>
          <w:color w:val="auto"/>
          <w:sz w:val="32"/>
          <w:szCs w:val="32"/>
          <w:highlight w:val="none"/>
          <w:lang w:eastAsia="zh-CN"/>
        </w:rPr>
        <w:t>健康</w:t>
      </w:r>
      <w:r>
        <w:rPr>
          <w:rFonts w:ascii="仿宋_GB2312" w:eastAsia="仿宋_GB2312"/>
          <w:color w:val="auto"/>
          <w:sz w:val="32"/>
          <w:szCs w:val="32"/>
          <w:highlight w:val="none"/>
          <w:lang w:eastAsia="zh-CN"/>
        </w:rPr>
        <w:t>支出（类）行政事业单位医疗（款）行政单位医疗（项）：指</w:t>
      </w:r>
      <w:r>
        <w:rPr>
          <w:rFonts w:hint="eastAsia" w:ascii="仿宋_GB2312" w:eastAsia="仿宋_GB2312"/>
          <w:color w:val="auto"/>
          <w:sz w:val="32"/>
          <w:szCs w:val="32"/>
          <w:highlight w:val="none"/>
          <w:lang w:eastAsia="zh-CN"/>
        </w:rPr>
        <w:t>商务厅机关基本医疗缴费。</w:t>
      </w:r>
    </w:p>
    <w:p>
      <w:pPr>
        <w:pStyle w:val="22"/>
        <w:spacing w:line="560" w:lineRule="exact"/>
        <w:ind w:firstLine="640" w:firstLineChars="200"/>
        <w:jc w:val="both"/>
        <w:rPr>
          <w:rFonts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lang w:eastAsia="zh-CN"/>
        </w:rPr>
        <w:t>.卫生</w:t>
      </w:r>
      <w:r>
        <w:rPr>
          <w:rFonts w:hint="eastAsia" w:ascii="仿宋_GB2312" w:eastAsia="仿宋_GB2312"/>
          <w:color w:val="auto"/>
          <w:sz w:val="32"/>
          <w:szCs w:val="32"/>
          <w:highlight w:val="none"/>
          <w:lang w:eastAsia="zh-CN"/>
        </w:rPr>
        <w:t>健康</w:t>
      </w:r>
      <w:r>
        <w:rPr>
          <w:rFonts w:ascii="仿宋_GB2312" w:eastAsia="仿宋_GB2312"/>
          <w:color w:val="auto"/>
          <w:sz w:val="32"/>
          <w:szCs w:val="32"/>
          <w:highlight w:val="none"/>
          <w:lang w:eastAsia="zh-CN"/>
        </w:rPr>
        <w:t>支出（类）行政事业单位医疗（款）公务员医疗补助（项）：指</w:t>
      </w:r>
      <w:r>
        <w:rPr>
          <w:rFonts w:hint="eastAsia" w:ascii="仿宋_GB2312" w:eastAsia="仿宋_GB2312"/>
          <w:color w:val="auto"/>
          <w:sz w:val="32"/>
          <w:szCs w:val="32"/>
          <w:highlight w:val="none"/>
          <w:lang w:eastAsia="zh-CN"/>
        </w:rPr>
        <w:t>商务厅机关</w:t>
      </w:r>
      <w:r>
        <w:rPr>
          <w:rFonts w:ascii="仿宋_GB2312" w:eastAsia="仿宋_GB2312"/>
          <w:color w:val="auto"/>
          <w:sz w:val="32"/>
          <w:szCs w:val="32"/>
          <w:highlight w:val="none"/>
          <w:lang w:eastAsia="zh-CN"/>
        </w:rPr>
        <w:t>公务员医疗补助</w:t>
      </w:r>
      <w:r>
        <w:rPr>
          <w:rFonts w:hint="eastAsia" w:ascii="仿宋_GB2312" w:eastAsia="仿宋_GB2312"/>
          <w:color w:val="auto"/>
          <w:sz w:val="32"/>
          <w:szCs w:val="32"/>
          <w:highlight w:val="none"/>
          <w:lang w:eastAsia="zh-CN"/>
        </w:rPr>
        <w:t>经费。</w:t>
      </w:r>
    </w:p>
    <w:p>
      <w:pPr>
        <w:pStyle w:val="22"/>
        <w:spacing w:line="560" w:lineRule="exact"/>
        <w:ind w:firstLine="640" w:firstLineChars="200"/>
        <w:jc w:val="both"/>
        <w:rPr>
          <w:rFonts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lang w:eastAsia="zh-CN"/>
        </w:rPr>
        <w:t>.商业服务业等支出（类）商业流通事务（款）其他商业流通事务支出（项）：指</w:t>
      </w:r>
      <w:r>
        <w:rPr>
          <w:rFonts w:hint="eastAsia" w:ascii="仿宋_GB2312" w:eastAsia="仿宋_GB2312"/>
          <w:color w:val="auto"/>
          <w:sz w:val="32"/>
          <w:szCs w:val="32"/>
          <w:highlight w:val="none"/>
          <w:lang w:eastAsia="zh-CN"/>
        </w:rPr>
        <w:t>商务厅机关</w:t>
      </w:r>
      <w:r>
        <w:rPr>
          <w:rFonts w:ascii="仿宋_GB2312" w:eastAsia="仿宋_GB2312"/>
          <w:color w:val="auto"/>
          <w:sz w:val="32"/>
          <w:szCs w:val="32"/>
          <w:highlight w:val="none"/>
          <w:lang w:eastAsia="zh-CN"/>
        </w:rPr>
        <w:t>其他商业流通事务支出</w:t>
      </w:r>
      <w:r>
        <w:rPr>
          <w:rFonts w:hint="eastAsia" w:ascii="仿宋_GB2312" w:eastAsia="仿宋_GB2312"/>
          <w:color w:val="auto"/>
          <w:sz w:val="32"/>
          <w:szCs w:val="32"/>
          <w:highlight w:val="none"/>
          <w:lang w:eastAsia="zh-CN"/>
        </w:rPr>
        <w:t>。</w:t>
      </w:r>
    </w:p>
    <w:p>
      <w:pPr>
        <w:pStyle w:val="22"/>
        <w:spacing w:line="560" w:lineRule="exact"/>
        <w:ind w:firstLine="640" w:firstLineChars="200"/>
        <w:jc w:val="both"/>
        <w:rPr>
          <w:rFonts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lang w:eastAsia="zh-CN"/>
        </w:rPr>
        <w:t>.商业服务业等支出（类）涉外发展服务支出（款）其他涉外发展服务支出（项）：指</w:t>
      </w:r>
      <w:r>
        <w:rPr>
          <w:rFonts w:hint="eastAsia" w:ascii="仿宋_GB2312" w:eastAsia="仿宋_GB2312"/>
          <w:color w:val="auto"/>
          <w:sz w:val="32"/>
          <w:szCs w:val="32"/>
          <w:highlight w:val="none"/>
          <w:lang w:eastAsia="zh-CN"/>
        </w:rPr>
        <w:t>商务厅机关的</w:t>
      </w:r>
      <w:r>
        <w:rPr>
          <w:rFonts w:ascii="仿宋_GB2312" w:eastAsia="仿宋_GB2312"/>
          <w:color w:val="auto"/>
          <w:sz w:val="32"/>
          <w:szCs w:val="32"/>
          <w:highlight w:val="none"/>
          <w:lang w:eastAsia="zh-CN"/>
        </w:rPr>
        <w:t>其他涉外发展服务支出</w:t>
      </w:r>
      <w:r>
        <w:rPr>
          <w:rFonts w:hint="eastAsia" w:ascii="仿宋_GB2312" w:eastAsia="仿宋_GB2312"/>
          <w:color w:val="auto"/>
          <w:sz w:val="32"/>
          <w:szCs w:val="32"/>
          <w:highlight w:val="none"/>
          <w:lang w:eastAsia="zh-CN"/>
        </w:rPr>
        <w:t>。</w:t>
      </w:r>
    </w:p>
    <w:p>
      <w:pPr>
        <w:pStyle w:val="22"/>
        <w:spacing w:line="560" w:lineRule="exact"/>
        <w:ind w:firstLine="640" w:firstLineChars="200"/>
        <w:jc w:val="both"/>
        <w:rPr>
          <w:rFonts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lang w:eastAsia="zh-CN"/>
        </w:rPr>
        <w:t>.商业服务业等支出（类）其他商业服务业等支出（款）其他商业服务业等支出（项）：指</w:t>
      </w:r>
      <w:r>
        <w:rPr>
          <w:rFonts w:hint="eastAsia" w:ascii="仿宋_GB2312" w:eastAsia="仿宋_GB2312"/>
          <w:color w:val="auto"/>
          <w:sz w:val="32"/>
          <w:szCs w:val="32"/>
          <w:highlight w:val="none"/>
          <w:lang w:eastAsia="zh-CN"/>
        </w:rPr>
        <w:t>商务厅机关的</w:t>
      </w:r>
      <w:r>
        <w:rPr>
          <w:rFonts w:ascii="仿宋_GB2312" w:eastAsia="仿宋_GB2312"/>
          <w:color w:val="auto"/>
          <w:sz w:val="32"/>
          <w:szCs w:val="32"/>
          <w:highlight w:val="none"/>
          <w:lang w:eastAsia="zh-CN"/>
        </w:rPr>
        <w:t>其他商业服务业等支出</w:t>
      </w:r>
      <w:r>
        <w:rPr>
          <w:rFonts w:hint="eastAsia" w:ascii="仿宋_GB2312" w:eastAsia="仿宋_GB2312"/>
          <w:color w:val="auto"/>
          <w:sz w:val="32"/>
          <w:szCs w:val="32"/>
          <w:highlight w:val="none"/>
          <w:lang w:eastAsia="zh-CN"/>
        </w:rPr>
        <w:t>。</w:t>
      </w:r>
    </w:p>
    <w:p>
      <w:pPr>
        <w:pStyle w:val="22"/>
        <w:spacing w:line="560" w:lineRule="exact"/>
        <w:ind w:firstLine="640" w:firstLineChars="200"/>
        <w:jc w:val="both"/>
        <w:rPr>
          <w:rFonts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lang w:eastAsia="zh-CN"/>
        </w:rPr>
        <w:t>.住房保障支出（类）住房改革支出（款）住房公积金（项）：指</w:t>
      </w:r>
      <w:r>
        <w:rPr>
          <w:rFonts w:hint="eastAsia" w:ascii="仿宋_GB2312" w:eastAsia="仿宋_GB2312"/>
          <w:color w:val="auto"/>
          <w:sz w:val="32"/>
          <w:szCs w:val="32"/>
          <w:highlight w:val="none"/>
          <w:lang w:eastAsia="zh-CN"/>
        </w:rPr>
        <w:t>商务厅机关按照人力资源和社会保障以及财政部门规定的基本工资和津贴补贴以及规定的比例为职工缴纳的住房公积金。</w:t>
      </w:r>
    </w:p>
    <w:p>
      <w:pPr>
        <w:pStyle w:val="22"/>
        <w:spacing w:line="560" w:lineRule="exact"/>
        <w:ind w:firstLine="640" w:firstLineChars="200"/>
        <w:jc w:val="both"/>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24</w:t>
      </w:r>
      <w:r>
        <w:rPr>
          <w:rFonts w:ascii="仿宋_GB2312" w:eastAsia="仿宋_GB2312"/>
          <w:color w:val="auto"/>
          <w:sz w:val="32"/>
          <w:szCs w:val="32"/>
          <w:highlight w:val="none"/>
          <w:lang w:eastAsia="zh-CN"/>
        </w:rPr>
        <w:t>.住房保障支出（类）住房改革支出（款）购房补贴（项）：指</w:t>
      </w:r>
      <w:r>
        <w:rPr>
          <w:rFonts w:hint="eastAsia" w:ascii="仿宋_GB2312" w:eastAsia="仿宋_GB2312"/>
          <w:color w:val="auto"/>
          <w:sz w:val="32"/>
          <w:szCs w:val="32"/>
          <w:highlight w:val="none"/>
          <w:lang w:eastAsia="zh-CN"/>
        </w:rPr>
        <w:t>商务厅机关按照房改政策规定向符合条件职工（含离退休人员）用于购买住房的补贴。</w:t>
      </w:r>
    </w:p>
    <w:p>
      <w:pPr>
        <w:pStyle w:val="22"/>
        <w:spacing w:line="560" w:lineRule="exact"/>
        <w:ind w:firstLine="640" w:firstLineChars="200"/>
        <w:jc w:val="both"/>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25.灾害防治及应急管理支出（类）应急管理事务（款）安全监管（项）：指商务厅机关的安全监管其他支出。</w:t>
      </w:r>
    </w:p>
    <w:p>
      <w:pPr>
        <w:pStyle w:val="22"/>
        <w:spacing w:line="560" w:lineRule="exac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pStyle w:val="22"/>
        <w:spacing w:line="560" w:lineRule="exac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pStyle w:val="22"/>
        <w:spacing w:line="560" w:lineRule="exac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000000"/>
          <w:sz w:val="44"/>
          <w:szCs w:val="44"/>
        </w:rPr>
      </w:pPr>
    </w:p>
    <w:p>
      <w:pPr>
        <w:rPr>
          <w:rFonts w:hint="eastAsia" w:ascii="黑体" w:hAnsi="黑体" w:eastAsia="黑体"/>
          <w:color w:val="000000"/>
          <w:sz w:val="44"/>
          <w:szCs w:val="44"/>
        </w:rPr>
      </w:pPr>
      <w:r>
        <w:rPr>
          <w:rFonts w:hint="eastAsia" w:ascii="黑体" w:hAnsi="黑体" w:eastAsia="黑体"/>
          <w:color w:val="000000"/>
          <w:sz w:val="44"/>
          <w:szCs w:val="44"/>
        </w:rPr>
        <w:br w:type="page"/>
      </w:r>
    </w:p>
    <w:p>
      <w:pPr>
        <w:spacing w:line="600" w:lineRule="exact"/>
        <w:jc w:val="center"/>
        <w:outlineLvl w:val="0"/>
        <w:rPr>
          <w:rStyle w:val="24"/>
          <w:rFonts w:ascii="黑体" w:hAnsi="黑体" w:eastAsia="黑体"/>
          <w:b w:val="0"/>
        </w:rPr>
      </w:pPr>
      <w:bookmarkStart w:id="133" w:name="_Toc23883"/>
      <w:bookmarkStart w:id="134" w:name="_Toc19439"/>
      <w:bookmarkStart w:id="135" w:name="_Toc31222_WPSOffice_Level1"/>
      <w:r>
        <w:rPr>
          <w:rFonts w:hint="eastAsia" w:ascii="黑体" w:hAnsi="黑体" w:eastAsia="黑体"/>
          <w:color w:val="000000"/>
          <w:sz w:val="44"/>
          <w:szCs w:val="44"/>
        </w:rPr>
        <w:t>第</w:t>
      </w:r>
      <w:r>
        <w:rPr>
          <w:rStyle w:val="24"/>
          <w:rFonts w:hint="eastAsia" w:ascii="黑体" w:hAnsi="黑体" w:eastAsia="黑体"/>
          <w:b w:val="0"/>
        </w:rPr>
        <w:t>四部分 附件</w:t>
      </w:r>
      <w:bookmarkEnd w:id="131"/>
      <w:bookmarkEnd w:id="133"/>
      <w:bookmarkEnd w:id="134"/>
      <w:bookmarkEnd w:id="135"/>
    </w:p>
    <w:p>
      <w:pPr>
        <w:spacing w:line="58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default" w:ascii="方正小标宋简体" w:hAnsi="宋体" w:eastAsia="方正小标宋简体" w:cs="Times New Roman"/>
          <w:sz w:val="44"/>
          <w:szCs w:val="44"/>
          <w:lang w:val="en-US" w:eastAsia="zh-CN"/>
        </w:rPr>
      </w:pPr>
      <w:bookmarkStart w:id="136" w:name="_Toc17258_WPSOffice_Level2"/>
      <w:r>
        <w:rPr>
          <w:rFonts w:hint="eastAsia" w:ascii="方正小标宋简体" w:hAnsi="宋体" w:eastAsia="方正小标宋简体" w:cs="Times New Roman"/>
          <w:sz w:val="44"/>
          <w:szCs w:val="44"/>
          <w:lang w:val="en-US" w:eastAsia="zh-CN"/>
        </w:rPr>
        <w:t>四川省商务厅机关2020年</w:t>
      </w:r>
      <w:bookmarkEnd w:id="136"/>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宋体" w:eastAsia="方正小标宋简体" w:cs="Times New Roman"/>
          <w:sz w:val="44"/>
          <w:szCs w:val="44"/>
        </w:rPr>
      </w:pPr>
      <w:bookmarkStart w:id="137" w:name="_Toc12506_WPSOffice_Level2"/>
      <w:r>
        <w:rPr>
          <w:rFonts w:hint="eastAsia" w:ascii="方正小标宋简体" w:hAnsi="宋体" w:eastAsia="方正小标宋简体" w:cs="Times New Roman"/>
          <w:sz w:val="44"/>
          <w:szCs w:val="44"/>
          <w:lang w:val="en-US" w:eastAsia="zh-CN"/>
        </w:rPr>
        <w:t>部门预算项目支出绩效自评报告</w:t>
      </w:r>
      <w:bookmarkEnd w:id="137"/>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ascii="Times New Roman" w:hAnsi="宋体" w:eastAsia="仿宋_GB2312" w:cs="Times New Roman"/>
          <w:sz w:val="32"/>
          <w:szCs w:val="32"/>
        </w:rPr>
      </w:pPr>
      <w:bookmarkStart w:id="138" w:name="_Toc26083_WPSOffice_Level2"/>
      <w:r>
        <w:rPr>
          <w:rFonts w:hint="eastAsia" w:ascii="Times New Roman" w:hAnsi="宋体" w:eastAsia="仿宋_GB2312" w:cs="Times New Roman"/>
          <w:sz w:val="32"/>
          <w:szCs w:val="32"/>
        </w:rPr>
        <w:t>（商务事业运行补助经费项目）</w:t>
      </w:r>
      <w:bookmarkEnd w:id="138"/>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ind w:firstLine="642" w:firstLineChars="200"/>
        <w:jc w:val="left"/>
        <w:textAlignment w:val="auto"/>
        <w:outlineLvl w:val="9"/>
        <w:rPr>
          <w:rFonts w:ascii="宋体" w:hAnsi="宋体" w:eastAsia="仿宋_GB2312" w:cs="Times New Roman"/>
          <w:b/>
          <w:sz w:val="32"/>
          <w:szCs w:val="21"/>
        </w:rPr>
      </w:pPr>
    </w:p>
    <w:p>
      <w:pPr>
        <w:keepNext w:val="0"/>
        <w:keepLines w:val="0"/>
        <w:pageBreakBefore w:val="0"/>
        <w:widowControl w:val="0"/>
        <w:numPr>
          <w:ilvl w:val="0"/>
          <w:numId w:val="4"/>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eastAsia" w:ascii="黑体" w:hAnsi="宋体" w:eastAsia="黑体" w:cs="Times New Roman"/>
          <w:sz w:val="32"/>
          <w:szCs w:val="21"/>
          <w:lang w:eastAsia="zh-CN"/>
        </w:rPr>
      </w:pPr>
      <w:bookmarkStart w:id="139" w:name="_Toc20012_WPSOffice_Level2"/>
      <w:r>
        <w:rPr>
          <w:rFonts w:hint="eastAsia" w:ascii="黑体" w:hAnsi="宋体" w:eastAsia="黑体" w:cs="Times New Roman"/>
          <w:sz w:val="32"/>
          <w:szCs w:val="21"/>
          <w:lang w:eastAsia="zh-CN"/>
        </w:rPr>
        <w:t>基本情况</w:t>
      </w:r>
      <w:bookmarkEnd w:id="139"/>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eastAsia" w:ascii="仿宋_GB2312" w:hAnsi="仿宋_GB2312" w:eastAsia="仿宋_GB2312" w:cs="仿宋_GB2312"/>
          <w:b w:val="0"/>
          <w:bCs w:val="0"/>
          <w:sz w:val="32"/>
          <w:szCs w:val="21"/>
          <w:lang w:eastAsia="zh-CN"/>
        </w:rPr>
      </w:pPr>
      <w:r>
        <w:rPr>
          <w:rFonts w:hint="eastAsia" w:ascii="仿宋_GB2312" w:hAnsi="仿宋_GB2312" w:eastAsia="仿宋_GB2312" w:cs="仿宋_GB2312"/>
          <w:b w:val="0"/>
          <w:bCs w:val="0"/>
          <w:sz w:val="32"/>
          <w:szCs w:val="21"/>
          <w:lang w:eastAsia="zh-CN"/>
        </w:rPr>
        <w:t>根据《四川省人民政府办公厅关于印发四川省商务厅主要职责内设机构和人员编制规定的通知》（川办发[2010]66号）文件明确的商务厅主要职责，该项目经费与部门职能职责相符，大额资金支付履行了部门论证流程。</w:t>
      </w:r>
      <w:r>
        <w:rPr>
          <w:rFonts w:hint="eastAsia" w:ascii="仿宋_GB2312" w:hAnsi="仿宋_GB2312" w:eastAsia="仿宋_GB2312" w:cs="仿宋_GB2312"/>
          <w:b w:val="0"/>
          <w:bCs w:val="0"/>
          <w:sz w:val="32"/>
          <w:szCs w:val="21"/>
          <w:lang w:val="en-US" w:eastAsia="zh-CN"/>
        </w:rPr>
        <w:t>2020年该项目预算金额352.33万元，实际执行255.13万元。预期总体目标是把握新要求，明确新目标，谋划新举措，努力推动商务高质量发展，突出抓好“两大工程”、着力构建“三大体系”、扎实推进“四大行动”，努力建设现代化商务经济强省</w:t>
      </w:r>
      <w:r>
        <w:rPr>
          <w:rFonts w:hint="eastAsia" w:ascii="仿宋_GB2312" w:hAnsi="仿宋_GB2312" w:eastAsia="仿宋_GB2312" w:cs="仿宋_GB2312"/>
          <w:b w:val="0"/>
          <w:bCs w:val="0"/>
          <w:sz w:val="32"/>
          <w:szCs w:val="21"/>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宋体" w:hAnsi="宋体" w:eastAsia="仿宋_GB2312" w:cs="Times New Roman"/>
          <w:sz w:val="32"/>
          <w:szCs w:val="21"/>
          <w:lang w:eastAsia="zh-CN"/>
        </w:rPr>
      </w:pPr>
      <w:bookmarkStart w:id="140" w:name="_Toc16596_WPSOffice_Level2"/>
      <w:r>
        <w:rPr>
          <w:rFonts w:hint="eastAsia" w:ascii="黑体" w:hAnsi="黑体" w:eastAsia="黑体" w:cs="黑体"/>
          <w:sz w:val="32"/>
          <w:szCs w:val="21"/>
          <w:lang w:eastAsia="zh-CN"/>
        </w:rPr>
        <w:t>二、评价工作开展情况</w:t>
      </w:r>
      <w:bookmarkEnd w:id="140"/>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sz w:val="32"/>
          <w:szCs w:val="21"/>
          <w:lang w:val="en-US" w:eastAsia="zh-CN"/>
        </w:rPr>
      </w:pPr>
      <w:bookmarkStart w:id="141" w:name="_Toc10715_WPSOffice_Level3"/>
      <w:r>
        <w:rPr>
          <w:rFonts w:hint="eastAsia" w:ascii="仿宋_GB2312" w:hAnsi="仿宋_GB2312" w:eastAsia="仿宋_GB2312" w:cs="仿宋_GB2312"/>
          <w:sz w:val="32"/>
          <w:szCs w:val="21"/>
          <w:lang w:val="en-US" w:eastAsia="zh-CN"/>
        </w:rPr>
        <w:t>1.评价组织情况</w:t>
      </w:r>
      <w:bookmarkEnd w:id="141"/>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sz w:val="32"/>
          <w:szCs w:val="21"/>
          <w:lang w:eastAsia="zh-CN"/>
        </w:rPr>
      </w:pPr>
      <w:r>
        <w:rPr>
          <w:rFonts w:hint="eastAsia" w:ascii="仿宋_GB2312" w:hAnsi="仿宋_GB2312" w:eastAsia="仿宋_GB2312" w:cs="仿宋_GB2312"/>
          <w:sz w:val="32"/>
          <w:szCs w:val="21"/>
          <w:lang w:eastAsia="zh-CN"/>
        </w:rPr>
        <w:t>立即召开处务会，明确厅机关重点部门预算项目年度自评的重要性，成立自评工作领导小组。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sz w:val="32"/>
          <w:szCs w:val="21"/>
          <w:lang w:val="en-US" w:eastAsia="zh-CN"/>
        </w:rPr>
      </w:pPr>
      <w:bookmarkStart w:id="142" w:name="_Toc10132_WPSOffice_Level3"/>
      <w:r>
        <w:rPr>
          <w:rFonts w:hint="eastAsia" w:ascii="仿宋_GB2312" w:hAnsi="仿宋_GB2312" w:eastAsia="仿宋_GB2312" w:cs="仿宋_GB2312"/>
          <w:sz w:val="32"/>
          <w:szCs w:val="21"/>
          <w:lang w:val="en-US" w:eastAsia="zh-CN"/>
        </w:rPr>
        <w:t>2.评价指标体系、评价方法和标准</w:t>
      </w:r>
      <w:bookmarkEnd w:id="142"/>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sz w:val="32"/>
          <w:szCs w:val="21"/>
          <w:lang w:val="en-US" w:eastAsia="zh-CN"/>
        </w:rPr>
      </w:pPr>
      <w:r>
        <w:rPr>
          <w:rFonts w:hint="eastAsia" w:ascii="仿宋_GB2312" w:hAnsi="仿宋_GB2312" w:eastAsia="仿宋_GB2312" w:cs="仿宋_GB2312"/>
          <w:sz w:val="32"/>
          <w:szCs w:val="21"/>
          <w:lang w:val="en-US" w:eastAsia="zh-CN"/>
        </w:rPr>
        <w:t>参照2021年省级部门整体支出绩效评价指标体系（适用于专项预算小于1亿的部门），确定厅机关重点项目为商务事业运行补助经费项目，以部门预算管理、专项预算管理、绩效结果应用、自评质量等4个一级指标为基准，覆盖至下属三级指标13项进行分步测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宋体" w:eastAsia="黑体" w:cs="Times New Roman"/>
          <w:sz w:val="32"/>
          <w:szCs w:val="21"/>
          <w:lang w:eastAsia="zh-CN"/>
        </w:rPr>
      </w:pPr>
      <w:bookmarkStart w:id="143" w:name="_Toc24902_WPSOffice_Level2"/>
      <w:r>
        <w:rPr>
          <w:rFonts w:hint="eastAsia" w:ascii="黑体" w:hAnsi="宋体" w:eastAsia="黑体" w:cs="Times New Roman"/>
          <w:sz w:val="32"/>
          <w:szCs w:val="21"/>
          <w:lang w:eastAsia="zh-CN"/>
        </w:rPr>
        <w:t>三</w:t>
      </w:r>
      <w:r>
        <w:rPr>
          <w:rFonts w:ascii="黑体" w:hAnsi="宋体" w:eastAsia="黑体" w:cs="Times New Roman"/>
          <w:sz w:val="32"/>
          <w:szCs w:val="21"/>
        </w:rPr>
        <w:t>、</w:t>
      </w:r>
      <w:r>
        <w:rPr>
          <w:rFonts w:hint="eastAsia" w:ascii="黑体" w:hAnsi="宋体" w:eastAsia="黑体" w:cs="Times New Roman"/>
          <w:sz w:val="32"/>
          <w:szCs w:val="21"/>
          <w:lang w:eastAsia="zh-CN"/>
        </w:rPr>
        <w:t>综合</w:t>
      </w:r>
      <w:r>
        <w:rPr>
          <w:rFonts w:hint="eastAsia" w:ascii="黑体" w:hAnsi="宋体" w:eastAsia="黑体" w:cs="Times New Roman"/>
          <w:sz w:val="32"/>
          <w:szCs w:val="21"/>
        </w:rPr>
        <w:t>评价结论</w:t>
      </w:r>
      <w:r>
        <w:rPr>
          <w:rFonts w:hint="eastAsia" w:ascii="黑体" w:hAnsi="宋体" w:eastAsia="黑体" w:cs="Times New Roman"/>
          <w:sz w:val="32"/>
          <w:szCs w:val="21"/>
          <w:lang w:eastAsia="zh-CN"/>
        </w:rPr>
        <w:t>（附评分表）</w:t>
      </w:r>
      <w:bookmarkEnd w:id="143"/>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sz w:val="32"/>
          <w:szCs w:val="21"/>
          <w:lang w:val="en-US" w:eastAsia="zh-CN"/>
        </w:rPr>
      </w:pPr>
      <w:r>
        <w:rPr>
          <w:rFonts w:hint="eastAsia" w:ascii="仿宋_GB2312" w:hAnsi="仿宋_GB2312" w:eastAsia="仿宋_GB2312" w:cs="仿宋_GB2312"/>
          <w:sz w:val="32"/>
          <w:szCs w:val="21"/>
          <w:lang w:val="en-US" w:eastAsia="zh-CN"/>
        </w:rPr>
        <w:t>根据绩效评价指标体系对商务事业运行补助经费进行评价后，合计得分93分。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黑体" w:eastAsia="黑体" w:cs="黑体"/>
          <w:b w:val="0"/>
          <w:bCs/>
          <w:sz w:val="32"/>
          <w:szCs w:val="21"/>
          <w:lang w:eastAsia="zh-CN"/>
        </w:rPr>
      </w:pPr>
      <w:bookmarkStart w:id="144" w:name="_Toc26082_WPSOffice_Level2"/>
      <w:r>
        <w:rPr>
          <w:rFonts w:hint="eastAsia" w:ascii="黑体" w:hAnsi="黑体" w:eastAsia="黑体" w:cs="黑体"/>
          <w:b w:val="0"/>
          <w:bCs/>
          <w:sz w:val="32"/>
          <w:szCs w:val="21"/>
          <w:lang w:eastAsia="zh-CN"/>
        </w:rPr>
        <w:t>四、绩效评价分析</w:t>
      </w:r>
      <w:bookmarkEnd w:id="144"/>
    </w:p>
    <w:p>
      <w:pPr>
        <w:keepNext w:val="0"/>
        <w:keepLines w:val="0"/>
        <w:pageBreakBefore w:val="0"/>
        <w:widowControl w:val="0"/>
        <w:kinsoku/>
        <w:wordWrap/>
        <w:overflowPunct/>
        <w:topLinePunct w:val="0"/>
        <w:autoSpaceDE/>
        <w:autoSpaceDN/>
        <w:bidi w:val="0"/>
        <w:adjustRightInd/>
        <w:snapToGrid w:val="0"/>
        <w:spacing w:line="600" w:lineRule="exact"/>
        <w:ind w:firstLine="642" w:firstLineChars="200"/>
        <w:textAlignment w:val="auto"/>
        <w:outlineLvl w:val="9"/>
        <w:rPr>
          <w:rFonts w:hint="eastAsia" w:ascii="楷体_GB2312" w:hAnsi="宋体" w:eastAsia="楷体_GB2312" w:cs="Times New Roman"/>
          <w:b/>
          <w:sz w:val="32"/>
          <w:szCs w:val="21"/>
          <w:lang w:eastAsia="zh-CN"/>
        </w:rPr>
      </w:pPr>
      <w:bookmarkStart w:id="145" w:name="_Toc17258_WPSOffice_Level3"/>
      <w:r>
        <w:rPr>
          <w:rFonts w:hint="eastAsia" w:ascii="楷体_GB2312" w:hAnsi="宋体" w:eastAsia="楷体_GB2312" w:cs="Times New Roman"/>
          <w:b/>
          <w:sz w:val="32"/>
          <w:szCs w:val="21"/>
          <w:lang w:eastAsia="zh-CN"/>
        </w:rPr>
        <w:t>（一）项目决策情况</w:t>
      </w:r>
      <w:bookmarkEnd w:id="145"/>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sz w:val="32"/>
          <w:szCs w:val="21"/>
          <w:lang w:val="en-US" w:eastAsia="zh-CN"/>
        </w:rPr>
      </w:pPr>
      <w:r>
        <w:rPr>
          <w:rFonts w:hint="eastAsia" w:ascii="仿宋_GB2312" w:hAnsi="仿宋_GB2312" w:eastAsia="仿宋_GB2312" w:cs="仿宋_GB2312"/>
          <w:sz w:val="32"/>
          <w:szCs w:val="21"/>
          <w:lang w:val="en-US" w:eastAsia="zh-CN"/>
        </w:rPr>
        <w:t>大额资金支付履行了部门论证流程。</w:t>
      </w:r>
    </w:p>
    <w:p>
      <w:pPr>
        <w:keepNext w:val="0"/>
        <w:keepLines w:val="0"/>
        <w:pageBreakBefore w:val="0"/>
        <w:widowControl w:val="0"/>
        <w:numPr>
          <w:ilvl w:val="0"/>
          <w:numId w:val="5"/>
        </w:numPr>
        <w:kinsoku/>
        <w:wordWrap/>
        <w:overflowPunct/>
        <w:topLinePunct w:val="0"/>
        <w:autoSpaceDE/>
        <w:autoSpaceDN/>
        <w:bidi w:val="0"/>
        <w:adjustRightInd/>
        <w:snapToGrid w:val="0"/>
        <w:spacing w:line="600" w:lineRule="exact"/>
        <w:ind w:firstLine="642" w:firstLineChars="200"/>
        <w:textAlignment w:val="auto"/>
        <w:outlineLvl w:val="9"/>
        <w:rPr>
          <w:rFonts w:hint="eastAsia" w:ascii="楷体_GB2312" w:hAnsi="宋体" w:eastAsia="楷体_GB2312" w:cs="Times New Roman"/>
          <w:b/>
          <w:sz w:val="32"/>
          <w:szCs w:val="21"/>
          <w:lang w:eastAsia="zh-CN"/>
        </w:rPr>
      </w:pPr>
      <w:bookmarkStart w:id="146" w:name="_Toc12506_WPSOffice_Level3"/>
      <w:r>
        <w:rPr>
          <w:rFonts w:hint="eastAsia" w:ascii="楷体_GB2312" w:hAnsi="宋体" w:eastAsia="楷体_GB2312" w:cs="Times New Roman"/>
          <w:b/>
          <w:sz w:val="32"/>
          <w:szCs w:val="21"/>
          <w:lang w:eastAsia="zh-CN"/>
        </w:rPr>
        <w:t>项目管理情况</w:t>
      </w:r>
      <w:bookmarkEnd w:id="146"/>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sz w:val="32"/>
          <w:szCs w:val="21"/>
          <w:lang w:val="en-US" w:eastAsia="zh-CN"/>
        </w:rPr>
      </w:pPr>
      <w:r>
        <w:rPr>
          <w:rFonts w:hint="eastAsia" w:ascii="仿宋_GB2312" w:hAnsi="仿宋_GB2312" w:eastAsia="仿宋_GB2312" w:cs="仿宋_GB2312"/>
          <w:sz w:val="32"/>
          <w:szCs w:val="21"/>
          <w:lang w:val="en-US" w:eastAsia="zh-CN"/>
        </w:rPr>
        <w:t>该项目列入年度预算352.33万元，编制了绩效目标，项目执行单位建立了财务管理制度和内部控制制度。</w:t>
      </w:r>
    </w:p>
    <w:p>
      <w:pPr>
        <w:keepNext w:val="0"/>
        <w:keepLines w:val="0"/>
        <w:pageBreakBefore w:val="0"/>
        <w:widowControl w:val="0"/>
        <w:numPr>
          <w:ilvl w:val="0"/>
          <w:numId w:val="5"/>
        </w:numPr>
        <w:kinsoku/>
        <w:wordWrap/>
        <w:overflowPunct/>
        <w:topLinePunct w:val="0"/>
        <w:autoSpaceDE/>
        <w:autoSpaceDN/>
        <w:bidi w:val="0"/>
        <w:adjustRightInd/>
        <w:snapToGrid w:val="0"/>
        <w:spacing w:line="600" w:lineRule="exact"/>
        <w:ind w:left="0" w:leftChars="0" w:firstLine="642" w:firstLineChars="200"/>
        <w:textAlignment w:val="auto"/>
        <w:outlineLvl w:val="9"/>
        <w:rPr>
          <w:rFonts w:hint="eastAsia" w:ascii="楷体_GB2312" w:hAnsi="宋体" w:eastAsia="楷体_GB2312" w:cs="Times New Roman"/>
          <w:b/>
          <w:sz w:val="32"/>
          <w:szCs w:val="21"/>
          <w:lang w:eastAsia="zh-CN"/>
        </w:rPr>
      </w:pPr>
      <w:bookmarkStart w:id="147" w:name="_Toc26083_WPSOffice_Level3"/>
      <w:r>
        <w:rPr>
          <w:rFonts w:hint="eastAsia" w:ascii="楷体_GB2312" w:hAnsi="宋体" w:eastAsia="楷体_GB2312" w:cs="Times New Roman"/>
          <w:b/>
          <w:sz w:val="32"/>
          <w:szCs w:val="21"/>
          <w:lang w:eastAsia="zh-CN"/>
        </w:rPr>
        <w:t>项目产出情况</w:t>
      </w:r>
      <w:bookmarkEnd w:id="147"/>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sz w:val="32"/>
          <w:szCs w:val="21"/>
          <w:lang w:val="en-US" w:eastAsia="zh-CN"/>
        </w:rPr>
      </w:pPr>
      <w:r>
        <w:rPr>
          <w:rFonts w:hint="eastAsia" w:ascii="仿宋_GB2312" w:hAnsi="仿宋_GB2312" w:eastAsia="仿宋_GB2312" w:cs="仿宋_GB2312"/>
          <w:sz w:val="32"/>
          <w:szCs w:val="21"/>
          <w:lang w:val="en-US" w:eastAsia="zh-CN"/>
        </w:rPr>
        <w:t>具体支出包括外贸数据加工服务费，表彰四川自贸试验区工作评价先进费用，《四川商务年鉴》编印费，商务领域课题研究经费，安全设备优化、网络安全等保测评服务费，立法修订项目服务费、项目评审开支等。</w:t>
      </w:r>
    </w:p>
    <w:p>
      <w:pPr>
        <w:keepNext w:val="0"/>
        <w:keepLines w:val="0"/>
        <w:pageBreakBefore w:val="0"/>
        <w:widowControl w:val="0"/>
        <w:numPr>
          <w:ilvl w:val="0"/>
          <w:numId w:val="5"/>
        </w:numPr>
        <w:kinsoku/>
        <w:wordWrap/>
        <w:overflowPunct/>
        <w:topLinePunct w:val="0"/>
        <w:autoSpaceDE/>
        <w:autoSpaceDN/>
        <w:bidi w:val="0"/>
        <w:adjustRightInd/>
        <w:snapToGrid w:val="0"/>
        <w:spacing w:line="600" w:lineRule="exact"/>
        <w:ind w:left="0" w:leftChars="0" w:firstLine="642" w:firstLineChars="200"/>
        <w:textAlignment w:val="auto"/>
        <w:outlineLvl w:val="9"/>
        <w:rPr>
          <w:rFonts w:hint="eastAsia" w:ascii="楷体_GB2312" w:hAnsi="宋体" w:eastAsia="楷体_GB2312" w:cs="Times New Roman"/>
          <w:b/>
          <w:sz w:val="32"/>
          <w:szCs w:val="21"/>
          <w:lang w:eastAsia="zh-CN"/>
        </w:rPr>
      </w:pPr>
      <w:bookmarkStart w:id="148" w:name="_Toc20012_WPSOffice_Level3"/>
      <w:r>
        <w:rPr>
          <w:rFonts w:hint="eastAsia" w:ascii="楷体_GB2312" w:hAnsi="宋体" w:eastAsia="楷体_GB2312" w:cs="Times New Roman"/>
          <w:b/>
          <w:sz w:val="32"/>
          <w:szCs w:val="21"/>
          <w:lang w:eastAsia="zh-CN"/>
        </w:rPr>
        <w:t>项目效益情况。</w:t>
      </w:r>
      <w:bookmarkEnd w:id="148"/>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eastAsia" w:ascii="楷体_GB2312" w:hAnsi="宋体" w:eastAsia="楷体_GB2312" w:cs="Times New Roman"/>
          <w:b/>
          <w:sz w:val="32"/>
          <w:szCs w:val="21"/>
          <w:lang w:val="en-US" w:eastAsia="zh-CN"/>
        </w:rPr>
      </w:pPr>
      <w:r>
        <w:rPr>
          <w:rFonts w:hint="eastAsia" w:ascii="仿宋_GB2312" w:hAnsi="仿宋_GB2312" w:eastAsia="仿宋_GB2312" w:cs="仿宋_GB2312"/>
          <w:sz w:val="32"/>
          <w:szCs w:val="21"/>
          <w:lang w:val="en-US" w:eastAsia="zh-CN"/>
        </w:rPr>
        <w:t>及时掌握2020年度外贸数据，表彰四川自贸试验区工作先进，完成中国（四川）自由贸易试验区建设三周年第三方评估，编印《四川商务年鉴》，完成商务相关课题研究，完成四川省十四五服务业发展规划编制，对厅机关安全设备进行优化，网络安全等测评，完成《四川省加强管理服务促进会展业发展的规定》立法修订项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黑体" w:hAnsi="宋体" w:eastAsia="黑体" w:cs="Times New Roman"/>
          <w:sz w:val="32"/>
          <w:szCs w:val="21"/>
        </w:rPr>
      </w:pPr>
      <w:bookmarkStart w:id="149" w:name="_Toc30887_WPSOffice_Level2"/>
      <w:r>
        <w:rPr>
          <w:rFonts w:hint="eastAsia" w:ascii="黑体" w:hAnsi="宋体" w:eastAsia="黑体" w:cs="Times New Roman"/>
          <w:sz w:val="32"/>
          <w:szCs w:val="21"/>
        </w:rPr>
        <w:t>五、存在主要问题</w:t>
      </w:r>
      <w:bookmarkEnd w:id="149"/>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sz w:val="32"/>
          <w:szCs w:val="21"/>
          <w:lang w:val="en-US" w:eastAsia="zh-CN"/>
        </w:rPr>
      </w:pPr>
      <w:r>
        <w:rPr>
          <w:rFonts w:hint="eastAsia" w:ascii="仿宋_GB2312" w:hAnsi="仿宋_GB2312" w:eastAsia="仿宋_GB2312" w:cs="仿宋_GB2312"/>
          <w:sz w:val="32"/>
          <w:szCs w:val="21"/>
          <w:lang w:val="en-US" w:eastAsia="zh-CN"/>
        </w:rPr>
        <w:t>该项目边界清晰，但开支费用款项较多，需要厘清类别。</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ascii="黑体" w:hAnsi="宋体" w:eastAsia="黑体" w:cs="Times New Roman"/>
          <w:sz w:val="32"/>
          <w:szCs w:val="21"/>
        </w:rPr>
      </w:pPr>
      <w:bookmarkStart w:id="150" w:name="_Toc10042_WPSOffice_Level2"/>
      <w:r>
        <w:rPr>
          <w:rFonts w:hint="eastAsia" w:ascii="黑体" w:hAnsi="宋体" w:eastAsia="黑体" w:cs="Times New Roman"/>
          <w:sz w:val="32"/>
          <w:szCs w:val="21"/>
        </w:rPr>
        <w:t>六、相关措施建议</w:t>
      </w:r>
      <w:bookmarkEnd w:id="150"/>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sz w:val="32"/>
          <w:szCs w:val="21"/>
          <w:lang w:val="en-US" w:eastAsia="zh-CN"/>
        </w:rPr>
      </w:pPr>
      <w:r>
        <w:rPr>
          <w:rFonts w:hint="eastAsia" w:ascii="仿宋_GB2312" w:hAnsi="仿宋_GB2312" w:eastAsia="仿宋_GB2312" w:cs="仿宋_GB2312"/>
          <w:sz w:val="32"/>
          <w:szCs w:val="21"/>
          <w:lang w:val="en-US" w:eastAsia="zh-CN"/>
        </w:rPr>
        <w:t>提高绩效目标编制的科学性，对项目预算测算标准和过程进行细化。</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hAnsi="宋体"/>
          <w:color w:val="auto"/>
          <w:sz w:val="32"/>
          <w:szCs w:val="32"/>
          <w:lang w:val="en-US" w:eastAsia="zh-CN"/>
        </w:rPr>
      </w:pPr>
    </w:p>
    <w:p>
      <w:pPr>
        <w:pStyle w:val="2"/>
        <w:rPr>
          <w:rFonts w:hint="eastAsia" w:hAnsi="宋体"/>
          <w:color w:val="auto"/>
          <w:sz w:val="32"/>
          <w:szCs w:val="32"/>
          <w:lang w:val="en-US" w:eastAsia="zh-CN"/>
        </w:rPr>
      </w:pPr>
    </w:p>
    <w:p>
      <w:pPr>
        <w:pStyle w:val="2"/>
        <w:rPr>
          <w:rFonts w:hint="eastAsia" w:hAnsi="宋体"/>
          <w:color w:val="auto"/>
          <w:sz w:val="32"/>
          <w:szCs w:val="32"/>
          <w:lang w:val="en-US" w:eastAsia="zh-CN"/>
        </w:rPr>
      </w:pPr>
    </w:p>
    <w:p>
      <w:pPr>
        <w:pStyle w:val="2"/>
        <w:rPr>
          <w:rFonts w:hint="eastAsia" w:hAnsi="宋体"/>
          <w:color w:val="auto"/>
          <w:sz w:val="32"/>
          <w:szCs w:val="32"/>
          <w:lang w:val="en-US" w:eastAsia="zh-CN"/>
        </w:rPr>
      </w:pPr>
    </w:p>
    <w:p>
      <w:pPr>
        <w:pStyle w:val="2"/>
        <w:rPr>
          <w:rFonts w:hint="eastAsia" w:hAnsi="宋体"/>
          <w:color w:val="auto"/>
          <w:sz w:val="32"/>
          <w:szCs w:val="32"/>
          <w:lang w:val="en-US" w:eastAsia="zh-CN"/>
        </w:rPr>
      </w:pPr>
    </w:p>
    <w:p>
      <w:pPr>
        <w:pStyle w:val="2"/>
        <w:rPr>
          <w:rFonts w:hint="eastAsia" w:hAnsi="宋体"/>
          <w:color w:val="auto"/>
          <w:sz w:val="32"/>
          <w:szCs w:val="32"/>
          <w:lang w:val="en-US" w:eastAsia="zh-CN"/>
        </w:rPr>
      </w:pPr>
    </w:p>
    <w:p>
      <w:pPr>
        <w:pStyle w:val="2"/>
        <w:rPr>
          <w:rFonts w:hint="default" w:hAnsi="宋体"/>
          <w:color w:val="auto"/>
          <w:sz w:val="32"/>
          <w:szCs w:val="32"/>
          <w:lang w:val="en-US" w:eastAsia="zh-CN"/>
        </w:rPr>
      </w:pPr>
    </w:p>
    <w:p>
      <w:pPr>
        <w:pStyle w:val="2"/>
        <w:rPr>
          <w:rFonts w:hint="default" w:hAnsi="宋体"/>
          <w:color w:val="auto"/>
          <w:sz w:val="32"/>
          <w:szCs w:val="32"/>
          <w:lang w:val="en-US" w:eastAsia="zh-CN"/>
        </w:rPr>
      </w:pPr>
    </w:p>
    <w:p>
      <w:pPr>
        <w:pStyle w:val="2"/>
        <w:rPr>
          <w:rFonts w:hint="default" w:hAnsi="宋体"/>
          <w:color w:val="auto"/>
          <w:sz w:val="32"/>
          <w:szCs w:val="32"/>
          <w:lang w:val="en-US" w:eastAsia="zh-CN"/>
        </w:rPr>
      </w:pPr>
    </w:p>
    <w:p>
      <w:pPr>
        <w:pStyle w:val="2"/>
        <w:rPr>
          <w:rFonts w:hint="default" w:hAnsi="宋体"/>
          <w:color w:val="auto"/>
          <w:sz w:val="32"/>
          <w:szCs w:val="32"/>
          <w:lang w:val="en-US" w:eastAsia="zh-CN"/>
        </w:rPr>
      </w:pPr>
    </w:p>
    <w:p>
      <w:pPr>
        <w:pStyle w:val="2"/>
        <w:rPr>
          <w:rFonts w:hint="default" w:hAnsi="宋体"/>
          <w:color w:val="auto"/>
          <w:sz w:val="32"/>
          <w:szCs w:val="32"/>
          <w:lang w:val="en-US" w:eastAsia="zh-CN"/>
        </w:rPr>
      </w:pPr>
    </w:p>
    <w:p>
      <w:pPr>
        <w:pStyle w:val="2"/>
        <w:rPr>
          <w:rFonts w:hint="default" w:hAnsi="宋体"/>
          <w:color w:val="auto"/>
          <w:sz w:val="32"/>
          <w:szCs w:val="32"/>
          <w:lang w:val="en-US" w:eastAsia="zh-CN"/>
        </w:rPr>
      </w:pPr>
    </w:p>
    <w:p>
      <w:pPr>
        <w:pStyle w:val="2"/>
        <w:rPr>
          <w:rFonts w:hint="default" w:hAnsi="宋体"/>
          <w:color w:val="auto"/>
          <w:sz w:val="32"/>
          <w:szCs w:val="32"/>
          <w:lang w:val="en-US" w:eastAsia="zh-CN"/>
        </w:rPr>
      </w:pPr>
    </w:p>
    <w:p>
      <w:pPr>
        <w:pStyle w:val="2"/>
        <w:rPr>
          <w:rFonts w:hint="default" w:hAnsi="宋体"/>
          <w:color w:val="auto"/>
          <w:sz w:val="32"/>
          <w:szCs w:val="32"/>
          <w:lang w:val="en-US" w:eastAsia="zh-CN"/>
        </w:rPr>
      </w:pPr>
    </w:p>
    <w:p>
      <w:pPr>
        <w:pStyle w:val="2"/>
        <w:rPr>
          <w:rFonts w:hint="default" w:hAnsi="宋体"/>
          <w:color w:val="auto"/>
          <w:sz w:val="32"/>
          <w:szCs w:val="32"/>
          <w:lang w:val="en-US" w:eastAsia="zh-CN"/>
        </w:rPr>
      </w:pPr>
    </w:p>
    <w:p>
      <w:pPr>
        <w:spacing w:line="600" w:lineRule="exact"/>
        <w:jc w:val="center"/>
        <w:outlineLvl w:val="0"/>
        <w:rPr>
          <w:rFonts w:hint="eastAsia" w:ascii="仿宋" w:hAnsi="仿宋" w:eastAsia="仿宋"/>
          <w:b w:val="0"/>
          <w:color w:val="000000"/>
        </w:rPr>
      </w:pPr>
      <w:bookmarkStart w:id="151" w:name="_Toc9133"/>
      <w:bookmarkStart w:id="152" w:name="_Toc26544"/>
      <w:bookmarkStart w:id="153" w:name="_Toc15396618"/>
      <w:bookmarkStart w:id="154" w:name="_Toc27278_WPSOffice_Level1"/>
      <w:r>
        <w:rPr>
          <w:rFonts w:hint="eastAsia" w:ascii="黑体" w:hAnsi="黑体" w:eastAsia="黑体"/>
          <w:color w:val="000000"/>
          <w:sz w:val="44"/>
          <w:szCs w:val="44"/>
        </w:rPr>
        <w:t>第</w:t>
      </w:r>
      <w:r>
        <w:rPr>
          <w:rStyle w:val="24"/>
          <w:rFonts w:hint="eastAsia" w:ascii="黑体" w:hAnsi="黑体" w:eastAsia="黑体"/>
          <w:b w:val="0"/>
        </w:rPr>
        <w:t>五部分 附表</w:t>
      </w:r>
      <w:bookmarkEnd w:id="132"/>
      <w:bookmarkEnd w:id="151"/>
      <w:bookmarkEnd w:id="152"/>
      <w:bookmarkEnd w:id="153"/>
      <w:bookmarkEnd w:id="154"/>
      <w:bookmarkStart w:id="155" w:name="_Toc15396619"/>
    </w:p>
    <w:p>
      <w:pPr>
        <w:pStyle w:val="4"/>
        <w:rPr>
          <w:rFonts w:ascii="仿宋" w:hAnsi="仿宋" w:eastAsia="仿宋"/>
          <w:color w:val="000000"/>
        </w:rPr>
      </w:pPr>
      <w:bookmarkStart w:id="156" w:name="_Toc19662_WPSOffice_Level2"/>
      <w:bookmarkStart w:id="157" w:name="_Toc1303"/>
      <w:bookmarkStart w:id="158" w:name="_Toc5154"/>
      <w:r>
        <w:rPr>
          <w:rFonts w:hint="eastAsia" w:ascii="仿宋" w:hAnsi="仿宋" w:eastAsia="仿宋"/>
          <w:b w:val="0"/>
          <w:color w:val="000000"/>
        </w:rPr>
        <w:t>一、收</w:t>
      </w:r>
      <w:r>
        <w:rPr>
          <w:rStyle w:val="25"/>
          <w:rFonts w:hint="eastAsia" w:ascii="仿宋" w:hAnsi="仿宋" w:eastAsia="仿宋"/>
          <w:b w:val="0"/>
          <w:bCs w:val="0"/>
        </w:rPr>
        <w:t>入支出决算总表</w:t>
      </w:r>
      <w:bookmarkEnd w:id="155"/>
      <w:bookmarkEnd w:id="156"/>
      <w:bookmarkEnd w:id="157"/>
      <w:bookmarkEnd w:id="158"/>
    </w:p>
    <w:p>
      <w:pPr>
        <w:pStyle w:val="4"/>
        <w:rPr>
          <w:rFonts w:ascii="仿宋" w:hAnsi="仿宋" w:eastAsia="仿宋"/>
          <w:color w:val="000000"/>
        </w:rPr>
      </w:pPr>
      <w:bookmarkStart w:id="159" w:name="_Toc29465"/>
      <w:bookmarkStart w:id="160" w:name="_Toc22106_WPSOffice_Level2"/>
      <w:bookmarkStart w:id="161" w:name="_Toc27292"/>
      <w:bookmarkStart w:id="162" w:name="_Toc15396620"/>
      <w:r>
        <w:rPr>
          <w:rFonts w:hint="eastAsia" w:ascii="仿宋" w:hAnsi="仿宋" w:eastAsia="仿宋"/>
          <w:b w:val="0"/>
          <w:color w:val="000000"/>
        </w:rPr>
        <w:t>二、收</w:t>
      </w:r>
      <w:r>
        <w:rPr>
          <w:rStyle w:val="25"/>
          <w:rFonts w:hint="eastAsia" w:ascii="仿宋" w:hAnsi="仿宋" w:eastAsia="仿宋"/>
          <w:b w:val="0"/>
          <w:bCs w:val="0"/>
        </w:rPr>
        <w:t>入决算表</w:t>
      </w:r>
      <w:bookmarkEnd w:id="159"/>
      <w:bookmarkEnd w:id="160"/>
      <w:bookmarkEnd w:id="161"/>
      <w:bookmarkEnd w:id="162"/>
    </w:p>
    <w:p>
      <w:pPr>
        <w:pStyle w:val="4"/>
        <w:rPr>
          <w:rFonts w:ascii="仿宋" w:hAnsi="仿宋" w:eastAsia="仿宋"/>
          <w:color w:val="000000"/>
        </w:rPr>
      </w:pPr>
      <w:bookmarkStart w:id="163" w:name="_Toc24656_WPSOffice_Level2"/>
      <w:bookmarkStart w:id="164" w:name="_Toc15396621"/>
      <w:bookmarkStart w:id="165" w:name="_Toc22444"/>
      <w:bookmarkStart w:id="166" w:name="_Toc19906"/>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出决算表</w:t>
      </w:r>
      <w:bookmarkEnd w:id="163"/>
      <w:bookmarkEnd w:id="164"/>
      <w:bookmarkEnd w:id="165"/>
      <w:bookmarkEnd w:id="166"/>
    </w:p>
    <w:p>
      <w:pPr>
        <w:pStyle w:val="4"/>
        <w:rPr>
          <w:rFonts w:ascii="仿宋" w:hAnsi="仿宋" w:eastAsia="仿宋"/>
          <w:b w:val="0"/>
          <w:color w:val="000000"/>
        </w:rPr>
      </w:pPr>
      <w:bookmarkStart w:id="167" w:name="_Toc15396622"/>
      <w:bookmarkStart w:id="168" w:name="_Toc20042_WPSOffice_Level2"/>
      <w:bookmarkStart w:id="169" w:name="_Toc32104"/>
      <w:bookmarkStart w:id="170" w:name="_Toc29488"/>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167"/>
      <w:bookmarkEnd w:id="168"/>
      <w:bookmarkEnd w:id="169"/>
      <w:bookmarkEnd w:id="170"/>
    </w:p>
    <w:p>
      <w:pPr>
        <w:pStyle w:val="4"/>
        <w:rPr>
          <w:rStyle w:val="25"/>
          <w:rFonts w:ascii="仿宋" w:hAnsi="仿宋" w:eastAsia="仿宋"/>
          <w:b w:val="0"/>
          <w:bCs w:val="0"/>
        </w:rPr>
      </w:pPr>
      <w:bookmarkStart w:id="171" w:name="_Toc15396623"/>
      <w:bookmarkStart w:id="172" w:name="_Toc7166"/>
      <w:bookmarkStart w:id="173" w:name="_Toc8634_WPSOffice_Level2"/>
      <w:bookmarkStart w:id="174" w:name="_Toc26244"/>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w:t>
      </w:r>
      <w:bookmarkEnd w:id="171"/>
      <w:bookmarkEnd w:id="172"/>
      <w:bookmarkEnd w:id="173"/>
      <w:bookmarkEnd w:id="174"/>
      <w:bookmarkStart w:id="175" w:name="_Toc15396624"/>
    </w:p>
    <w:p>
      <w:pPr>
        <w:pStyle w:val="4"/>
        <w:rPr>
          <w:rFonts w:ascii="仿宋" w:hAnsi="仿宋" w:eastAsia="仿宋"/>
          <w:color w:val="000000"/>
        </w:rPr>
      </w:pPr>
      <w:bookmarkStart w:id="176" w:name="_Toc24121"/>
      <w:bookmarkStart w:id="177" w:name="_Toc19585_WPSOffice_Level2"/>
      <w:bookmarkStart w:id="178" w:name="_Toc133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175"/>
      <w:bookmarkEnd w:id="176"/>
      <w:bookmarkEnd w:id="177"/>
      <w:bookmarkEnd w:id="178"/>
    </w:p>
    <w:p>
      <w:pPr>
        <w:pStyle w:val="4"/>
        <w:rPr>
          <w:rFonts w:ascii="仿宋" w:hAnsi="仿宋" w:eastAsia="仿宋"/>
          <w:color w:val="000000"/>
        </w:rPr>
      </w:pPr>
      <w:bookmarkStart w:id="179" w:name="_Toc15396625"/>
      <w:bookmarkStart w:id="180" w:name="_Toc9559_WPSOffice_Level2"/>
      <w:bookmarkStart w:id="181" w:name="_Toc19568"/>
      <w:bookmarkStart w:id="182" w:name="_Toc23956"/>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179"/>
      <w:bookmarkEnd w:id="180"/>
      <w:bookmarkEnd w:id="181"/>
      <w:bookmarkEnd w:id="182"/>
    </w:p>
    <w:p>
      <w:pPr>
        <w:pStyle w:val="4"/>
        <w:rPr>
          <w:rFonts w:ascii="仿宋" w:hAnsi="仿宋" w:eastAsia="仿宋"/>
          <w:color w:val="000000"/>
        </w:rPr>
      </w:pPr>
      <w:bookmarkStart w:id="183" w:name="_Toc30329"/>
      <w:bookmarkStart w:id="184" w:name="_Toc7061"/>
      <w:bookmarkStart w:id="185" w:name="_Toc30214_WPSOffice_Level2"/>
      <w:bookmarkStart w:id="186"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183"/>
      <w:bookmarkEnd w:id="184"/>
      <w:bookmarkEnd w:id="185"/>
      <w:bookmarkEnd w:id="186"/>
    </w:p>
    <w:p>
      <w:pPr>
        <w:pStyle w:val="4"/>
        <w:rPr>
          <w:rFonts w:ascii="仿宋" w:hAnsi="仿宋" w:eastAsia="仿宋"/>
          <w:color w:val="000000"/>
        </w:rPr>
      </w:pPr>
      <w:bookmarkStart w:id="187" w:name="_Toc17074"/>
      <w:bookmarkStart w:id="188" w:name="_Toc31807"/>
      <w:bookmarkStart w:id="189" w:name="_Toc32338_WPSOffice_Level2"/>
      <w:bookmarkStart w:id="190"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187"/>
      <w:bookmarkEnd w:id="188"/>
      <w:bookmarkEnd w:id="189"/>
      <w:bookmarkEnd w:id="190"/>
    </w:p>
    <w:p>
      <w:pPr>
        <w:pStyle w:val="4"/>
        <w:rPr>
          <w:rFonts w:ascii="仿宋" w:hAnsi="仿宋" w:eastAsia="仿宋"/>
          <w:color w:val="000000"/>
        </w:rPr>
      </w:pPr>
      <w:bookmarkStart w:id="191" w:name="_Toc15396628"/>
      <w:bookmarkStart w:id="192" w:name="_Toc4756_WPSOffice_Level2"/>
      <w:bookmarkStart w:id="193" w:name="_Toc18094"/>
      <w:bookmarkStart w:id="194" w:name="_Toc31099"/>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191"/>
      <w:bookmarkEnd w:id="192"/>
      <w:bookmarkEnd w:id="193"/>
      <w:bookmarkEnd w:id="194"/>
    </w:p>
    <w:p>
      <w:pPr>
        <w:pStyle w:val="4"/>
        <w:rPr>
          <w:rFonts w:ascii="仿宋" w:hAnsi="仿宋" w:eastAsia="仿宋"/>
          <w:color w:val="000000"/>
        </w:rPr>
      </w:pPr>
      <w:bookmarkStart w:id="195" w:name="_Toc18317"/>
      <w:bookmarkStart w:id="196" w:name="_Toc15396629"/>
      <w:bookmarkStart w:id="197" w:name="_Toc14515"/>
      <w:bookmarkStart w:id="198" w:name="_Toc14801_WPSOffice_Level2"/>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195"/>
      <w:bookmarkEnd w:id="196"/>
      <w:bookmarkEnd w:id="197"/>
      <w:bookmarkEnd w:id="198"/>
    </w:p>
    <w:p>
      <w:pPr>
        <w:pStyle w:val="4"/>
        <w:rPr>
          <w:rFonts w:ascii="仿宋" w:hAnsi="仿宋" w:eastAsia="仿宋"/>
          <w:color w:val="000000"/>
        </w:rPr>
      </w:pPr>
      <w:bookmarkStart w:id="199" w:name="_Toc30643"/>
      <w:bookmarkStart w:id="200" w:name="_Toc15396630"/>
      <w:bookmarkStart w:id="201" w:name="_Toc27365"/>
      <w:bookmarkStart w:id="202" w:name="_Toc5565_WPSOffice_Level2"/>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199"/>
      <w:bookmarkEnd w:id="200"/>
      <w:bookmarkEnd w:id="201"/>
      <w:bookmarkEnd w:id="202"/>
    </w:p>
    <w:p>
      <w:pPr>
        <w:pStyle w:val="4"/>
        <w:rPr>
          <w:rStyle w:val="25"/>
          <w:rFonts w:hint="eastAsia" w:ascii="仿宋" w:hAnsi="仿宋" w:eastAsia="仿宋"/>
          <w:b w:val="0"/>
          <w:bCs w:val="0"/>
        </w:rPr>
      </w:pPr>
      <w:bookmarkStart w:id="203" w:name="_Toc15396631"/>
      <w:bookmarkStart w:id="204" w:name="_Toc21499_WPSOffice_Level2"/>
      <w:bookmarkStart w:id="205" w:name="_Toc5409"/>
      <w:bookmarkStart w:id="206" w:name="_Toc2995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w:t>
      </w:r>
      <w:r>
        <w:rPr>
          <w:rStyle w:val="25"/>
          <w:rFonts w:hint="eastAsia" w:ascii="仿宋" w:hAnsi="仿宋" w:eastAsia="仿宋"/>
          <w:b w:val="0"/>
          <w:bCs w:val="0"/>
          <w:lang w:eastAsia="zh-CN"/>
        </w:rPr>
        <w:t>财政拨款收入</w:t>
      </w:r>
      <w:r>
        <w:rPr>
          <w:rStyle w:val="25"/>
          <w:rFonts w:hint="eastAsia" w:ascii="仿宋" w:hAnsi="仿宋" w:eastAsia="仿宋"/>
          <w:b w:val="0"/>
          <w:bCs w:val="0"/>
        </w:rPr>
        <w:t>支出决算表</w:t>
      </w:r>
      <w:bookmarkEnd w:id="203"/>
      <w:bookmarkEnd w:id="204"/>
      <w:bookmarkEnd w:id="205"/>
      <w:bookmarkEnd w:id="206"/>
    </w:p>
    <w:p>
      <w:pPr>
        <w:rPr>
          <w:rFonts w:hint="eastAsia" w:eastAsia="仿宋"/>
          <w:lang w:eastAsia="zh-CN"/>
        </w:rPr>
      </w:pPr>
      <w:bookmarkStart w:id="207" w:name="_Toc3693_WPSOffice_Level2"/>
      <w:bookmarkStart w:id="208" w:name="_Toc2125"/>
      <w:bookmarkStart w:id="209" w:name="_Toc31844"/>
      <w:r>
        <w:rPr>
          <w:rStyle w:val="25"/>
          <w:rFonts w:hint="eastAsia" w:ascii="仿宋" w:hAnsi="仿宋" w:eastAsia="仿宋"/>
          <w:b w:val="0"/>
          <w:bCs w:val="0"/>
          <w:lang w:eastAsia="zh-CN"/>
        </w:rPr>
        <w:t>十四、国有资本经营预算财政拨款支出决算表</w:t>
      </w:r>
      <w:bookmarkEnd w:id="207"/>
      <w:bookmarkEnd w:id="208"/>
      <w:bookmarkEnd w:id="20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064A595"/>
    <w:multiLevelType w:val="singleLevel"/>
    <w:tmpl w:val="3064A595"/>
    <w:lvl w:ilvl="0" w:tentative="0">
      <w:start w:val="1"/>
      <w:numFmt w:val="chineseCounting"/>
      <w:suff w:val="nothing"/>
      <w:lvlText w:val="%1、"/>
      <w:lvlJc w:val="left"/>
      <w:rPr>
        <w:rFonts w:hint="eastAsia"/>
      </w:rPr>
    </w:lvl>
  </w:abstractNum>
  <w:abstractNum w:abstractNumId="4">
    <w:nsid w:val="3B0F8FFE"/>
    <w:multiLevelType w:val="singleLevel"/>
    <w:tmpl w:val="3B0F8FFE"/>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0D9"/>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2232D7"/>
    <w:rsid w:val="0A2032A3"/>
    <w:rsid w:val="0FA6712E"/>
    <w:rsid w:val="10C055FF"/>
    <w:rsid w:val="112B5D11"/>
    <w:rsid w:val="118107EC"/>
    <w:rsid w:val="141231AF"/>
    <w:rsid w:val="1656395C"/>
    <w:rsid w:val="16BB723D"/>
    <w:rsid w:val="18015F3F"/>
    <w:rsid w:val="1A4C12D6"/>
    <w:rsid w:val="1BDECEF3"/>
    <w:rsid w:val="1BE8440E"/>
    <w:rsid w:val="1CD94A95"/>
    <w:rsid w:val="1D0E4B05"/>
    <w:rsid w:val="1D155CEE"/>
    <w:rsid w:val="1DA17BD4"/>
    <w:rsid w:val="1EF67A76"/>
    <w:rsid w:val="20BF3DB6"/>
    <w:rsid w:val="20F57F95"/>
    <w:rsid w:val="21F72E56"/>
    <w:rsid w:val="22955807"/>
    <w:rsid w:val="240371BF"/>
    <w:rsid w:val="26292EFF"/>
    <w:rsid w:val="27842671"/>
    <w:rsid w:val="29FD04D3"/>
    <w:rsid w:val="2ABE7A3E"/>
    <w:rsid w:val="2C6F4564"/>
    <w:rsid w:val="2FE25F7B"/>
    <w:rsid w:val="319F7F4E"/>
    <w:rsid w:val="32E31228"/>
    <w:rsid w:val="348703C2"/>
    <w:rsid w:val="3A197B52"/>
    <w:rsid w:val="3B220AE3"/>
    <w:rsid w:val="3B387820"/>
    <w:rsid w:val="3C0C0783"/>
    <w:rsid w:val="3D111A6C"/>
    <w:rsid w:val="41EF7008"/>
    <w:rsid w:val="424053AC"/>
    <w:rsid w:val="493C27E9"/>
    <w:rsid w:val="496F39ED"/>
    <w:rsid w:val="49FF41D3"/>
    <w:rsid w:val="4B84198B"/>
    <w:rsid w:val="4BE068DB"/>
    <w:rsid w:val="4BF6002B"/>
    <w:rsid w:val="4D437BC9"/>
    <w:rsid w:val="4ECE2238"/>
    <w:rsid w:val="4FE323DF"/>
    <w:rsid w:val="4FFFF489"/>
    <w:rsid w:val="59DC0F02"/>
    <w:rsid w:val="59DD8793"/>
    <w:rsid w:val="5DEC4ED2"/>
    <w:rsid w:val="62023DC2"/>
    <w:rsid w:val="64CA39A1"/>
    <w:rsid w:val="67D13E9E"/>
    <w:rsid w:val="6A467E50"/>
    <w:rsid w:val="6C4A05C8"/>
    <w:rsid w:val="6CAD14C6"/>
    <w:rsid w:val="6D624E54"/>
    <w:rsid w:val="71D125B4"/>
    <w:rsid w:val="72734D90"/>
    <w:rsid w:val="749C1075"/>
    <w:rsid w:val="75DF00C3"/>
    <w:rsid w:val="7AD46620"/>
    <w:rsid w:val="7C552077"/>
    <w:rsid w:val="DB3F17FE"/>
    <w:rsid w:val="FF7F6D5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0">
    <w:name w:val="WPSOffice手动目录 1"/>
    <w:qFormat/>
    <w:uiPriority w:val="0"/>
    <w:pPr>
      <w:ind w:leftChars="0"/>
    </w:pPr>
    <w:rPr>
      <w:rFonts w:asciiTheme="minorHAnsi" w:hAnsiTheme="minorHAnsi" w:eastAsiaTheme="minorEastAsia" w:cstheme="minorBidi"/>
      <w:sz w:val="20"/>
      <w:szCs w:val="20"/>
    </w:rPr>
  </w:style>
  <w:style w:type="paragraph" w:customStyle="1" w:styleId="31">
    <w:name w:val="WPSOffice手动目录 2"/>
    <w:qFormat/>
    <w:uiPriority w:val="0"/>
    <w:pPr>
      <w:ind w:leftChars="200"/>
    </w:pPr>
    <w:rPr>
      <w:rFonts w:asciiTheme="minorHAnsi" w:hAnsiTheme="minorHAnsi" w:eastAsiaTheme="minorEastAsia" w:cstheme="minorBidi"/>
      <w:sz w:val="20"/>
      <w:szCs w:val="20"/>
    </w:rPr>
  </w:style>
  <w:style w:type="paragraph" w:customStyle="1" w:styleId="32">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收、支决算总计变动情况图</a:t>
            </a:r>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收支决算总额（单位：万元）</c:v>
                </c:pt>
              </c:strCache>
            </c:strRef>
          </c:tx>
          <c:spPr>
            <a:solidFill>
              <a:schemeClr val="accent1">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a:solidFill>
                        <a:schemeClr val="dk1">
                          <a:lumMod val="50000"/>
                          <a:lumOff val="50000"/>
                        </a:schemeClr>
                      </a:solidFill>
                    </a:ln>
                    <a:effectLst/>
                  </c:spPr>
                </c15:leaderLines>
              </c:ext>
            </c:extLst>
          </c:dLbls>
          <c:cat>
            <c:strRef>
              <c:f>Sheet1!$A$2:$A$3</c:f>
              <c:strCache>
                <c:ptCount val="2"/>
                <c:pt idx="0">
                  <c:v>2019年</c:v>
                </c:pt>
                <c:pt idx="1">
                  <c:v>2020年</c:v>
                </c:pt>
              </c:strCache>
            </c:strRef>
          </c:cat>
          <c:val>
            <c:numRef>
              <c:f>Sheet1!$B$2:$B$3</c:f>
              <c:numCache>
                <c:formatCode>General</c:formatCode>
                <c:ptCount val="2"/>
                <c:pt idx="0">
                  <c:v>27760.55</c:v>
                </c:pt>
                <c:pt idx="1">
                  <c:v>28144.42</c:v>
                </c:pt>
              </c:numCache>
            </c:numRef>
          </c:val>
        </c:ser>
        <c:dLbls>
          <c:showLegendKey val="false"/>
          <c:showVal val="true"/>
          <c:showCatName val="false"/>
          <c:showSerName val="false"/>
          <c:showPercent val="false"/>
          <c:showBubbleSize val="false"/>
        </c:dLbls>
        <c:gapWidth val="65"/>
        <c:overlap val="0"/>
        <c:axId val="661591188"/>
        <c:axId val="799326973"/>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a:solidFill>
                              <a:schemeClr val="dk1">
                                <a:lumMod val="50000"/>
                                <a:lumOff val="50000"/>
                              </a:schemeClr>
                            </a:solidFill>
                          </a:ln>
                          <a:effectLst/>
                        </c:spPr>
                      </c15:leaderLines>
                    </c:ext>
                  </c:extLst>
                </c:dLbls>
                <c:cat>
                  <c:strRef>
                    <c:extLst>
                      <c:ext uri="{02D57815-91ED-43cb-92C2-25804820EDAC}">
                        <c15:fullRef>
                          <c15:sqref/>
                        </c15:fullRef>
                        <c15:formulaRef>
                          <c15:sqref>Sheet1!$A$2:$A$3</c15:sqref>
                        </c15:formulaRef>
                      </c:ext>
                    </c:extLst>
                    <c:strCache>
                      <c:ptCount val="2"/>
                      <c:pt idx="0">
                        <c:v>2019年</c:v>
                      </c:pt>
                      <c:pt idx="1">
                        <c:v>2020年</c:v>
                      </c:pt>
                    </c:strCache>
                  </c:strRef>
                </c:cat>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a:solidFill>
                              <a:schemeClr val="dk1">
                                <a:lumMod val="50000"/>
                                <a:lumOff val="50000"/>
                              </a:schemeClr>
                            </a:solidFill>
                          </a:ln>
                          <a:effectLst/>
                        </c:spPr>
                      </c15:leaderLines>
                    </c:ext>
                  </c:extLst>
                </c:dLbls>
                <c:cat>
                  <c:strRef>
                    <c:extLst>
                      <c:ext uri="{02D57815-91ED-43cb-92C2-25804820EDAC}">
                        <c15:fullRef>
                          <c15:sqref/>
                        </c15:fullRef>
                        <c15:formulaRef>
                          <c15:sqref>Sheet1!$A$2:$A$3</c15:sqref>
                        </c15:formulaRef>
                      </c:ext>
                    </c:extLst>
                    <c:strCache>
                      <c:ptCount val="2"/>
                      <c:pt idx="0">
                        <c:v>2019年</c:v>
                      </c:pt>
                      <c:pt idx="1">
                        <c:v>2020年</c:v>
                      </c:pt>
                    </c:strCache>
                  </c:strRef>
                </c:cat>
              </c15:ser>
            </c15:filteredBarSeries>
          </c:ext>
        </c:extLst>
      </c:barChart>
      <c:catAx>
        <c:axId val="661591188"/>
        <c:scaling>
          <c:orientation val="minMax"/>
        </c:scaling>
        <c:delete val="false"/>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true"/>
          <a:lstStyle/>
          <a:p>
            <a:pPr>
              <a:defRPr lang="zh-CN" sz="900" b="0" i="0" u="none" strike="noStrike" kern="1200" cap="all" baseline="0">
                <a:solidFill>
                  <a:schemeClr val="dk1">
                    <a:lumMod val="75000"/>
                    <a:lumOff val="25000"/>
                  </a:schemeClr>
                </a:solidFill>
                <a:latin typeface="+mn-lt"/>
                <a:ea typeface="+mn-ea"/>
                <a:cs typeface="+mn-cs"/>
              </a:defRPr>
            </a:pPr>
          </a:p>
        </c:txPr>
        <c:crossAx val="799326973"/>
        <c:crosses val="autoZero"/>
        <c:auto val="true"/>
        <c:lblAlgn val="ctr"/>
        <c:lblOffset val="100"/>
        <c:noMultiLvlLbl val="false"/>
      </c:catAx>
      <c:valAx>
        <c:axId val="799326973"/>
        <c:scaling>
          <c:orientation val="minMax"/>
        </c:scaling>
        <c:delete val="true"/>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a:effectLst/>
          </c:spPr>
        </c:majorGridlines>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crossAx val="661591188"/>
        <c:crosses val="autoZero"/>
        <c:crossBetween val="between"/>
      </c:valAx>
      <c:spPr>
        <a:noFill/>
        <a:ln>
          <a:noFill/>
        </a:ln>
        <a:effectLst/>
      </c:spPr>
    </c:plotArea>
    <c:legend>
      <c:legendPos val="b"/>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solidFill>
      <a:schemeClr val="bg2"/>
    </a:soli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收入决算结构图</a:t>
            </a:r>
            <a:endParaRPr sz="1800" b="1"/>
          </a:p>
        </c:rich>
      </c:tx>
      <c:layout>
        <c:manualLayout>
          <c:xMode val="edge"/>
          <c:yMode val="edge"/>
          <c:x val="0.300067193087008"/>
          <c:y val="0.00652173913043478"/>
        </c:manualLayout>
      </c:layout>
      <c:overlay val="false"/>
      <c:spPr>
        <a:noFill/>
        <a:ln>
          <a:noFill/>
        </a:ln>
        <a:effectLst/>
      </c:spPr>
    </c:title>
    <c:autoTitleDeleted val="false"/>
    <c:plotArea>
      <c:layout>
        <c:manualLayout>
          <c:layoutTarget val="inner"/>
          <c:xMode val="edge"/>
          <c:yMode val="edge"/>
          <c:x val="0.271379618593564"/>
          <c:y val="0.257173913043478"/>
          <c:w val="0.457240762812872"/>
          <c:h val="0.667173913043478"/>
        </c:manualLayout>
      </c:layout>
      <c:pieChart>
        <c:varyColors val="true"/>
        <c:ser>
          <c:idx val="0"/>
          <c:order val="0"/>
          <c:tx>
            <c:strRef>
              <c:f>Sheet1!$B$1</c:f>
              <c:strCache>
                <c:ptCount val="1"/>
                <c:pt idx="0">
                  <c:v>收入占比</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Lbl>
              <c:idx val="0"/>
              <c:layout>
                <c:manualLayout>
                  <c:x val="0.0234185772025512"/>
                  <c:y val="-0.311258251721124"/>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一般公共预算财政拨款</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99.99</a:t>
                    </a:r>
                    <a:r>
                      <a:t>%</a:t>
                    </a: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dLbl>
              <c:idx val="1"/>
              <c:layout>
                <c:manualLayout>
                  <c:x val="0.126691554810527"/>
                  <c:y val="0.0536499639161959"/>
                </c:manualLayout>
              </c:layout>
              <c:tx>
                <c:rich>
                  <a:bodyPr rot="0" spcFirstLastPara="0" vertOverflow="ellipsis" vert="horz" wrap="square" lIns="38100" tIns="19050" rIns="38100" bIns="19050" anchor="ctr" anchorCtr="true"/>
                  <a:lstStyle/>
                  <a:p>
                    <a:pPr defTabSz="914400">
                      <a:defRPr lang="zh-CN" sz="900" b="0" i="0" u="none" strike="noStrike" kern="1200" baseline="0">
                        <a:solidFill>
                          <a:schemeClr val="tx1">
                            <a:lumMod val="75000"/>
                            <a:lumOff val="25000"/>
                          </a:schemeClr>
                        </a:solidFill>
                        <a:latin typeface="+mn-lt"/>
                        <a:ea typeface="+mn-ea"/>
                        <a:cs typeface="+mn-cs"/>
                      </a:defRPr>
                    </a:pPr>
                    <a:r>
                      <a:t>其他收入</a:t>
                    </a:r>
                  </a:p>
                  <a:p>
                    <a:pPr defTabSz="914400">
                      <a:defRPr lang="zh-CN" sz="900" b="0" i="0" u="none" strike="noStrike" kern="1200" baseline="0">
                        <a:solidFill>
                          <a:schemeClr val="tx1">
                            <a:lumMod val="75000"/>
                            <a:lumOff val="25000"/>
                          </a:schemeClr>
                        </a:solidFill>
                        <a:latin typeface="+mn-lt"/>
                        <a:ea typeface="+mn-ea"/>
                        <a:cs typeface="+mn-cs"/>
                      </a:defRPr>
                    </a:pPr>
                    <a:r>
                      <a:rPr lang="en-US" altLang="zh-CN"/>
                      <a:t>0.01%</a:t>
                    </a:r>
                    <a:endParaRPr lang="en-US" altLang="zh-CN"/>
                  </a:p>
                  <a:p>
                    <a:pPr defTabSz="914400">
                      <a:defRPr lang="zh-CN" sz="900" b="0" i="0" u="none" strike="noStrike" kern="1200" baseline="0">
                        <a:solidFill>
                          <a:schemeClr val="tx1">
                            <a:lumMod val="75000"/>
                            <a:lumOff val="25000"/>
                          </a:schemeClr>
                        </a:solidFill>
                        <a:latin typeface="+mn-lt"/>
                        <a:ea typeface="+mn-ea"/>
                        <a:cs typeface="+mn-cs"/>
                      </a:defRPr>
                    </a:pPr>
                  </a:p>
                </c:rich>
              </c:tx>
              <c:dLblPos val="bestFit"/>
              <c:showLegendKey val="false"/>
              <c:showVal val="false"/>
              <c:showCatName val="true"/>
              <c:showSerName val="false"/>
              <c:showPercent val="true"/>
              <c:showBubbleSize val="false"/>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c:v>
                </c:pt>
                <c:pt idx="1">
                  <c:v>其他收入</c:v>
                </c:pt>
              </c:strCache>
            </c:strRef>
          </c:cat>
          <c:val>
            <c:numRef>
              <c:f>Sheet1!$B$2:$B$3</c:f>
              <c:numCache>
                <c:formatCode>0.00%</c:formatCode>
                <c:ptCount val="2"/>
                <c:pt idx="0">
                  <c:v>0.9999</c:v>
                </c:pt>
                <c:pt idx="1">
                  <c:v>0.0001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2"/>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800" b="1"/>
              <a:t>支出决算结构图</a:t>
            </a:r>
            <a:endParaRPr sz="1800" b="1"/>
          </a:p>
        </c:rich>
      </c:tx>
      <c:layout/>
      <c:overlay val="false"/>
      <c:spPr>
        <a:noFill/>
        <a:ln>
          <a:noFill/>
        </a:ln>
        <a:effectLst/>
      </c:spPr>
    </c:title>
    <c:autoTitleDeleted val="false"/>
    <c:plotArea>
      <c:layout/>
      <c:pieChart>
        <c:varyColors val="true"/>
        <c:ser>
          <c:idx val="0"/>
          <c:order val="0"/>
          <c:tx>
            <c:strRef>
              <c:f>Sheet1!$B$1</c:f>
              <c:strCache>
                <c:ptCount val="1"/>
                <c:pt idx="0">
                  <c:v>销售额</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numFmt formatCode="0.0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0.2866</c:v>
                </c:pt>
                <c:pt idx="1">
                  <c:v>0.7134</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2"/>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rPr sz="1600"/>
              <a:t>财政拨款收、支决算总计变动情况</a:t>
            </a:r>
            <a:endParaRPr sz="1600"/>
          </a:p>
        </c:rich>
      </c:tx>
      <c:layout>
        <c:manualLayout>
          <c:xMode val="edge"/>
          <c:yMode val="edge"/>
          <c:x val="0.119421747328724"/>
          <c:y val="0.0384260114539073"/>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财政拨款收、支决算（单位：万元）</c:v>
                </c:pt>
              </c:strCache>
            </c:strRef>
          </c:tx>
          <c:spPr>
            <a:solidFill>
              <a:schemeClr val="accent1">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a:solidFill>
                        <a:schemeClr val="dk1">
                          <a:lumMod val="50000"/>
                          <a:lumOff val="50000"/>
                        </a:schemeClr>
                      </a:solidFill>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20417.93</c:v>
                </c:pt>
                <c:pt idx="1">
                  <c:v>20963.65</c:v>
                </c:pt>
              </c:numCache>
            </c:numRef>
          </c:val>
        </c:ser>
        <c:dLbls>
          <c:showLegendKey val="false"/>
          <c:showVal val="true"/>
          <c:showCatName val="false"/>
          <c:showSerName val="false"/>
          <c:showPercent val="false"/>
          <c:showBubbleSize val="false"/>
        </c:dLbls>
        <c:gapWidth val="65"/>
        <c:overlap val="0"/>
        <c:axId val="979584230"/>
        <c:axId val="437473565"/>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系列 2</c:v>
                      </c:pt>
                    </c:strCache>
                  </c:strRef>
                </c:tx>
                <c:spPr>
                  <a:solidFill>
                    <a:schemeClr val="accent2">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a:solidFill>
                              <a:schemeClr val="dk1">
                                <a:lumMod val="50000"/>
                                <a:lumOff val="50000"/>
                              </a:schemeClr>
                            </a:solidFill>
                          </a:ln>
                          <a:effectLst/>
                        </c:spPr>
                      </c15:leaderLines>
                    </c:ext>
                  </c:extLst>
                </c:dLbls>
                <c:cat>
                  <c:strRef>
                    <c:extLst>
                      <c:ext uri="{02D57815-91ED-43cb-92C2-25804820EDAC}">
                        <c15:fullRef>
                          <c15:sqref>Sheet1!$A$2:$A$5</c15:sqref>
                        </c15:fullRef>
                        <c15:formulaRef>
                          <c15:sqref>Sheet1!$A$2:$A$3</c15:sqref>
                        </c15:formulaRef>
                      </c:ext>
                    </c:extLst>
                    <c:strCache>
                      <c:ptCount val="2"/>
                      <c:pt idx="0">
                        <c:v>2019年</c:v>
                      </c:pt>
                      <c:pt idx="1">
                        <c:v>2020年</c:v>
                      </c:pt>
                    </c:strCache>
                  </c:strRef>
                </c:cat>
                <c:val>
                  <c:numRef>
                    <c:extLst>
                      <c:ext uri="{02D57815-91ED-43cb-92C2-25804820EDAC}">
                        <c15:fullRef>
                          <c15:sqref>Sheet1!$C$2:$C$5</c15:sqref>
                        </c15:fullRef>
                        <c15:formulaRef>
                          <c15:sqref>Sheet1!$C$2:$C$3</c15:sqref>
                        </c15:formulaRef>
                      </c:ext>
                    </c:extLst>
                    <c:numCache>
                      <c:formatCode>General</c:formatCode>
                      <c:ptCount val="2"/>
                      <c:pt idx="0">
                        <c:v>2.4</c:v>
                      </c:pt>
                      <c:pt idx="1">
                        <c:v>4.4</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spPr>
                          <a:ln w="9525">
                            <a:solidFill>
                              <a:schemeClr val="dk1">
                                <a:lumMod val="50000"/>
                                <a:lumOff val="50000"/>
                              </a:schemeClr>
                            </a:solidFill>
                          </a:ln>
                          <a:effectLst/>
                        </c:spPr>
                      </c15:leaderLines>
                    </c:ext>
                  </c:extLst>
                </c:dLbls>
                <c:cat>
                  <c:strRef>
                    <c:extLst>
                      <c:ext uri="{02D57815-91ED-43cb-92C2-25804820EDAC}">
                        <c15:fullRef>
                          <c15:sqref>Sheet1!$A$2:$A$5</c15:sqref>
                        </c15:fullRef>
                        <c15:formulaRef>
                          <c15:sqref>Sheet1!$A$2:$A$3</c15:sqref>
                        </c15:formulaRef>
                      </c:ext>
                    </c:extLst>
                    <c:strCache>
                      <c:ptCount val="2"/>
                      <c:pt idx="0">
                        <c:v>2019年</c:v>
                      </c:pt>
                      <c:pt idx="1">
                        <c:v>2020年</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979584230"/>
        <c:scaling>
          <c:orientation val="minMax"/>
        </c:scaling>
        <c:delete val="false"/>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true"/>
          <a:lstStyle/>
          <a:p>
            <a:pPr>
              <a:defRPr lang="zh-CN" sz="900" b="0" i="0" u="none" strike="noStrike" kern="1200" cap="all" baseline="0">
                <a:solidFill>
                  <a:schemeClr val="dk1">
                    <a:lumMod val="75000"/>
                    <a:lumOff val="25000"/>
                  </a:schemeClr>
                </a:solidFill>
                <a:latin typeface="+mn-lt"/>
                <a:ea typeface="+mn-ea"/>
                <a:cs typeface="+mn-cs"/>
              </a:defRPr>
            </a:pPr>
          </a:p>
        </c:txPr>
        <c:crossAx val="437473565"/>
        <c:crosses val="autoZero"/>
        <c:auto val="true"/>
        <c:lblAlgn val="ctr"/>
        <c:lblOffset val="100"/>
        <c:noMultiLvlLbl val="false"/>
      </c:catAx>
      <c:valAx>
        <c:axId val="437473565"/>
        <c:scaling>
          <c:orientation val="minMax"/>
        </c:scaling>
        <c:delete val="true"/>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a:effectLst/>
          </c:spPr>
        </c:majorGridlines>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crossAx val="979584230"/>
        <c:crosses val="autoZero"/>
        <c:crossBetween val="between"/>
      </c:valAx>
      <c:spPr>
        <a:noFill/>
        <a:ln>
          <a:noFill/>
        </a:ln>
        <a:effectLst/>
      </c:spPr>
    </c:plotArea>
    <c:legend>
      <c:legendPos val="b"/>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solidFill>
      <a:schemeClr val="bg2"/>
    </a:soli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75000"/>
                    <a:lumOff val="25000"/>
                  </a:schemeClr>
                </a:solidFill>
                <a:latin typeface="+mn-lt"/>
                <a:ea typeface="+mn-ea"/>
                <a:cs typeface="+mn-cs"/>
              </a:defRPr>
            </a:pPr>
            <a:r>
              <a:t>一般公共预算财政拨款支出决算变动情况</a:t>
            </a:r>
          </a:p>
        </c:rich>
      </c:tx>
      <c:layout>
        <c:manualLayout>
          <c:xMode val="edge"/>
          <c:yMode val="edge"/>
          <c:x val="0.116125"/>
          <c:y val="0.005"/>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一般公共预算财政拨款支出（单位：万元）</c:v>
                </c:pt>
              </c:strCache>
            </c:strRef>
          </c:tx>
          <c:spPr>
            <a:solidFill>
              <a:schemeClr val="accent1">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2019年</c:v>
                </c:pt>
                <c:pt idx="1">
                  <c:v>2020年</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8379.67</c:v>
                </c:pt>
                <c:pt idx="1">
                  <c:v>20925.49</c:v>
                </c:pt>
              </c:numCache>
            </c:numRef>
          </c:val>
        </c:ser>
        <c:dLbls>
          <c:showLegendKey val="false"/>
          <c:showVal val="true"/>
          <c:showCatName val="false"/>
          <c:showSerName val="false"/>
          <c:showPercent val="false"/>
          <c:showBubbleSize val="false"/>
        </c:dLbls>
        <c:gapWidth val="65"/>
        <c:overlap val="0"/>
        <c:axId val="712079104"/>
        <c:axId val="667320735"/>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系列 2</c:v>
                      </c:pt>
                    </c:strCache>
                  </c:strRef>
                </c:tx>
                <c:spPr>
                  <a:solidFill>
                    <a:schemeClr val="accent2">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extLst>
                      <c:ext uri="{02D57815-91ED-43cb-92C2-25804820EDAC}">
                        <c15:fullRef>
                          <c15:sqref>Sheet1!$A$2:$A$5</c15:sqref>
                        </c15:fullRef>
                        <c15:formulaRef>
                          <c15:sqref>Sheet1!$A$2:$A$3</c15:sqref>
                        </c15:formulaRef>
                      </c:ext>
                    </c:extLst>
                    <c:strCache>
                      <c:ptCount val="2"/>
                      <c:pt idx="0">
                        <c:v>2019年</c:v>
                      </c:pt>
                      <c:pt idx="1">
                        <c:v>2020年</c:v>
                      </c:pt>
                    </c:strCache>
                  </c:strRef>
                </c:cat>
                <c:val>
                  <c:numRef>
                    <c:extLst>
                      <c:ext uri="{02D57815-91ED-43cb-92C2-25804820EDAC}">
                        <c15:fullRef>
                          <c15:sqref>Sheet1!$C$2:$C$5</c15:sqref>
                        </c15:fullRef>
                        <c15:formulaRef>
                          <c15:sqref>Sheet1!$C$2:$C$3</c15:sqref>
                        </c15:formulaRef>
                      </c:ext>
                    </c:extLst>
                    <c:numCache>
                      <c:formatCode>General</c:formatCode>
                      <c:ptCount val="2"/>
                      <c:pt idx="0">
                        <c:v>2.4</c:v>
                      </c:pt>
                      <c:pt idx="1">
                        <c:v>4.4</c:v>
                      </c:pt>
                    </c:numCache>
                  </c:numRef>
                </c:val>
              </c15:ser>
            </c15:filteredBarSeries>
            <c15:filteredBarSeries>
              <c15:ser>
                <c:idx val="2"/>
                <c:order val="2"/>
                <c:tx>
                  <c:strRef>
                    <c:extLst>
                      <c:ext uri="{02D57815-91ED-43cb-92C2-25804820EDAC}">
                        <c15:formulaRef>
                          <c15:sqref>Sheet1!$D$1</c15:sqref>
                        </c15:formulaRef>
                      </c:ext>
                    </c:extLst>
                    <c:strCache>
                      <c:ptCount val="1"/>
                      <c:pt idx="0">
                        <c:v>系列 3</c:v>
                      </c:pt>
                    </c:strCache>
                  </c:strRef>
                </c:tx>
                <c:spPr>
                  <a:solidFill>
                    <a:schemeClr val="accent3">
                      <a:alpha val="85000"/>
                    </a:schemeClr>
                  </a:solidFill>
                  <a:ln w="9525" cap="flat" cmpd="sng" algn="ctr">
                    <a:solidFill>
                      <a:schemeClr val="lt1">
                        <a:alpha val="50000"/>
                      </a:schemeClr>
                    </a:solidFill>
                    <a:round/>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extLst>
                      <c:ext uri="{02D57815-91ED-43cb-92C2-25804820EDAC}">
                        <c15:fullRef>
                          <c15:sqref>Sheet1!$A$2:$A$5</c15:sqref>
                        </c15:fullRef>
                        <c15:formulaRef>
                          <c15:sqref>Sheet1!$A$2:$A$3</c15:sqref>
                        </c15:formulaRef>
                      </c:ext>
                    </c:extLst>
                    <c:strCache>
                      <c:ptCount val="2"/>
                      <c:pt idx="0">
                        <c:v>2019年</c:v>
                      </c:pt>
                      <c:pt idx="1">
                        <c:v>2020年</c:v>
                      </c:pt>
                    </c:strCache>
                  </c:strRef>
                </c:cat>
                <c:val>
                  <c:numRef>
                    <c:extLst>
                      <c:ext uri="{02D57815-91ED-43cb-92C2-25804820EDAC}">
                        <c15:fullRef>
                          <c15:sqref>Sheet1!$D$2:$D$5</c15:sqref>
                        </c15:fullRef>
                        <c15:formulaRef>
                          <c15:sqref>Sheet1!$D$2:$D$3</c15:sqref>
                        </c15:formulaRef>
                      </c:ext>
                    </c:extLst>
                    <c:numCache>
                      <c:formatCode>General</c:formatCode>
                      <c:ptCount val="2"/>
                      <c:pt idx="0">
                        <c:v>2</c:v>
                      </c:pt>
                      <c:pt idx="1">
                        <c:v>2</c:v>
                      </c:pt>
                    </c:numCache>
                  </c:numRef>
                </c:val>
              </c15:ser>
            </c15:filteredBarSeries>
          </c:ext>
        </c:extLst>
      </c:barChart>
      <c:catAx>
        <c:axId val="712079104"/>
        <c:scaling>
          <c:orientation val="minMax"/>
        </c:scaling>
        <c:delete val="false"/>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true"/>
          <a:lstStyle/>
          <a:p>
            <a:pPr>
              <a:defRPr lang="zh-CN" sz="900" b="0" i="0" u="none" strike="noStrike" kern="1200" cap="all" baseline="0">
                <a:solidFill>
                  <a:schemeClr val="dk1">
                    <a:lumMod val="75000"/>
                    <a:lumOff val="25000"/>
                  </a:schemeClr>
                </a:solidFill>
                <a:latin typeface="+mn-lt"/>
                <a:ea typeface="+mn-ea"/>
                <a:cs typeface="+mn-cs"/>
              </a:defRPr>
            </a:pPr>
          </a:p>
        </c:txPr>
        <c:crossAx val="667320735"/>
        <c:crosses val="autoZero"/>
        <c:auto val="true"/>
        <c:lblAlgn val="ctr"/>
        <c:lblOffset val="100"/>
        <c:noMultiLvlLbl val="false"/>
      </c:catAx>
      <c:valAx>
        <c:axId val="667320735"/>
        <c:scaling>
          <c:orientation val="minMax"/>
        </c:scaling>
        <c:delete val="true"/>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a:effectLst/>
          </c:spPr>
        </c:majorGridlines>
        <c:numFmt formatCode="General" sourceLinked="true"/>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crossAx val="712079104"/>
        <c:crosses val="autoZero"/>
        <c:crossBetween val="between"/>
      </c:valAx>
      <c:spPr>
        <a:noFill/>
        <a:ln>
          <a:noFill/>
        </a:ln>
        <a:effectLst/>
      </c:spPr>
    </c:plotArea>
    <c:legend>
      <c:legendPos val="b"/>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solidFill>
      <a:schemeClr val="bg2"/>
    </a:soli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chemeClr val="dk1">
                    <a:lumMod val="65000"/>
                    <a:lumOff val="35000"/>
                  </a:schemeClr>
                </a:solidFill>
                <a:latin typeface="+mn-lt"/>
                <a:ea typeface="+mn-ea"/>
                <a:cs typeface="+mn-cs"/>
              </a:defRPr>
            </a:pPr>
            <a:r>
              <a:rPr sz="1600"/>
              <a:t>一般公共预算财政拨款支出决算结 构</a:t>
            </a:r>
            <a:endParaRPr sz="1600"/>
          </a:p>
        </c:rich>
      </c:tx>
      <c:layout>
        <c:manualLayout>
          <c:xMode val="edge"/>
          <c:yMode val="edge"/>
          <c:x val="0.10543735951527"/>
          <c:y val="0.013111773359954"/>
        </c:manualLayout>
      </c:layout>
      <c:overlay val="false"/>
      <c:spPr>
        <a:noFill/>
        <a:ln>
          <a:noFill/>
        </a:ln>
        <a:effectLst/>
      </c:spPr>
    </c:title>
    <c:autoTitleDeleted val="false"/>
    <c:plotArea>
      <c:layout>
        <c:manualLayout>
          <c:layoutTarget val="inner"/>
          <c:xMode val="edge"/>
          <c:yMode val="edge"/>
          <c:x val="0.242717143240703"/>
          <c:y val="0.20086048090422"/>
          <c:w val="0.511075312122433"/>
          <c:h val="0.617718643517767"/>
        </c:manualLayout>
      </c:layout>
      <c:pieChart>
        <c:varyColors val="true"/>
        <c:ser>
          <c:idx val="0"/>
          <c:order val="0"/>
          <c:tx>
            <c:strRef>
              <c:f>Sheet1!$B$1</c:f>
              <c:strCache>
                <c:ptCount val="1"/>
                <c:pt idx="0">
                  <c:v>一帮公共预算财政拨款支出决算结构</c:v>
                </c:pt>
              </c:strCache>
            </c:strRef>
          </c:tx>
          <c:spPr/>
          <c:explosion val="0"/>
          <c:dPt>
            <c:idx val="0"/>
            <c:bubble3D val="false"/>
            <c:spPr>
              <a:solidFill>
                <a:schemeClr val="accent1"/>
              </a:solidFill>
              <a:ln>
                <a:noFill/>
              </a:ln>
              <a:effectLst>
                <a:outerShdw blurRad="317500" algn="ctr" rotWithShape="0">
                  <a:prstClr val="black">
                    <a:alpha val="25000"/>
                  </a:prstClr>
                </a:outerShdw>
              </a:effectLst>
            </c:spPr>
          </c:dPt>
          <c:dPt>
            <c:idx val="1"/>
            <c:bubble3D val="false"/>
            <c:spPr>
              <a:solidFill>
                <a:schemeClr val="accent2"/>
              </a:solidFill>
              <a:ln>
                <a:noFill/>
              </a:ln>
              <a:effectLst>
                <a:outerShdw blurRad="317500" algn="ctr" rotWithShape="0">
                  <a:prstClr val="black">
                    <a:alpha val="25000"/>
                  </a:prstClr>
                </a:outerShdw>
              </a:effectLst>
            </c:spPr>
          </c:dPt>
          <c:dPt>
            <c:idx val="2"/>
            <c:bubble3D val="false"/>
            <c:spPr>
              <a:solidFill>
                <a:schemeClr val="accent3"/>
              </a:solidFill>
              <a:ln>
                <a:noFill/>
              </a:ln>
              <a:effectLst>
                <a:outerShdw blurRad="317500" algn="ctr" rotWithShape="0">
                  <a:prstClr val="black">
                    <a:alpha val="25000"/>
                  </a:prstClr>
                </a:outerShdw>
              </a:effectLst>
            </c:spPr>
          </c:dPt>
          <c:dPt>
            <c:idx val="3"/>
            <c:bubble3D val="false"/>
            <c:spPr>
              <a:solidFill>
                <a:schemeClr val="accent4"/>
              </a:solidFill>
              <a:ln>
                <a:noFill/>
              </a:ln>
              <a:effectLst>
                <a:outerShdw blurRad="317500" algn="ctr" rotWithShape="0">
                  <a:prstClr val="black">
                    <a:alpha val="25000"/>
                  </a:prstClr>
                </a:outerShdw>
              </a:effectLst>
            </c:spPr>
          </c:dPt>
          <c:dPt>
            <c:idx val="4"/>
            <c:bubble3D val="false"/>
            <c:spPr>
              <a:solidFill>
                <a:schemeClr val="accent5"/>
              </a:solidFill>
              <a:ln>
                <a:noFill/>
              </a:ln>
              <a:effectLst>
                <a:outerShdw blurRad="317500" algn="ctr" rotWithShape="0">
                  <a:prstClr val="black">
                    <a:alpha val="25000"/>
                  </a:prstClr>
                </a:outerShdw>
              </a:effectLst>
            </c:spPr>
          </c:dPt>
          <c:dPt>
            <c:idx val="5"/>
            <c:bubble3D val="false"/>
            <c:spPr>
              <a:solidFill>
                <a:schemeClr val="accent6"/>
              </a:solidFill>
              <a:ln>
                <a:noFill/>
              </a:ln>
              <a:effectLst>
                <a:outerShdw blurRad="317500" algn="ctr" rotWithShape="0">
                  <a:prstClr val="black">
                    <a:alpha val="25000"/>
                  </a:prstClr>
                </a:outerShdw>
              </a:effectLst>
            </c:spPr>
          </c:dPt>
          <c:dPt>
            <c:idx val="6"/>
            <c:bubble3D val="false"/>
            <c:spPr>
              <a:solidFill>
                <a:schemeClr val="accent1">
                  <a:lumMod val="60000"/>
                </a:schemeClr>
              </a:solidFill>
              <a:ln>
                <a:noFill/>
              </a:ln>
              <a:effectLst>
                <a:outerShdw blurRad="317500" algn="ctr" rotWithShape="0">
                  <a:prstClr val="black">
                    <a:alpha val="25000"/>
                  </a:prstClr>
                </a:outerShdw>
              </a:effectLst>
            </c:spPr>
          </c:dPt>
          <c:dPt>
            <c:idx val="7"/>
            <c:bubble3D val="false"/>
            <c:spPr>
              <a:solidFill>
                <a:schemeClr val="accent2">
                  <a:lumMod val="60000"/>
                </a:schemeClr>
              </a:solidFill>
              <a:ln>
                <a:noFill/>
              </a:ln>
              <a:effectLst>
                <a:outerShdw blurRad="317500" algn="ctr" rotWithShape="0">
                  <a:prstClr val="black">
                    <a:alpha val="25000"/>
                  </a:prstClr>
                </a:outerShdw>
              </a:effectLst>
            </c:spPr>
          </c:dPt>
          <c:dLbls>
            <c:dLbl>
              <c:idx val="0"/>
              <c:layout>
                <c:manualLayout>
                  <c:x val="0.00361955721708415"/>
                  <c:y val="-0.0289818182586433"/>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00751770701811949"/>
                  <c:y val="-0.0876149325505661"/>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417243240297777"/>
                  <c:y val="-0.0193741954332042"/>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0563502979104784"/>
                  <c:y val="0.014517580061775"/>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4"/>
              <c:layout>
                <c:manualLayout>
                  <c:x val="0.0321881759505288"/>
                  <c:y val="0.049177018859236"/>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5"/>
              <c:layout>
                <c:manualLayout>
                  <c:x val="-0.0968097099637118"/>
                  <c:y val="-0.0335325681530246"/>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6"/>
              <c:layout>
                <c:manualLayout>
                  <c:x val="-0.074364164998468"/>
                  <c:y val="-0.0421447049514128"/>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7"/>
              <c:layout>
                <c:manualLayout>
                  <c:x val="0.051683899571309"/>
                  <c:y val="-0.0460116814222005"/>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900" b="1" i="0" u="none" strike="noStrike" kern="1200" baseline="0">
                    <a:gradFill>
                      <a:gsLst>
                        <a:gs pos="0">
                          <a:srgbClr val="FE4444"/>
                        </a:gs>
                        <a:gs pos="100000">
                          <a:srgbClr val="832B2B"/>
                        </a:gs>
                      </a:gsLst>
                      <a:lin ang="5400000" scaled="false"/>
                    </a:gra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35000"/>
                          <a:lumOff val="65000"/>
                        </a:schemeClr>
                      </a:solidFill>
                      <a:round/>
                    </a:ln>
                    <a:effectLst/>
                  </c:spPr>
                </c15:leaderLines>
              </c:ext>
            </c:extLst>
          </c:dLbls>
          <c:cat>
            <c:strRef>
              <c:f>Sheet1!$A$2:$A$9</c:f>
              <c:strCache>
                <c:ptCount val="8"/>
                <c:pt idx="0">
                  <c:v>一般公共服务（类）支出</c:v>
                </c:pt>
                <c:pt idx="1">
                  <c:v>教育支出（类）支出</c:v>
                </c:pt>
                <c:pt idx="2">
                  <c:v>科学技术（类）支出</c:v>
                </c:pt>
                <c:pt idx="3">
                  <c:v>社会保障和就业（类）支出</c:v>
                </c:pt>
                <c:pt idx="4">
                  <c:v>卫生健康（类）支出</c:v>
                </c:pt>
                <c:pt idx="5">
                  <c:v>商业服务业等支出</c:v>
                </c:pt>
                <c:pt idx="6">
                  <c:v>住房保障（类）支出</c:v>
                </c:pt>
                <c:pt idx="7">
                  <c:v>灾害防治及应急管理（类）支出</c:v>
                </c:pt>
              </c:strCache>
            </c:strRef>
          </c:cat>
          <c:val>
            <c:numRef>
              <c:f>Sheet1!$B$2:$B$9</c:f>
              <c:numCache>
                <c:formatCode>0.00%</c:formatCode>
                <c:ptCount val="8"/>
                <c:pt idx="0">
                  <c:v>0.2001</c:v>
                </c:pt>
                <c:pt idx="1">
                  <c:v>0.0016</c:v>
                </c:pt>
                <c:pt idx="2">
                  <c:v>0.0003</c:v>
                </c:pt>
                <c:pt idx="3">
                  <c:v>0.0789</c:v>
                </c:pt>
                <c:pt idx="4">
                  <c:v>0.0133</c:v>
                </c:pt>
                <c:pt idx="5">
                  <c:v>0.6775</c:v>
                </c:pt>
                <c:pt idx="6">
                  <c:v>0.0281</c:v>
                </c:pt>
                <c:pt idx="7">
                  <c:v>0.0002</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solidFill>
          <a:schemeClr val="lt1">
            <a:alpha val="78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65000"/>
                  <a:lumOff val="35000"/>
                </a:schemeClr>
              </a:solidFill>
              <a:latin typeface="+mn-lt"/>
              <a:ea typeface="+mn-ea"/>
              <a:cs typeface="+mn-cs"/>
            </a:defRPr>
          </a:pPr>
        </a:p>
      </c:txPr>
    </c:legend>
    <c:plotVisOnly val="true"/>
    <c:dispBlanksAs val="gap"/>
    <c:showDLblsOverMax val="false"/>
  </c:chart>
  <c:spPr>
    <a:solidFill>
      <a:schemeClr val="bg2"/>
    </a:solidFill>
    <a:ln w="9525" cap="flat" cmpd="sng" algn="ctr">
      <a:solidFill>
        <a:schemeClr val="dk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65000"/>
                  <a:lumOff val="35000"/>
                </a:schemeClr>
              </a:solidFill>
              <a:latin typeface="+mn-lt"/>
              <a:ea typeface="+mn-ea"/>
              <a:cs typeface="+mn-cs"/>
            </a:defRPr>
          </a:pPr>
        </a:p>
      </c:txPr>
    </c:title>
    <c:autoTitleDeleted val="false"/>
    <c:plotArea>
      <c:layout>
        <c:manualLayout>
          <c:layoutTarget val="inner"/>
          <c:xMode val="edge"/>
          <c:yMode val="edge"/>
          <c:x val="0.1918125"/>
          <c:y val="0.192926533090468"/>
          <c:w val="0.632125"/>
          <c:h val="0.767607771706132"/>
        </c:manualLayout>
      </c:layout>
      <c:pieChart>
        <c:varyColors val="true"/>
        <c:ser>
          <c:idx val="0"/>
          <c:order val="0"/>
          <c:tx>
            <c:strRef>
              <c:f>Sheet1!$B$1</c:f>
              <c:strCache>
                <c:ptCount val="1"/>
                <c:pt idx="0">
                  <c:v>“三公”经费财政拨款支出结构</c:v>
                </c:pt>
              </c:strCache>
            </c:strRef>
          </c:tx>
          <c:spPr/>
          <c:explosion val="0"/>
          <c:dPt>
            <c:idx val="0"/>
            <c:bubble3D val="false"/>
            <c:spPr>
              <a:solidFill>
                <a:schemeClr val="accent1"/>
              </a:solidFill>
              <a:ln>
                <a:noFill/>
              </a:ln>
              <a:effectLst>
                <a:outerShdw blurRad="317500" algn="ctr" rotWithShape="0">
                  <a:prstClr val="black">
                    <a:alpha val="25000"/>
                  </a:prstClr>
                </a:outerShdw>
              </a:effectLst>
            </c:spPr>
          </c:dPt>
          <c:dPt>
            <c:idx val="1"/>
            <c:bubble3D val="false"/>
            <c:spPr>
              <a:solidFill>
                <a:schemeClr val="accent2"/>
              </a:solidFill>
              <a:ln>
                <a:noFill/>
              </a:ln>
              <a:effectLst>
                <a:outerShdw blurRad="317500" algn="ctr" rotWithShape="0">
                  <a:prstClr val="black">
                    <a:alpha val="25000"/>
                  </a:prstClr>
                </a:outerShdw>
              </a:effectLst>
            </c:spPr>
          </c:dPt>
          <c:dPt>
            <c:idx val="2"/>
            <c:bubble3D val="false"/>
            <c:spPr>
              <a:solidFill>
                <a:schemeClr val="accent3"/>
              </a:solidFill>
              <a:ln>
                <a:noFill/>
              </a:ln>
              <a:effectLst>
                <a:outerShdw blurRad="317500" algn="ctr" rotWithShape="0">
                  <a:prstClr val="black">
                    <a:alpha val="25000"/>
                  </a:prstClr>
                </a:outerShdw>
              </a:effectLst>
            </c:spPr>
          </c:dPt>
          <c:dLbls>
            <c:dLbl>
              <c:idx val="0"/>
              <c:layout>
                <c:manualLayout>
                  <c:x val="0.113999783365598"/>
                  <c:y val="-0.00432416666706638"/>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1"/>
              <c:layout>
                <c:manualLayout>
                  <c:x val="0.191563365707029"/>
                  <c:y val="-0.0889838365640285"/>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105356378904559"/>
                  <c:y val="0.00365050561848976"/>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spPr>
              <a:solidFill>
                <a:schemeClr val="accent4"/>
              </a:solidFill>
              <a:ln>
                <a:noFill/>
              </a:ln>
              <a:effectLst/>
            </c:spPr>
            <c:txPr>
              <a:bodyPr rot="0" spcFirstLastPara="0" vertOverflow="ellipsis" vert="horz" wrap="square" lIns="38100" tIns="19050" rIns="38100" bIns="19050" anchor="ctr" anchorCtr="true"/>
              <a:lstStyle/>
              <a:p>
                <a:pPr>
                  <a:defRPr lang="zh-CN" sz="900" b="1" i="0" u="none" strike="noStrike" kern="1200" baseline="0">
                    <a:solidFill>
                      <a:schemeClr val="lt1"/>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dk1">
                          <a:lumMod val="35000"/>
                          <a:lumOff val="65000"/>
                        </a:schemeClr>
                      </a:solidFill>
                      <a:round/>
                    </a:ln>
                    <a:effectLst/>
                  </c:spPr>
                </c15:leaderLines>
              </c:ext>
            </c:extLst>
          </c:dLbls>
          <c:cat>
            <c:strRef>
              <c:f>Sheet1!$A$2:$A$4</c:f>
              <c:strCache>
                <c:ptCount val="3"/>
                <c:pt idx="0">
                  <c:v>因公出国（境）经费</c:v>
                </c:pt>
                <c:pt idx="1">
                  <c:v>公务用车购置及运行维护费</c:v>
                </c:pt>
                <c:pt idx="2">
                  <c:v>公务接待费</c:v>
                </c:pt>
              </c:strCache>
            </c:strRef>
          </c:cat>
          <c:val>
            <c:numRef>
              <c:f>Sheet1!$B$2:$B$4</c:f>
              <c:numCache>
                <c:formatCode>0%</c:formatCode>
                <c:ptCount val="3"/>
                <c:pt idx="0">
                  <c:v>0</c:v>
                </c:pt>
                <c:pt idx="1" c:formatCode="0.00%">
                  <c:v>0.923</c:v>
                </c:pt>
                <c:pt idx="2" c:formatCode="0.00%">
                  <c:v>0.077</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solidFill>
          <a:schemeClr val="lt1">
            <a:alpha val="78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65000"/>
                  <a:lumOff val="35000"/>
                </a:schemeClr>
              </a:solidFill>
              <a:latin typeface="+mn-lt"/>
              <a:ea typeface="+mn-ea"/>
              <a:cs typeface="+mn-cs"/>
            </a:defRPr>
          </a:pPr>
        </a:p>
      </c:txPr>
    </c:legend>
    <c:plotVisOnly val="true"/>
    <c:dispBlanksAs val="gap"/>
    <c:showDLblsOverMax val="false"/>
  </c:chart>
  <c:spPr>
    <a:solidFill>
      <a:schemeClr val="bg2"/>
    </a:solidFill>
    <a:ln w="9525" cap="flat" cmpd="sng" algn="ctr">
      <a:solidFill>
        <a:schemeClr val="dk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5</TotalTime>
  <ScaleCrop>false</ScaleCrop>
  <LinksUpToDate>false</LinksUpToDate>
  <CharactersWithSpaces>8692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2021-08-19T00:06:00Z</cp:lastPrinted>
  <dcterms:modified xsi:type="dcterms:W3CDTF">2022-11-11T10:01:19Z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