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color w:val="000000"/>
          <w:sz w:val="72"/>
          <w:szCs w:val="72"/>
        </w:rPr>
      </w:pPr>
      <w:bookmarkStart w:id="0" w:name="_Toc15306267"/>
    </w:p>
    <w:p>
      <w:pPr>
        <w:spacing w:line="600" w:lineRule="exact"/>
        <w:jc w:val="center"/>
        <w:rPr>
          <w:rFonts w:ascii="方正小标宋简体" w:hAnsi="宋体" w:eastAsia="方正小标宋简体"/>
          <w:color w:val="000000"/>
          <w:sz w:val="72"/>
          <w:szCs w:val="72"/>
        </w:rPr>
      </w:pPr>
    </w:p>
    <w:p>
      <w:pPr>
        <w:spacing w:line="600" w:lineRule="exact"/>
        <w:jc w:val="center"/>
        <w:rPr>
          <w:rFonts w:ascii="方正小标宋简体" w:hAnsi="宋体" w:eastAsia="方正小标宋简体"/>
          <w:color w:val="000000"/>
          <w:sz w:val="72"/>
          <w:szCs w:val="72"/>
        </w:rPr>
      </w:pPr>
    </w:p>
    <w:p>
      <w:pPr>
        <w:adjustRightInd w:val="0"/>
        <w:snapToGrid w:val="0"/>
        <w:spacing w:line="360" w:lineRule="auto"/>
        <w:jc w:val="center"/>
        <w:rPr>
          <w:rFonts w:ascii="方正小标宋简体" w:hAnsi="宋体" w:eastAsia="方正小标宋简体"/>
          <w:color w:val="000000"/>
          <w:sz w:val="72"/>
          <w:szCs w:val="72"/>
        </w:rPr>
      </w:pPr>
      <w:bookmarkStart w:id="1" w:name="_Toc15396475"/>
      <w:bookmarkStart w:id="2" w:name="_Toc15377193"/>
      <w:bookmarkStart w:id="3" w:name="_Toc15377425"/>
      <w:bookmarkStart w:id="4" w:name="_Toc15396597"/>
      <w:bookmarkStart w:id="5" w:name="_Toc15378441"/>
      <w:r>
        <w:rPr>
          <w:rFonts w:ascii="黑体" w:hAnsi="黑体" w:eastAsia="黑体"/>
          <w:color w:val="000000"/>
          <w:sz w:val="72"/>
          <w:szCs w:val="72"/>
        </w:rPr>
        <w:t>2020</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rPr>
          <w:rFonts w:ascii="方正小标宋简体" w:hAnsi="宋体" w:eastAsia="方正小标宋简体"/>
          <w:color w:val="000000"/>
          <w:sz w:val="72"/>
          <w:szCs w:val="72"/>
        </w:rPr>
      </w:pPr>
      <w:bookmarkStart w:id="6" w:name="_Toc15377426"/>
      <w:bookmarkStart w:id="7" w:name="_Toc15378442"/>
      <w:bookmarkStart w:id="8" w:name="_Toc15396476"/>
      <w:bookmarkStart w:id="9" w:name="_Toc15396598"/>
      <w:bookmarkStart w:id="10" w:name="_Toc15377194"/>
      <w:r>
        <w:rPr>
          <w:rFonts w:hint="eastAsia" w:ascii="方正小标宋简体" w:hAnsi="宋体" w:eastAsia="方正小标宋简体"/>
          <w:color w:val="000000"/>
          <w:sz w:val="72"/>
          <w:szCs w:val="72"/>
        </w:rPr>
        <w:t>四川</w:t>
      </w:r>
      <w:bookmarkEnd w:id="0"/>
      <w:bookmarkStart w:id="11" w:name="_Toc15306268"/>
      <w:r>
        <w:rPr>
          <w:rFonts w:hint="eastAsia" w:ascii="方正小标宋简体" w:hAnsi="宋体" w:eastAsia="方正小标宋简体"/>
          <w:color w:val="000000"/>
          <w:sz w:val="72"/>
          <w:szCs w:val="72"/>
        </w:rPr>
        <w:t>商务职业学院</w:t>
      </w:r>
    </w:p>
    <w:p>
      <w:pPr>
        <w:adjustRightInd w:val="0"/>
        <w:snapToGrid w:val="0"/>
        <w:spacing w:line="360" w:lineRule="auto"/>
        <w:jc w:val="center"/>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单位决算</w:t>
      </w:r>
      <w:bookmarkEnd w:id="6"/>
      <w:bookmarkEnd w:id="7"/>
      <w:bookmarkEnd w:id="8"/>
      <w:bookmarkEnd w:id="9"/>
      <w:bookmarkEnd w:id="10"/>
      <w:bookmarkEnd w:id="11"/>
    </w:p>
    <w:p>
      <w:pPr>
        <w:adjustRightInd w:val="0"/>
        <w:snapToGrid w:val="0"/>
        <w:spacing w:line="360" w:lineRule="auto"/>
        <w:jc w:val="center"/>
        <w:rPr>
          <w:rFonts w:ascii="方正小标宋简体" w:hAnsi="宋体" w:eastAsia="方正小标宋简体"/>
          <w:color w:val="000000"/>
          <w:sz w:val="72"/>
          <w:szCs w:val="72"/>
        </w:rPr>
      </w:pPr>
    </w:p>
    <w:p>
      <w:pPr>
        <w:adjustRightInd w:val="0"/>
        <w:snapToGrid w:val="0"/>
        <w:spacing w:line="360" w:lineRule="auto"/>
        <w:jc w:val="center"/>
        <w:rPr>
          <w:rFonts w:ascii="方正小标宋简体" w:hAnsi="宋体" w:eastAsia="方正小标宋简体"/>
          <w:color w:val="000000"/>
          <w:sz w:val="72"/>
          <w:szCs w:val="72"/>
        </w:rPr>
      </w:pPr>
    </w:p>
    <w:p>
      <w:pPr>
        <w:adjustRightInd w:val="0"/>
        <w:snapToGrid w:val="0"/>
        <w:spacing w:line="360" w:lineRule="auto"/>
        <w:jc w:val="center"/>
        <w:rPr>
          <w:rFonts w:ascii="方正小标宋简体" w:hAnsi="宋体" w:eastAsia="方正小标宋简体"/>
          <w:color w:val="000000"/>
          <w:sz w:val="72"/>
          <w:szCs w:val="72"/>
        </w:rPr>
      </w:pPr>
    </w:p>
    <w:p>
      <w:pPr>
        <w:adjustRightInd w:val="0"/>
        <w:snapToGrid w:val="0"/>
        <w:spacing w:line="360" w:lineRule="auto"/>
        <w:jc w:val="center"/>
        <w:rPr>
          <w:rFonts w:ascii="方正小标宋简体" w:hAnsi="宋体" w:eastAsia="方正小标宋简体"/>
          <w:color w:val="000000"/>
          <w:sz w:val="72"/>
          <w:szCs w:val="72"/>
        </w:rPr>
        <w:sectPr>
          <w:headerReference r:id="rId3" w:type="default"/>
          <w:pgSz w:w="11906" w:h="16838"/>
          <w:pgMar w:top="1440" w:right="1797" w:bottom="1440" w:left="1797" w:header="851" w:footer="992" w:gutter="0"/>
          <w:cols w:space="425" w:num="1"/>
          <w:docGrid w:type="linesAndChars" w:linePitch="312" w:charSpace="0"/>
        </w:sectPr>
      </w:pPr>
    </w:p>
    <w:p>
      <w:pPr>
        <w:pStyle w:val="2"/>
      </w:pPr>
    </w:p>
    <w:p>
      <w:pPr>
        <w:adjustRightInd w:val="0"/>
        <w:snapToGrid w:val="0"/>
        <w:spacing w:line="360" w:lineRule="auto"/>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目</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录</w:t>
      </w:r>
    </w:p>
    <w:p>
      <w:pPr>
        <w:pStyle w:val="11"/>
        <w:rPr>
          <w:rFonts w:hint="eastAsia"/>
        </w:rPr>
      </w:pPr>
      <w:r>
        <w:rPr>
          <w:rFonts w:hint="eastAsia"/>
        </w:rPr>
        <w:t>公开时间：2021年9月10日</w:t>
      </w:r>
    </w:p>
    <w:sdt>
      <w:sdtPr>
        <w:rPr>
          <w:rFonts w:ascii="宋体" w:hAnsi="宋体" w:eastAsia="宋体" w:cs="Times New Roman"/>
          <w:kern w:val="2"/>
          <w:sz w:val="21"/>
          <w:szCs w:val="24"/>
          <w:lang w:val="en-US" w:eastAsia="zh-CN" w:bidi="ar-SA"/>
        </w:rPr>
        <w:id w:val="476800263"/>
        <w:docPartObj>
          <w:docPartGallery w:val="Table of Contents"/>
          <w:docPartUnique/>
        </w:docPartObj>
      </w:sdtPr>
      <w:sdtEndPr>
        <w:rPr>
          <w:rFonts w:ascii="Times New Roman" w:hAnsi="Times New Roman" w:eastAsia="宋体" w:cs="Times New Roman"/>
          <w:kern w:val="0"/>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12" w:name="_Toc825141390_WPSOffice_Type2"/>
          <w:r>
            <w:rPr>
              <w:rFonts w:ascii="宋体" w:hAnsi="宋体" w:eastAsia="宋体"/>
              <w:sz w:val="21"/>
            </w:rPr>
            <w:t>目录</w:t>
          </w:r>
        </w:p>
        <w:p>
          <w:pPr>
            <w:pStyle w:val="28"/>
            <w:tabs>
              <w:tab w:val="right" w:leader="dot" w:pos="8312"/>
            </w:tabs>
          </w:pPr>
          <w:r>
            <w:rPr>
              <w:b/>
              <w:bCs/>
            </w:rPr>
            <w:fldChar w:fldCharType="begin"/>
          </w:r>
          <w:r>
            <w:instrText xml:space="preserve"> HYPERLINK \l _Toc1860521056_WPSOffice_Level1 </w:instrText>
          </w:r>
          <w:r>
            <w:rPr>
              <w:b/>
              <w:bCs/>
            </w:rPr>
            <w:fldChar w:fldCharType="separate"/>
          </w:r>
          <w:sdt>
            <w:sdtPr>
              <w:rPr>
                <w:rFonts w:ascii="Times New Roman" w:hAnsi="Times New Roman" w:eastAsia="宋体" w:cs="Times New Roman"/>
                <w:b/>
                <w:bCs/>
                <w:kern w:val="2"/>
                <w:sz w:val="21"/>
                <w:szCs w:val="24"/>
                <w:lang w:val="en-US" w:eastAsia="zh-CN" w:bidi="ar-SA"/>
              </w:rPr>
              <w:id w:val="476800263"/>
              <w:placeholder>
                <w:docPart w:val="{c1a614df-7e9e-41a5-8cf0-b83bfa13df1a}"/>
              </w:placeholder>
            </w:sdtPr>
            <w:sdtEndPr>
              <w:rPr>
                <w:rFonts w:ascii="Times New Roman" w:hAnsi="Times New Roman" w:eastAsia="宋体" w:cs="Times New Roman"/>
                <w:b/>
                <w:bCs/>
                <w:kern w:val="2"/>
                <w:sz w:val="21"/>
                <w:szCs w:val="24"/>
                <w:lang w:val="en-US" w:eastAsia="zh-CN" w:bidi="ar-SA"/>
              </w:rPr>
            </w:sdtEndPr>
            <w:sdtContent>
              <w:r>
                <w:rPr>
                  <w:rFonts w:hint="eastAsia" w:ascii="黑体" w:hAnsi="黑体" w:eastAsia="黑体" w:cs="Times New Roman"/>
                  <w:b/>
                  <w:bCs/>
                </w:rPr>
                <w:t>第一部分</w:t>
              </w:r>
              <w:r>
                <w:rPr>
                  <w:rFonts w:ascii="黑体" w:hAnsi="黑体" w:eastAsia="黑体" w:cs="Times New Roman"/>
                  <w:b/>
                  <w:bCs/>
                </w:rPr>
                <w:t xml:space="preserve"> </w:t>
              </w:r>
              <w:r>
                <w:rPr>
                  <w:rFonts w:hint="eastAsia" w:ascii="黑体" w:hAnsi="黑体" w:eastAsia="黑体" w:cs="Times New Roman"/>
                  <w:b/>
                  <w:bCs/>
                </w:rPr>
                <w:t>单位概况</w:t>
              </w:r>
            </w:sdtContent>
          </w:sdt>
          <w:r>
            <w:rPr>
              <w:b/>
              <w:bCs/>
            </w:rPr>
            <w:tab/>
          </w:r>
          <w:bookmarkStart w:id="13" w:name="_Toc1860521056_WPSOffice_Level1Page"/>
          <w:r>
            <w:rPr>
              <w:b/>
              <w:bCs/>
            </w:rPr>
            <w:t>1</w:t>
          </w:r>
          <w:bookmarkEnd w:id="13"/>
          <w:r>
            <w:rPr>
              <w:b/>
              <w:bCs/>
            </w:rPr>
            <w:fldChar w:fldCharType="end"/>
          </w:r>
        </w:p>
        <w:p>
          <w:pPr>
            <w:pStyle w:val="29"/>
            <w:tabs>
              <w:tab w:val="right" w:leader="dot" w:pos="8312"/>
            </w:tabs>
          </w:pPr>
          <w:r>
            <w:fldChar w:fldCharType="begin"/>
          </w:r>
          <w:r>
            <w:instrText xml:space="preserve"> HYPERLINK \l _Toc825141390_WPSOffice_Level2 </w:instrText>
          </w:r>
          <w:r>
            <w:fldChar w:fldCharType="separate"/>
          </w:r>
          <w:sdt>
            <w:sdtPr>
              <w:rPr>
                <w:rFonts w:ascii="Times New Roman" w:hAnsi="Times New Roman" w:eastAsia="宋体" w:cs="Times New Roman"/>
                <w:kern w:val="2"/>
                <w:sz w:val="21"/>
                <w:szCs w:val="24"/>
                <w:lang w:val="en-US" w:eastAsia="zh-CN" w:bidi="ar-SA"/>
              </w:rPr>
              <w:id w:val="476800263"/>
              <w:placeholder>
                <w:docPart w:val="{1cc78c20-e80e-4eb9-87f9-6c11e9243c21}"/>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一、职能简介</w:t>
              </w:r>
            </w:sdtContent>
          </w:sdt>
          <w:r>
            <w:tab/>
          </w:r>
          <w:bookmarkStart w:id="14" w:name="_Toc825141390_WPSOffice_Level2Page"/>
          <w:r>
            <w:t>1</w:t>
          </w:r>
          <w:bookmarkEnd w:id="14"/>
          <w:r>
            <w:fldChar w:fldCharType="end"/>
          </w:r>
        </w:p>
        <w:p>
          <w:pPr>
            <w:pStyle w:val="29"/>
            <w:tabs>
              <w:tab w:val="right" w:leader="dot" w:pos="8312"/>
            </w:tabs>
          </w:pPr>
          <w:r>
            <w:fldChar w:fldCharType="begin"/>
          </w:r>
          <w:r>
            <w:instrText xml:space="preserve"> HYPERLINK \l _Toc1121028690_WPSOffice_Level2 </w:instrText>
          </w:r>
          <w:r>
            <w:fldChar w:fldCharType="separate"/>
          </w:r>
          <w:sdt>
            <w:sdtPr>
              <w:rPr>
                <w:rFonts w:ascii="Times New Roman" w:hAnsi="Times New Roman" w:eastAsia="宋体" w:cs="Times New Roman"/>
                <w:kern w:val="2"/>
                <w:sz w:val="21"/>
                <w:szCs w:val="24"/>
                <w:lang w:val="en-US" w:eastAsia="zh-CN" w:bidi="ar-SA"/>
              </w:rPr>
              <w:id w:val="476800263"/>
              <w:placeholder>
                <w:docPart w:val="{e90e9e24-e44e-446c-afc3-ffc4d328d4cb}"/>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二、</w:t>
              </w:r>
              <w:r>
                <w:rPr>
                  <w:rFonts w:ascii="黑体" w:hAnsi="黑体" w:eastAsia="黑体" w:cs="Times New Roman"/>
                </w:rPr>
                <w:t>2020</w:t>
              </w:r>
              <w:r>
                <w:rPr>
                  <w:rFonts w:hint="eastAsia" w:ascii="黑体" w:hAnsi="黑体" w:eastAsia="黑体" w:cs="Times New Roman"/>
                </w:rPr>
                <w:t>年重点工作完成情况</w:t>
              </w:r>
            </w:sdtContent>
          </w:sdt>
          <w:r>
            <w:tab/>
          </w:r>
          <w:bookmarkStart w:id="15" w:name="_Toc1121028690_WPSOffice_Level2Page"/>
          <w:r>
            <w:t>2</w:t>
          </w:r>
          <w:bookmarkEnd w:id="15"/>
          <w:r>
            <w:fldChar w:fldCharType="end"/>
          </w:r>
        </w:p>
        <w:p>
          <w:pPr>
            <w:pStyle w:val="29"/>
            <w:tabs>
              <w:tab w:val="right" w:leader="dot" w:pos="8312"/>
            </w:tabs>
          </w:pPr>
          <w:r>
            <w:fldChar w:fldCharType="begin"/>
          </w:r>
          <w:r>
            <w:instrText xml:space="preserve"> HYPERLINK \l _Toc1264174139_WPSOffice_Level2 </w:instrText>
          </w:r>
          <w:r>
            <w:fldChar w:fldCharType="separate"/>
          </w:r>
          <w:sdt>
            <w:sdtPr>
              <w:rPr>
                <w:rFonts w:ascii="Times New Roman" w:hAnsi="Times New Roman" w:eastAsia="宋体" w:cs="Times New Roman"/>
                <w:kern w:val="2"/>
                <w:sz w:val="21"/>
                <w:szCs w:val="24"/>
                <w:lang w:val="en-US" w:eastAsia="zh-CN" w:bidi="ar-SA"/>
              </w:rPr>
              <w:id w:val="476800263"/>
              <w:placeholder>
                <w:docPart w:val="{1131d051-6de5-49aa-a96a-d84fb52a32d9}"/>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heme="majorBidi"/>
                </w:rPr>
                <w:t>三、机构设置情况</w:t>
              </w:r>
            </w:sdtContent>
          </w:sdt>
          <w:r>
            <w:tab/>
          </w:r>
          <w:bookmarkStart w:id="16" w:name="_Toc1264174139_WPSOffice_Level2Page"/>
          <w:r>
            <w:t>8</w:t>
          </w:r>
          <w:bookmarkEnd w:id="16"/>
          <w:r>
            <w:fldChar w:fldCharType="end"/>
          </w:r>
        </w:p>
        <w:p>
          <w:pPr>
            <w:pStyle w:val="28"/>
            <w:tabs>
              <w:tab w:val="right" w:leader="dot" w:pos="8312"/>
            </w:tabs>
          </w:pPr>
          <w:r>
            <w:rPr>
              <w:b/>
              <w:bCs/>
            </w:rPr>
            <w:fldChar w:fldCharType="begin"/>
          </w:r>
          <w:r>
            <w:instrText xml:space="preserve"> HYPERLINK \l _Toc825141390_WPSOffice_Level1 </w:instrText>
          </w:r>
          <w:r>
            <w:rPr>
              <w:b/>
              <w:bCs/>
            </w:rPr>
            <w:fldChar w:fldCharType="separate"/>
          </w:r>
          <w:sdt>
            <w:sdtPr>
              <w:rPr>
                <w:rFonts w:ascii="Times New Roman" w:hAnsi="Times New Roman" w:eastAsia="宋体" w:cs="Times New Roman"/>
                <w:b/>
                <w:bCs/>
                <w:kern w:val="2"/>
                <w:sz w:val="21"/>
                <w:szCs w:val="24"/>
                <w:lang w:val="en-US" w:eastAsia="zh-CN" w:bidi="ar-SA"/>
              </w:rPr>
              <w:id w:val="476800263"/>
              <w:placeholder>
                <w:docPart w:val="{9ddd8438-3db5-407a-bf8c-f57e8f12c83e}"/>
              </w:placeholder>
            </w:sdtPr>
            <w:sdtEndPr>
              <w:rPr>
                <w:rFonts w:ascii="Times New Roman" w:hAnsi="Times New Roman" w:eastAsia="宋体" w:cs="Times New Roman"/>
                <w:b/>
                <w:bCs/>
                <w:kern w:val="2"/>
                <w:sz w:val="21"/>
                <w:szCs w:val="24"/>
                <w:lang w:val="en-US" w:eastAsia="zh-CN" w:bidi="ar-SA"/>
              </w:rPr>
            </w:sdtEndPr>
            <w:sdtContent>
              <w:r>
                <w:rPr>
                  <w:rFonts w:hint="eastAsia" w:ascii="黑体" w:hAnsi="黑体" w:eastAsia="黑体" w:cs="Times New Roman"/>
                  <w:b/>
                  <w:bCs/>
                </w:rPr>
                <w:t>第二部分</w:t>
              </w:r>
              <w:r>
                <w:rPr>
                  <w:rFonts w:ascii="黑体" w:hAnsi="黑体" w:eastAsia="黑体" w:cs="Times New Roman"/>
                  <w:b/>
                  <w:bCs/>
                </w:rPr>
                <w:t xml:space="preserve"> 2020</w:t>
              </w:r>
              <w:r>
                <w:rPr>
                  <w:rFonts w:hint="eastAsia" w:ascii="黑体" w:hAnsi="黑体" w:eastAsia="黑体" w:cs="Times New Roman"/>
                  <w:b/>
                  <w:bCs/>
                </w:rPr>
                <w:t>年度单位决算情况说明</w:t>
              </w:r>
            </w:sdtContent>
          </w:sdt>
          <w:r>
            <w:rPr>
              <w:b/>
              <w:bCs/>
            </w:rPr>
            <w:tab/>
          </w:r>
          <w:bookmarkStart w:id="17" w:name="_Toc825141390_WPSOffice_Level1Page"/>
          <w:r>
            <w:rPr>
              <w:b/>
              <w:bCs/>
            </w:rPr>
            <w:t>9</w:t>
          </w:r>
          <w:bookmarkEnd w:id="17"/>
          <w:r>
            <w:rPr>
              <w:b/>
              <w:bCs/>
            </w:rPr>
            <w:fldChar w:fldCharType="end"/>
          </w:r>
        </w:p>
        <w:p>
          <w:pPr>
            <w:pStyle w:val="29"/>
            <w:tabs>
              <w:tab w:val="right" w:leader="dot" w:pos="8312"/>
            </w:tabs>
          </w:pPr>
          <w:r>
            <w:fldChar w:fldCharType="begin"/>
          </w:r>
          <w:r>
            <w:instrText xml:space="preserve"> HYPERLINK \l _Toc832251443_WPSOffice_Level2 </w:instrText>
          </w:r>
          <w:r>
            <w:fldChar w:fldCharType="separate"/>
          </w:r>
          <w:sdt>
            <w:sdtPr>
              <w:rPr>
                <w:rFonts w:ascii="Times New Roman" w:hAnsi="Times New Roman" w:eastAsia="宋体" w:cs="Times New Roman"/>
                <w:kern w:val="2"/>
                <w:sz w:val="21"/>
                <w:szCs w:val="24"/>
                <w:lang w:val="en-US" w:eastAsia="zh-CN" w:bidi="ar-SA"/>
              </w:rPr>
              <w:id w:val="476800263"/>
              <w:placeholder>
                <w:docPart w:val="{ee2d9eec-d28e-43b0-a203-5b9539b37052}"/>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一、收入支出决算总体情况说明</w:t>
              </w:r>
            </w:sdtContent>
          </w:sdt>
          <w:r>
            <w:tab/>
          </w:r>
          <w:bookmarkStart w:id="18" w:name="_Toc832251443_WPSOffice_Level2Page"/>
          <w:r>
            <w:t>9</w:t>
          </w:r>
          <w:bookmarkEnd w:id="18"/>
          <w:r>
            <w:fldChar w:fldCharType="end"/>
          </w:r>
        </w:p>
        <w:p>
          <w:pPr>
            <w:pStyle w:val="29"/>
            <w:tabs>
              <w:tab w:val="right" w:leader="dot" w:pos="8312"/>
            </w:tabs>
          </w:pPr>
          <w:r>
            <w:fldChar w:fldCharType="begin"/>
          </w:r>
          <w:r>
            <w:instrText xml:space="preserve"> HYPERLINK \l _Toc1187233959_WPSOffice_Level2 </w:instrText>
          </w:r>
          <w:r>
            <w:fldChar w:fldCharType="separate"/>
          </w:r>
          <w:sdt>
            <w:sdtPr>
              <w:rPr>
                <w:rFonts w:ascii="Times New Roman" w:hAnsi="Times New Roman" w:eastAsia="宋体" w:cs="Times New Roman"/>
                <w:kern w:val="2"/>
                <w:sz w:val="21"/>
                <w:szCs w:val="24"/>
                <w:lang w:val="en-US" w:eastAsia="zh-CN" w:bidi="ar-SA"/>
              </w:rPr>
              <w:id w:val="476800263"/>
              <w:placeholder>
                <w:docPart w:val="{28834d91-a4c6-46f8-b848-cd636f4e4cf4}"/>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二、收入决算情况说明</w:t>
              </w:r>
            </w:sdtContent>
          </w:sdt>
          <w:r>
            <w:tab/>
          </w:r>
          <w:bookmarkStart w:id="19" w:name="_Toc1187233959_WPSOffice_Level2Page"/>
          <w:r>
            <w:t>9</w:t>
          </w:r>
          <w:bookmarkEnd w:id="19"/>
          <w:r>
            <w:fldChar w:fldCharType="end"/>
          </w:r>
        </w:p>
        <w:p>
          <w:pPr>
            <w:pStyle w:val="29"/>
            <w:tabs>
              <w:tab w:val="right" w:leader="dot" w:pos="8312"/>
            </w:tabs>
          </w:pPr>
          <w:r>
            <w:fldChar w:fldCharType="begin"/>
          </w:r>
          <w:r>
            <w:instrText xml:space="preserve"> HYPERLINK \l _Toc234571336_WPSOffice_Level2 </w:instrText>
          </w:r>
          <w:r>
            <w:fldChar w:fldCharType="separate"/>
          </w:r>
          <w:sdt>
            <w:sdtPr>
              <w:rPr>
                <w:rFonts w:ascii="Times New Roman" w:hAnsi="Times New Roman" w:eastAsia="宋体" w:cs="Times New Roman"/>
                <w:kern w:val="2"/>
                <w:sz w:val="21"/>
                <w:szCs w:val="24"/>
                <w:lang w:val="en-US" w:eastAsia="zh-CN" w:bidi="ar-SA"/>
              </w:rPr>
              <w:id w:val="476800263"/>
              <w:placeholder>
                <w:docPart w:val="{c755a13b-1eb6-4cfd-8133-f6e50fca2d65}"/>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三、支出决算情况说明</w:t>
              </w:r>
            </w:sdtContent>
          </w:sdt>
          <w:r>
            <w:tab/>
          </w:r>
          <w:bookmarkStart w:id="20" w:name="_Toc234571336_WPSOffice_Level2Page"/>
          <w:r>
            <w:t>10</w:t>
          </w:r>
          <w:bookmarkEnd w:id="20"/>
          <w:r>
            <w:fldChar w:fldCharType="end"/>
          </w:r>
        </w:p>
        <w:p>
          <w:pPr>
            <w:pStyle w:val="29"/>
            <w:tabs>
              <w:tab w:val="right" w:leader="dot" w:pos="8312"/>
            </w:tabs>
          </w:pPr>
          <w:r>
            <w:fldChar w:fldCharType="begin"/>
          </w:r>
          <w:r>
            <w:instrText xml:space="preserve"> HYPERLINK \l _Toc1498265846_WPSOffice_Level2 </w:instrText>
          </w:r>
          <w:r>
            <w:fldChar w:fldCharType="separate"/>
          </w:r>
          <w:sdt>
            <w:sdtPr>
              <w:rPr>
                <w:rFonts w:ascii="Times New Roman" w:hAnsi="Times New Roman" w:eastAsia="宋体" w:cs="Times New Roman"/>
                <w:kern w:val="2"/>
                <w:sz w:val="21"/>
                <w:szCs w:val="24"/>
                <w:lang w:val="en-US" w:eastAsia="zh-CN" w:bidi="ar-SA"/>
              </w:rPr>
              <w:id w:val="476800263"/>
              <w:placeholder>
                <w:docPart w:val="{0bc3f6c5-92c1-4ca7-9892-a45d27e7884e}"/>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四、财政拨款收入支出决算总体情况说明</w:t>
              </w:r>
            </w:sdtContent>
          </w:sdt>
          <w:r>
            <w:tab/>
          </w:r>
          <w:bookmarkStart w:id="21" w:name="_Toc1498265846_WPSOffice_Level2Page"/>
          <w:r>
            <w:t>11</w:t>
          </w:r>
          <w:bookmarkEnd w:id="21"/>
          <w:r>
            <w:fldChar w:fldCharType="end"/>
          </w:r>
        </w:p>
        <w:p>
          <w:pPr>
            <w:pStyle w:val="29"/>
            <w:tabs>
              <w:tab w:val="right" w:leader="dot" w:pos="8312"/>
            </w:tabs>
          </w:pPr>
          <w:r>
            <w:fldChar w:fldCharType="begin"/>
          </w:r>
          <w:r>
            <w:instrText xml:space="preserve"> HYPERLINK \l _Toc1371456206_WPSOffice_Level2 </w:instrText>
          </w:r>
          <w:r>
            <w:fldChar w:fldCharType="separate"/>
          </w:r>
          <w:sdt>
            <w:sdtPr>
              <w:rPr>
                <w:rFonts w:ascii="Times New Roman" w:hAnsi="Times New Roman" w:eastAsia="宋体" w:cs="Times New Roman"/>
                <w:kern w:val="2"/>
                <w:sz w:val="21"/>
                <w:szCs w:val="24"/>
                <w:lang w:val="en-US" w:eastAsia="zh-CN" w:bidi="ar-SA"/>
              </w:rPr>
              <w:id w:val="476800263"/>
              <w:placeholder>
                <w:docPart w:val="{53689af7-d760-4d42-a446-dd0919c1f705}"/>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五、一般公共预算财政拨款支出决算情况说明</w:t>
              </w:r>
            </w:sdtContent>
          </w:sdt>
          <w:r>
            <w:tab/>
          </w:r>
          <w:bookmarkStart w:id="22" w:name="_Toc1371456206_WPSOffice_Level2Page"/>
          <w:r>
            <w:t>11</w:t>
          </w:r>
          <w:bookmarkEnd w:id="22"/>
          <w:r>
            <w:fldChar w:fldCharType="end"/>
          </w:r>
        </w:p>
        <w:p>
          <w:pPr>
            <w:pStyle w:val="29"/>
            <w:tabs>
              <w:tab w:val="right" w:leader="dot" w:pos="8312"/>
            </w:tabs>
          </w:pPr>
          <w:r>
            <w:fldChar w:fldCharType="begin"/>
          </w:r>
          <w:r>
            <w:instrText xml:space="preserve"> HYPERLINK \l _Toc1744809195_WPSOffice_Level2 </w:instrText>
          </w:r>
          <w:r>
            <w:fldChar w:fldCharType="separate"/>
          </w:r>
          <w:sdt>
            <w:sdtPr>
              <w:rPr>
                <w:rFonts w:ascii="Times New Roman" w:hAnsi="Times New Roman" w:eastAsia="宋体" w:cs="Times New Roman"/>
                <w:kern w:val="2"/>
                <w:sz w:val="21"/>
                <w:szCs w:val="24"/>
                <w:lang w:val="en-US" w:eastAsia="zh-CN" w:bidi="ar-SA"/>
              </w:rPr>
              <w:id w:val="476800263"/>
              <w:placeholder>
                <w:docPart w:val="{2ed26f09-6027-4dae-ab06-9c631310b594}"/>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六、一般公共预算财政拨款基本支出决算情况说明</w:t>
              </w:r>
            </w:sdtContent>
          </w:sdt>
          <w:r>
            <w:tab/>
          </w:r>
          <w:bookmarkStart w:id="23" w:name="_Toc1744809195_WPSOffice_Level2Page"/>
          <w:r>
            <w:t>13</w:t>
          </w:r>
          <w:bookmarkEnd w:id="23"/>
          <w:r>
            <w:fldChar w:fldCharType="end"/>
          </w:r>
        </w:p>
        <w:p>
          <w:pPr>
            <w:pStyle w:val="29"/>
            <w:tabs>
              <w:tab w:val="right" w:leader="dot" w:pos="8312"/>
            </w:tabs>
          </w:pPr>
          <w:r>
            <w:fldChar w:fldCharType="begin"/>
          </w:r>
          <w:r>
            <w:instrText xml:space="preserve"> HYPERLINK \l _Toc1892992456_WPSOffice_Level2 </w:instrText>
          </w:r>
          <w:r>
            <w:fldChar w:fldCharType="separate"/>
          </w:r>
          <w:sdt>
            <w:sdtPr>
              <w:rPr>
                <w:rFonts w:ascii="Times New Roman" w:hAnsi="Times New Roman" w:eastAsia="宋体" w:cs="Times New Roman"/>
                <w:kern w:val="2"/>
                <w:sz w:val="21"/>
                <w:szCs w:val="24"/>
                <w:lang w:val="en-US" w:eastAsia="zh-CN" w:bidi="ar-SA"/>
              </w:rPr>
              <w:id w:val="476800263"/>
              <w:placeholder>
                <w:docPart w:val="{9d079338-0755-4f66-a81d-c492acf667c6}"/>
              </w:placeholder>
            </w:sdtPr>
            <w:sdtEndPr>
              <w:rPr>
                <w:rFonts w:ascii="Times New Roman" w:hAnsi="Times New Roman" w:eastAsia="宋体" w:cs="Times New Roman"/>
                <w:kern w:val="2"/>
                <w:sz w:val="21"/>
                <w:szCs w:val="24"/>
                <w:lang w:val="en-US" w:eastAsia="zh-CN" w:bidi="ar-SA"/>
              </w:rPr>
            </w:sdtEndPr>
            <w:sdtContent>
              <w:r>
                <w:rPr>
                  <w:rFonts w:hint="eastAsia" w:ascii="黑体" w:hAnsi="Times New Roman" w:eastAsia="黑体" w:cs="Times New Roman"/>
                </w:rPr>
                <w:t>七、</w:t>
              </w:r>
              <w:r>
                <w:rPr>
                  <w:rFonts w:hint="eastAsia" w:ascii="黑体" w:hAnsi="黑体" w:eastAsia="黑体" w:cs="Times New Roman"/>
                </w:rPr>
                <w:t>“三公”经费财政拨款支出决算情况说明</w:t>
              </w:r>
            </w:sdtContent>
          </w:sdt>
          <w:r>
            <w:tab/>
          </w:r>
          <w:bookmarkStart w:id="24" w:name="_Toc1892992456_WPSOffice_Level2Page"/>
          <w:r>
            <w:t>14</w:t>
          </w:r>
          <w:bookmarkEnd w:id="24"/>
          <w:r>
            <w:fldChar w:fldCharType="end"/>
          </w:r>
        </w:p>
        <w:p>
          <w:pPr>
            <w:pStyle w:val="29"/>
            <w:tabs>
              <w:tab w:val="right" w:leader="dot" w:pos="8312"/>
            </w:tabs>
          </w:pPr>
          <w:r>
            <w:fldChar w:fldCharType="begin"/>
          </w:r>
          <w:r>
            <w:instrText xml:space="preserve"> HYPERLINK \l _Toc1553575345_WPSOffice_Level2 </w:instrText>
          </w:r>
          <w:r>
            <w:fldChar w:fldCharType="separate"/>
          </w:r>
          <w:sdt>
            <w:sdtPr>
              <w:rPr>
                <w:rFonts w:ascii="Times New Roman" w:hAnsi="Times New Roman" w:eastAsia="宋体" w:cs="Times New Roman"/>
                <w:kern w:val="2"/>
                <w:sz w:val="21"/>
                <w:szCs w:val="24"/>
                <w:lang w:val="en-US" w:eastAsia="zh-CN" w:bidi="ar-SA"/>
              </w:rPr>
              <w:id w:val="476800263"/>
              <w:placeholder>
                <w:docPart w:val="{022f3a36-c0b3-434d-b5ab-f7ca9750535e}"/>
              </w:placeholder>
            </w:sdtPr>
            <w:sdtEndPr>
              <w:rPr>
                <w:rFonts w:ascii="Times New Roman" w:hAnsi="Times New Roman" w:eastAsia="宋体" w:cs="Times New Roman"/>
                <w:kern w:val="2"/>
                <w:sz w:val="21"/>
                <w:szCs w:val="24"/>
                <w:lang w:val="en-US" w:eastAsia="zh-CN" w:bidi="ar-SA"/>
              </w:rPr>
            </w:sdtEndPr>
            <w:sdtContent>
              <w:r>
                <w:rPr>
                  <w:rFonts w:hint="eastAsia" w:ascii="黑体" w:hAnsi="Times New Roman" w:eastAsia="黑体" w:cs="Times New Roman"/>
                </w:rPr>
                <w:t>八、</w:t>
              </w:r>
              <w:r>
                <w:rPr>
                  <w:rFonts w:hint="eastAsia" w:ascii="黑体" w:hAnsi="黑体" w:eastAsia="黑体" w:cs="Times New Roman"/>
                </w:rPr>
                <w:t>政府性基金预算支出决算情况说明</w:t>
              </w:r>
            </w:sdtContent>
          </w:sdt>
          <w:r>
            <w:tab/>
          </w:r>
          <w:bookmarkStart w:id="25" w:name="_Toc1553575345_WPSOffice_Level2Page"/>
          <w:r>
            <w:t>16</w:t>
          </w:r>
          <w:bookmarkEnd w:id="25"/>
          <w:r>
            <w:fldChar w:fldCharType="end"/>
          </w:r>
        </w:p>
        <w:p>
          <w:pPr>
            <w:pStyle w:val="29"/>
            <w:tabs>
              <w:tab w:val="right" w:leader="dot" w:pos="8312"/>
            </w:tabs>
          </w:pPr>
          <w:r>
            <w:fldChar w:fldCharType="begin"/>
          </w:r>
          <w:r>
            <w:instrText xml:space="preserve"> HYPERLINK \l _Toc1406535141_WPSOffice_Level2 </w:instrText>
          </w:r>
          <w:r>
            <w:fldChar w:fldCharType="separate"/>
          </w:r>
          <w:sdt>
            <w:sdtPr>
              <w:rPr>
                <w:rFonts w:ascii="Times New Roman" w:hAnsi="Times New Roman" w:eastAsia="宋体" w:cs="Times New Roman"/>
                <w:kern w:val="2"/>
                <w:sz w:val="21"/>
                <w:szCs w:val="24"/>
                <w:lang w:val="en-US" w:eastAsia="zh-CN" w:bidi="ar-SA"/>
              </w:rPr>
              <w:id w:val="476800263"/>
              <w:placeholder>
                <w:docPart w:val="{9ee843f4-df67-42d9-99b0-951458708a1f}"/>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九、 国有资本经营预算支出决算情况说明</w:t>
              </w:r>
            </w:sdtContent>
          </w:sdt>
          <w:r>
            <w:tab/>
          </w:r>
          <w:bookmarkStart w:id="26" w:name="_Toc1406535141_WPSOffice_Level2Page"/>
          <w:r>
            <w:t>16</w:t>
          </w:r>
          <w:bookmarkEnd w:id="26"/>
          <w:r>
            <w:fldChar w:fldCharType="end"/>
          </w:r>
        </w:p>
        <w:p>
          <w:pPr>
            <w:pStyle w:val="29"/>
            <w:tabs>
              <w:tab w:val="right" w:leader="dot" w:pos="8312"/>
            </w:tabs>
          </w:pPr>
          <w:r>
            <w:fldChar w:fldCharType="begin"/>
          </w:r>
          <w:r>
            <w:instrText xml:space="preserve"> HYPERLINK \l _Toc664946531_WPSOffice_Level2 </w:instrText>
          </w:r>
          <w:r>
            <w:fldChar w:fldCharType="separate"/>
          </w:r>
          <w:sdt>
            <w:sdtPr>
              <w:rPr>
                <w:rFonts w:ascii="Times New Roman" w:hAnsi="Times New Roman" w:eastAsia="宋体" w:cs="Times New Roman"/>
                <w:kern w:val="2"/>
                <w:sz w:val="21"/>
                <w:szCs w:val="24"/>
                <w:lang w:val="en-US" w:eastAsia="zh-CN" w:bidi="ar-SA"/>
              </w:rPr>
              <w:id w:val="476800263"/>
              <w:placeholder>
                <w:docPart w:val="{eec9c8d8-ae47-4295-879f-8c365d49fdf9}"/>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十、 其他重要事项的情况说明</w:t>
              </w:r>
            </w:sdtContent>
          </w:sdt>
          <w:r>
            <w:tab/>
          </w:r>
          <w:bookmarkStart w:id="27" w:name="_Toc664946531_WPSOffice_Level2Page"/>
          <w:r>
            <w:t>16</w:t>
          </w:r>
          <w:bookmarkEnd w:id="27"/>
          <w:r>
            <w:fldChar w:fldCharType="end"/>
          </w:r>
        </w:p>
        <w:p>
          <w:pPr>
            <w:pStyle w:val="28"/>
            <w:tabs>
              <w:tab w:val="right" w:leader="dot" w:pos="8312"/>
            </w:tabs>
          </w:pPr>
          <w:r>
            <w:rPr>
              <w:b/>
              <w:bCs/>
            </w:rPr>
            <w:fldChar w:fldCharType="begin"/>
          </w:r>
          <w:r>
            <w:instrText xml:space="preserve"> HYPERLINK \l _Toc1121028690_WPSOffice_Level1 </w:instrText>
          </w:r>
          <w:r>
            <w:rPr>
              <w:b/>
              <w:bCs/>
            </w:rPr>
            <w:fldChar w:fldCharType="separate"/>
          </w:r>
          <w:sdt>
            <w:sdtPr>
              <w:rPr>
                <w:rFonts w:ascii="Times New Roman" w:hAnsi="Times New Roman" w:eastAsia="宋体" w:cs="Times New Roman"/>
                <w:b/>
                <w:bCs/>
                <w:kern w:val="2"/>
                <w:sz w:val="21"/>
                <w:szCs w:val="24"/>
                <w:lang w:val="en-US" w:eastAsia="zh-CN" w:bidi="ar-SA"/>
              </w:rPr>
              <w:id w:val="476800263"/>
              <w:placeholder>
                <w:docPart w:val="{28d50d48-4af0-4470-afd7-28d5947289ae}"/>
              </w:placeholder>
            </w:sdtPr>
            <w:sdtEndPr>
              <w:rPr>
                <w:rFonts w:ascii="Times New Roman" w:hAnsi="Times New Roman" w:eastAsia="宋体" w:cs="Times New Roman"/>
                <w:b/>
                <w:bCs/>
                <w:kern w:val="2"/>
                <w:sz w:val="21"/>
                <w:szCs w:val="24"/>
                <w:lang w:val="en-US" w:eastAsia="zh-CN" w:bidi="ar-SA"/>
              </w:rPr>
            </w:sdtEndPr>
            <w:sdtContent>
              <w:r>
                <w:rPr>
                  <w:rFonts w:hint="eastAsia" w:ascii="黑体" w:hAnsi="黑体" w:eastAsia="黑体" w:cs="Times New Roman"/>
                  <w:b/>
                  <w:bCs/>
                </w:rPr>
                <w:t>第三部份</w:t>
              </w:r>
              <w:r>
                <w:rPr>
                  <w:rFonts w:ascii="黑体" w:hAnsi="黑体" w:eastAsia="黑体" w:cs="Times New Roman"/>
                  <w:b/>
                  <w:bCs/>
                </w:rPr>
                <w:t xml:space="preserve"> </w:t>
              </w:r>
              <w:r>
                <w:rPr>
                  <w:rFonts w:hint="eastAsia" w:ascii="黑体" w:hAnsi="黑体" w:eastAsia="黑体" w:cs="Times New Roman"/>
                  <w:b/>
                  <w:bCs/>
                </w:rPr>
                <w:t>名词解释</w:t>
              </w:r>
            </w:sdtContent>
          </w:sdt>
          <w:r>
            <w:rPr>
              <w:b/>
              <w:bCs/>
            </w:rPr>
            <w:tab/>
          </w:r>
          <w:bookmarkStart w:id="28" w:name="_Toc1121028690_WPSOffice_Level1Page"/>
          <w:r>
            <w:rPr>
              <w:b/>
              <w:bCs/>
            </w:rPr>
            <w:t>37</w:t>
          </w:r>
          <w:bookmarkEnd w:id="28"/>
          <w:r>
            <w:rPr>
              <w:b/>
              <w:bCs/>
            </w:rPr>
            <w:fldChar w:fldCharType="end"/>
          </w:r>
        </w:p>
        <w:p>
          <w:pPr>
            <w:pStyle w:val="28"/>
            <w:tabs>
              <w:tab w:val="right" w:leader="dot" w:pos="8312"/>
            </w:tabs>
          </w:pPr>
          <w:r>
            <w:rPr>
              <w:b/>
              <w:bCs/>
            </w:rPr>
            <w:fldChar w:fldCharType="begin"/>
          </w:r>
          <w:r>
            <w:instrText xml:space="preserve"> HYPERLINK \l _Toc1264174139_WPSOffice_Level1 </w:instrText>
          </w:r>
          <w:r>
            <w:rPr>
              <w:b/>
              <w:bCs/>
            </w:rPr>
            <w:fldChar w:fldCharType="separate"/>
          </w:r>
          <w:sdt>
            <w:sdtPr>
              <w:rPr>
                <w:rFonts w:ascii="Times New Roman" w:hAnsi="Times New Roman" w:eastAsia="宋体" w:cs="Times New Roman"/>
                <w:b/>
                <w:bCs/>
                <w:kern w:val="2"/>
                <w:sz w:val="21"/>
                <w:szCs w:val="24"/>
                <w:lang w:val="en-US" w:eastAsia="zh-CN" w:bidi="ar-SA"/>
              </w:rPr>
              <w:id w:val="476800263"/>
              <w:placeholder>
                <w:docPart w:val="{698cbd69-b96a-417a-9511-27abb788e606}"/>
              </w:placeholder>
            </w:sdtPr>
            <w:sdtEndPr>
              <w:rPr>
                <w:rFonts w:ascii="Times New Roman" w:hAnsi="Times New Roman" w:eastAsia="宋体" w:cs="Times New Roman"/>
                <w:b/>
                <w:bCs/>
                <w:kern w:val="2"/>
                <w:sz w:val="21"/>
                <w:szCs w:val="24"/>
                <w:lang w:val="en-US" w:eastAsia="zh-CN" w:bidi="ar-SA"/>
              </w:rPr>
            </w:sdtEndPr>
            <w:sdtContent>
              <w:r>
                <w:rPr>
                  <w:rFonts w:hint="eastAsia" w:ascii="黑体" w:hAnsi="黑体" w:eastAsia="黑体" w:cs="Times New Roman"/>
                  <w:b/>
                  <w:bCs/>
                </w:rPr>
                <w:t>第四部分</w:t>
              </w:r>
              <w:r>
                <w:rPr>
                  <w:rFonts w:ascii="黑体" w:hAnsi="黑体" w:eastAsia="黑体" w:cs="Times New Roman"/>
                  <w:b/>
                  <w:bCs/>
                </w:rPr>
                <w:t xml:space="preserve"> </w:t>
              </w:r>
              <w:r>
                <w:rPr>
                  <w:rFonts w:hint="eastAsia" w:ascii="黑体" w:hAnsi="黑体" w:eastAsia="黑体" w:cs="Times New Roman"/>
                  <w:b/>
                  <w:bCs/>
                </w:rPr>
                <w:t>附件</w:t>
              </w:r>
            </w:sdtContent>
          </w:sdt>
          <w:r>
            <w:rPr>
              <w:b/>
              <w:bCs/>
            </w:rPr>
            <w:tab/>
          </w:r>
          <w:bookmarkStart w:id="29" w:name="_Toc1264174139_WPSOffice_Level1Page"/>
          <w:r>
            <w:rPr>
              <w:b/>
              <w:bCs/>
            </w:rPr>
            <w:t>39</w:t>
          </w:r>
          <w:bookmarkEnd w:id="29"/>
          <w:r>
            <w:rPr>
              <w:b/>
              <w:bCs/>
            </w:rPr>
            <w:fldChar w:fldCharType="end"/>
          </w:r>
        </w:p>
        <w:p>
          <w:pPr>
            <w:pStyle w:val="28"/>
            <w:tabs>
              <w:tab w:val="right" w:leader="dot" w:pos="8312"/>
            </w:tabs>
          </w:pPr>
          <w:r>
            <w:rPr>
              <w:b/>
              <w:bCs/>
            </w:rPr>
            <w:fldChar w:fldCharType="begin"/>
          </w:r>
          <w:r>
            <w:instrText xml:space="preserve"> HYPERLINK \l _Toc832251443_WPSOffice_Level1 </w:instrText>
          </w:r>
          <w:r>
            <w:rPr>
              <w:b/>
              <w:bCs/>
            </w:rPr>
            <w:fldChar w:fldCharType="separate"/>
          </w:r>
          <w:sdt>
            <w:sdtPr>
              <w:rPr>
                <w:rFonts w:ascii="Times New Roman" w:hAnsi="Times New Roman" w:eastAsia="宋体" w:cs="Times New Roman"/>
                <w:b/>
                <w:bCs/>
                <w:kern w:val="2"/>
                <w:sz w:val="21"/>
                <w:szCs w:val="24"/>
                <w:lang w:val="en-US" w:eastAsia="zh-CN" w:bidi="ar-SA"/>
              </w:rPr>
              <w:id w:val="476800263"/>
              <w:placeholder>
                <w:docPart w:val="{79e8f5b1-7dc5-453c-8a91-67cefc3ee348}"/>
              </w:placeholder>
            </w:sdtPr>
            <w:sdtEndPr>
              <w:rPr>
                <w:rFonts w:ascii="Times New Roman" w:hAnsi="Times New Roman" w:eastAsia="宋体" w:cs="Times New Roman"/>
                <w:b/>
                <w:bCs/>
                <w:kern w:val="2"/>
                <w:sz w:val="21"/>
                <w:szCs w:val="24"/>
                <w:lang w:val="en-US" w:eastAsia="zh-CN" w:bidi="ar-SA"/>
              </w:rPr>
            </w:sdtEndPr>
            <w:sdtContent>
              <w:r>
                <w:rPr>
                  <w:rFonts w:hint="eastAsia" w:ascii="黑体" w:hAnsi="黑体" w:eastAsia="黑体" w:cs="Times New Roman"/>
                  <w:b/>
                  <w:bCs/>
                </w:rPr>
                <w:t>第五部分</w:t>
              </w:r>
              <w:r>
                <w:rPr>
                  <w:rFonts w:ascii="黑体" w:hAnsi="黑体" w:eastAsia="黑体" w:cs="Times New Roman"/>
                  <w:b/>
                  <w:bCs/>
                </w:rPr>
                <w:t xml:space="preserve"> </w:t>
              </w:r>
              <w:r>
                <w:rPr>
                  <w:rFonts w:hint="eastAsia" w:ascii="黑体" w:hAnsi="黑体" w:eastAsia="黑体" w:cs="Times New Roman"/>
                  <w:b/>
                  <w:bCs/>
                </w:rPr>
                <w:t>附表</w:t>
              </w:r>
            </w:sdtContent>
          </w:sdt>
          <w:r>
            <w:rPr>
              <w:b/>
              <w:bCs/>
            </w:rPr>
            <w:tab/>
          </w:r>
          <w:bookmarkStart w:id="30" w:name="_Toc832251443_WPSOffice_Level1Page"/>
          <w:r>
            <w:rPr>
              <w:b/>
              <w:bCs/>
            </w:rPr>
            <w:t>64</w:t>
          </w:r>
          <w:bookmarkEnd w:id="30"/>
          <w:r>
            <w:rPr>
              <w:b/>
              <w:bCs/>
            </w:rPr>
            <w:fldChar w:fldCharType="end"/>
          </w:r>
        </w:p>
        <w:p>
          <w:pPr>
            <w:pStyle w:val="29"/>
            <w:tabs>
              <w:tab w:val="right" w:leader="dot" w:pos="8312"/>
            </w:tabs>
          </w:pPr>
          <w:r>
            <w:fldChar w:fldCharType="begin"/>
          </w:r>
          <w:r>
            <w:instrText xml:space="preserve"> HYPERLINK \l _Toc657150739_WPSOffice_Level2 </w:instrText>
          </w:r>
          <w:r>
            <w:fldChar w:fldCharType="separate"/>
          </w:r>
          <w:sdt>
            <w:sdtPr>
              <w:rPr>
                <w:rFonts w:ascii="Times New Roman" w:hAnsi="Times New Roman" w:eastAsia="宋体" w:cs="Times New Roman"/>
                <w:kern w:val="2"/>
                <w:sz w:val="21"/>
                <w:szCs w:val="24"/>
                <w:lang w:val="en-US" w:eastAsia="zh-CN" w:bidi="ar-SA"/>
              </w:rPr>
              <w:id w:val="476800263"/>
              <w:placeholder>
                <w:docPart w:val="{86917bfb-13da-454c-8300-f26c9510ea4d}"/>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黑体"/>
                </w:rPr>
                <w:t>一、收入支出决算总表</w:t>
              </w:r>
            </w:sdtContent>
          </w:sdt>
          <w:r>
            <w:tab/>
          </w:r>
          <w:bookmarkStart w:id="31" w:name="_Toc657150739_WPSOffice_Level2Page"/>
          <w:r>
            <w:t>64</w:t>
          </w:r>
          <w:bookmarkEnd w:id="31"/>
          <w:r>
            <w:fldChar w:fldCharType="end"/>
          </w:r>
        </w:p>
        <w:p>
          <w:pPr>
            <w:pStyle w:val="29"/>
            <w:tabs>
              <w:tab w:val="right" w:leader="dot" w:pos="8312"/>
            </w:tabs>
          </w:pPr>
          <w:r>
            <w:fldChar w:fldCharType="begin"/>
          </w:r>
          <w:r>
            <w:instrText xml:space="preserve"> HYPERLINK \l _Toc935493342_WPSOffice_Level2 </w:instrText>
          </w:r>
          <w:r>
            <w:fldChar w:fldCharType="separate"/>
          </w:r>
          <w:sdt>
            <w:sdtPr>
              <w:rPr>
                <w:rFonts w:ascii="Times New Roman" w:hAnsi="Times New Roman" w:eastAsia="宋体" w:cs="Times New Roman"/>
                <w:kern w:val="2"/>
                <w:sz w:val="21"/>
                <w:szCs w:val="24"/>
                <w:lang w:val="en-US" w:eastAsia="zh-CN" w:bidi="ar-SA"/>
              </w:rPr>
              <w:id w:val="476800263"/>
              <w:placeholder>
                <w:docPart w:val="{97f80310-4dff-43cb-9f7b-87c065eeb8c4}"/>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黑体"/>
                </w:rPr>
                <w:t>二、收入决算表</w:t>
              </w:r>
            </w:sdtContent>
          </w:sdt>
          <w:r>
            <w:tab/>
          </w:r>
          <w:bookmarkStart w:id="32" w:name="_Toc935493342_WPSOffice_Level2Page"/>
          <w:r>
            <w:t>64</w:t>
          </w:r>
          <w:bookmarkEnd w:id="32"/>
          <w:r>
            <w:fldChar w:fldCharType="end"/>
          </w:r>
        </w:p>
        <w:p>
          <w:pPr>
            <w:pStyle w:val="29"/>
            <w:tabs>
              <w:tab w:val="right" w:leader="dot" w:pos="8312"/>
            </w:tabs>
          </w:pPr>
          <w:r>
            <w:fldChar w:fldCharType="begin"/>
          </w:r>
          <w:r>
            <w:instrText xml:space="preserve"> HYPERLINK \l _Toc1589989666_WPSOffice_Level2 </w:instrText>
          </w:r>
          <w:r>
            <w:fldChar w:fldCharType="separate"/>
          </w:r>
          <w:sdt>
            <w:sdtPr>
              <w:rPr>
                <w:rFonts w:ascii="Times New Roman" w:hAnsi="Times New Roman" w:eastAsia="宋体" w:cs="Times New Roman"/>
                <w:kern w:val="2"/>
                <w:sz w:val="21"/>
                <w:szCs w:val="24"/>
                <w:lang w:val="en-US" w:eastAsia="zh-CN" w:bidi="ar-SA"/>
              </w:rPr>
              <w:id w:val="476800263"/>
              <w:placeholder>
                <w:docPart w:val="{4564a188-eb53-4ca4-837c-aff17ddb1c93}"/>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黑体"/>
                </w:rPr>
                <w:t>三、支出决算表</w:t>
              </w:r>
            </w:sdtContent>
          </w:sdt>
          <w:r>
            <w:tab/>
          </w:r>
          <w:bookmarkStart w:id="33" w:name="_Toc1589989666_WPSOffice_Level2Page"/>
          <w:r>
            <w:t>64</w:t>
          </w:r>
          <w:bookmarkEnd w:id="33"/>
          <w:r>
            <w:fldChar w:fldCharType="end"/>
          </w:r>
        </w:p>
        <w:p>
          <w:pPr>
            <w:pStyle w:val="29"/>
            <w:tabs>
              <w:tab w:val="right" w:leader="dot" w:pos="8312"/>
            </w:tabs>
          </w:pPr>
          <w:r>
            <w:fldChar w:fldCharType="begin"/>
          </w:r>
          <w:r>
            <w:instrText xml:space="preserve"> HYPERLINK \l _Toc1076926480_WPSOffice_Level2 </w:instrText>
          </w:r>
          <w:r>
            <w:fldChar w:fldCharType="separate"/>
          </w:r>
          <w:sdt>
            <w:sdtPr>
              <w:rPr>
                <w:rFonts w:ascii="Times New Roman" w:hAnsi="Times New Roman" w:eastAsia="宋体" w:cs="Times New Roman"/>
                <w:kern w:val="2"/>
                <w:sz w:val="21"/>
                <w:szCs w:val="24"/>
                <w:lang w:val="en-US" w:eastAsia="zh-CN" w:bidi="ar-SA"/>
              </w:rPr>
              <w:id w:val="476800263"/>
              <w:placeholder>
                <w:docPart w:val="{56344268-cc7e-4b10-ac9d-aff0a6068890}"/>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黑体"/>
                </w:rPr>
                <w:t>四、财政拨款收入支出决算总表</w:t>
              </w:r>
            </w:sdtContent>
          </w:sdt>
          <w:r>
            <w:tab/>
          </w:r>
          <w:bookmarkStart w:id="34" w:name="_Toc1076926480_WPSOffice_Level2Page"/>
          <w:r>
            <w:t>64</w:t>
          </w:r>
          <w:bookmarkEnd w:id="34"/>
          <w:r>
            <w:fldChar w:fldCharType="end"/>
          </w:r>
        </w:p>
        <w:p>
          <w:pPr>
            <w:pStyle w:val="29"/>
            <w:tabs>
              <w:tab w:val="right" w:leader="dot" w:pos="8312"/>
            </w:tabs>
          </w:pPr>
          <w:r>
            <w:fldChar w:fldCharType="begin"/>
          </w:r>
          <w:r>
            <w:instrText xml:space="preserve"> HYPERLINK \l _Toc1574888575_WPSOffice_Level2 </w:instrText>
          </w:r>
          <w:r>
            <w:fldChar w:fldCharType="separate"/>
          </w:r>
          <w:sdt>
            <w:sdtPr>
              <w:rPr>
                <w:rFonts w:ascii="Times New Roman" w:hAnsi="Times New Roman" w:eastAsia="宋体" w:cs="Times New Roman"/>
                <w:kern w:val="2"/>
                <w:sz w:val="21"/>
                <w:szCs w:val="24"/>
                <w:lang w:val="en-US" w:eastAsia="zh-CN" w:bidi="ar-SA"/>
              </w:rPr>
              <w:id w:val="476800263"/>
              <w:placeholder>
                <w:docPart w:val="{0dcc015e-3522-4f6c-b2d5-407470230316}"/>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黑体"/>
                </w:rPr>
                <w:t>五、财政拨款支出决算明细表</w:t>
              </w:r>
            </w:sdtContent>
          </w:sdt>
          <w:r>
            <w:tab/>
          </w:r>
          <w:bookmarkStart w:id="35" w:name="_Toc1574888575_WPSOffice_Level2Page"/>
          <w:r>
            <w:t>64</w:t>
          </w:r>
          <w:bookmarkEnd w:id="35"/>
          <w:r>
            <w:fldChar w:fldCharType="end"/>
          </w:r>
        </w:p>
        <w:p>
          <w:pPr>
            <w:pStyle w:val="29"/>
            <w:tabs>
              <w:tab w:val="right" w:leader="dot" w:pos="8312"/>
            </w:tabs>
          </w:pPr>
          <w:r>
            <w:fldChar w:fldCharType="begin"/>
          </w:r>
          <w:r>
            <w:instrText xml:space="preserve"> HYPERLINK \l _Toc2045682968_WPSOffice_Level2 </w:instrText>
          </w:r>
          <w:r>
            <w:fldChar w:fldCharType="separate"/>
          </w:r>
          <w:sdt>
            <w:sdtPr>
              <w:rPr>
                <w:rFonts w:ascii="Times New Roman" w:hAnsi="Times New Roman" w:eastAsia="宋体" w:cs="Times New Roman"/>
                <w:kern w:val="2"/>
                <w:sz w:val="21"/>
                <w:szCs w:val="24"/>
                <w:lang w:val="en-US" w:eastAsia="zh-CN" w:bidi="ar-SA"/>
              </w:rPr>
              <w:id w:val="476800263"/>
              <w:placeholder>
                <w:docPart w:val="{ecc83967-370f-4253-a521-991bc475f487}"/>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黑体"/>
                </w:rPr>
                <w:t>六、一般公共预算财政拨款支出决算表</w:t>
              </w:r>
            </w:sdtContent>
          </w:sdt>
          <w:r>
            <w:tab/>
          </w:r>
          <w:bookmarkStart w:id="36" w:name="_Toc2045682968_WPSOffice_Level2Page"/>
          <w:r>
            <w:t>64</w:t>
          </w:r>
          <w:bookmarkEnd w:id="36"/>
          <w:r>
            <w:fldChar w:fldCharType="end"/>
          </w:r>
        </w:p>
        <w:p>
          <w:pPr>
            <w:pStyle w:val="29"/>
            <w:tabs>
              <w:tab w:val="right" w:leader="dot" w:pos="8312"/>
            </w:tabs>
          </w:pPr>
          <w:r>
            <w:fldChar w:fldCharType="begin"/>
          </w:r>
          <w:r>
            <w:instrText xml:space="preserve"> HYPERLINK \l _Toc1446413868_WPSOffice_Level2 </w:instrText>
          </w:r>
          <w:r>
            <w:fldChar w:fldCharType="separate"/>
          </w:r>
          <w:sdt>
            <w:sdtPr>
              <w:rPr>
                <w:rFonts w:ascii="Times New Roman" w:hAnsi="Times New Roman" w:eastAsia="宋体" w:cs="Times New Roman"/>
                <w:kern w:val="2"/>
                <w:sz w:val="21"/>
                <w:szCs w:val="24"/>
                <w:lang w:val="en-US" w:eastAsia="zh-CN" w:bidi="ar-SA"/>
              </w:rPr>
              <w:id w:val="476800263"/>
              <w:placeholder>
                <w:docPart w:val="{277e0581-952c-4a9a-8c72-32bbd9cd544e}"/>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黑体"/>
                </w:rPr>
                <w:t>七、一般公共预算财政拨款支出决算明细表</w:t>
              </w:r>
            </w:sdtContent>
          </w:sdt>
          <w:r>
            <w:tab/>
          </w:r>
          <w:bookmarkStart w:id="37" w:name="_Toc1446413868_WPSOffice_Level2Page"/>
          <w:r>
            <w:t>64</w:t>
          </w:r>
          <w:bookmarkEnd w:id="37"/>
          <w:r>
            <w:fldChar w:fldCharType="end"/>
          </w:r>
        </w:p>
        <w:p>
          <w:pPr>
            <w:pStyle w:val="29"/>
            <w:tabs>
              <w:tab w:val="right" w:leader="dot" w:pos="8312"/>
            </w:tabs>
          </w:pPr>
          <w:r>
            <w:fldChar w:fldCharType="begin"/>
          </w:r>
          <w:r>
            <w:instrText xml:space="preserve"> HYPERLINK \l _Toc1503713230_WPSOffice_Level2 </w:instrText>
          </w:r>
          <w:r>
            <w:fldChar w:fldCharType="separate"/>
          </w:r>
          <w:sdt>
            <w:sdtPr>
              <w:rPr>
                <w:rFonts w:ascii="Times New Roman" w:hAnsi="Times New Roman" w:eastAsia="宋体" w:cs="Times New Roman"/>
                <w:kern w:val="2"/>
                <w:sz w:val="21"/>
                <w:szCs w:val="24"/>
                <w:lang w:val="en-US" w:eastAsia="zh-CN" w:bidi="ar-SA"/>
              </w:rPr>
              <w:id w:val="476800263"/>
              <w:placeholder>
                <w:docPart w:val="{b438ef7a-1807-48ac-a695-2a07f42f18b0}"/>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黑体"/>
                </w:rPr>
                <w:t>八、一般公共预算财政拨款基本支出决算表</w:t>
              </w:r>
            </w:sdtContent>
          </w:sdt>
          <w:r>
            <w:tab/>
          </w:r>
          <w:bookmarkStart w:id="38" w:name="_Toc1503713230_WPSOffice_Level2Page"/>
          <w:r>
            <w:t>64</w:t>
          </w:r>
          <w:bookmarkEnd w:id="38"/>
          <w:r>
            <w:fldChar w:fldCharType="end"/>
          </w:r>
        </w:p>
        <w:p>
          <w:pPr>
            <w:pStyle w:val="29"/>
            <w:tabs>
              <w:tab w:val="right" w:leader="dot" w:pos="8312"/>
            </w:tabs>
          </w:pPr>
          <w:r>
            <w:fldChar w:fldCharType="begin"/>
          </w:r>
          <w:r>
            <w:instrText xml:space="preserve"> HYPERLINK \l _Toc1628556203_WPSOffice_Level2 </w:instrText>
          </w:r>
          <w:r>
            <w:fldChar w:fldCharType="separate"/>
          </w:r>
          <w:sdt>
            <w:sdtPr>
              <w:rPr>
                <w:rFonts w:ascii="Times New Roman" w:hAnsi="Times New Roman" w:eastAsia="宋体" w:cs="Times New Roman"/>
                <w:kern w:val="2"/>
                <w:sz w:val="21"/>
                <w:szCs w:val="24"/>
                <w:lang w:val="en-US" w:eastAsia="zh-CN" w:bidi="ar-SA"/>
              </w:rPr>
              <w:id w:val="476800263"/>
              <w:placeholder>
                <w:docPart w:val="{687e622c-1687-449b-b70e-27145f556f9b}"/>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黑体"/>
                </w:rPr>
                <w:t>九、一般公共预算财政拨款项目支出决算表</w:t>
              </w:r>
            </w:sdtContent>
          </w:sdt>
          <w:r>
            <w:tab/>
          </w:r>
          <w:bookmarkStart w:id="39" w:name="_Toc1628556203_WPSOffice_Level2Page"/>
          <w:r>
            <w:t>64</w:t>
          </w:r>
          <w:bookmarkEnd w:id="39"/>
          <w:r>
            <w:fldChar w:fldCharType="end"/>
          </w:r>
        </w:p>
        <w:p>
          <w:pPr>
            <w:pStyle w:val="29"/>
            <w:tabs>
              <w:tab w:val="right" w:leader="dot" w:pos="8312"/>
            </w:tabs>
          </w:pPr>
          <w:r>
            <w:fldChar w:fldCharType="begin"/>
          </w:r>
          <w:r>
            <w:instrText xml:space="preserve"> HYPERLINK \l _Toc328438799_WPSOffice_Level2 </w:instrText>
          </w:r>
          <w:r>
            <w:fldChar w:fldCharType="separate"/>
          </w:r>
          <w:sdt>
            <w:sdtPr>
              <w:rPr>
                <w:rFonts w:ascii="Times New Roman" w:hAnsi="Times New Roman" w:eastAsia="宋体" w:cs="Times New Roman"/>
                <w:kern w:val="2"/>
                <w:sz w:val="21"/>
                <w:szCs w:val="24"/>
                <w:lang w:val="en-US" w:eastAsia="zh-CN" w:bidi="ar-SA"/>
              </w:rPr>
              <w:id w:val="476800263"/>
              <w:placeholder>
                <w:docPart w:val="{09ffe35f-15d8-4314-a408-cecc01a6c843}"/>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黑体"/>
                </w:rPr>
                <w:t>十、一般公共预算财政拨款“三公”经费支出决算表</w:t>
              </w:r>
            </w:sdtContent>
          </w:sdt>
          <w:r>
            <w:tab/>
          </w:r>
          <w:bookmarkStart w:id="40" w:name="_Toc328438799_WPSOffice_Level2Page"/>
          <w:r>
            <w:t>64</w:t>
          </w:r>
          <w:bookmarkEnd w:id="40"/>
          <w:r>
            <w:fldChar w:fldCharType="end"/>
          </w:r>
        </w:p>
        <w:p>
          <w:pPr>
            <w:pStyle w:val="29"/>
            <w:tabs>
              <w:tab w:val="right" w:leader="dot" w:pos="8312"/>
            </w:tabs>
          </w:pPr>
          <w:r>
            <w:fldChar w:fldCharType="begin"/>
          </w:r>
          <w:r>
            <w:instrText xml:space="preserve"> HYPERLINK \l _Toc1926623179_WPSOffice_Level2 </w:instrText>
          </w:r>
          <w:r>
            <w:fldChar w:fldCharType="separate"/>
          </w:r>
          <w:sdt>
            <w:sdtPr>
              <w:rPr>
                <w:rFonts w:ascii="Times New Roman" w:hAnsi="Times New Roman" w:eastAsia="宋体" w:cs="Times New Roman"/>
                <w:kern w:val="2"/>
                <w:sz w:val="21"/>
                <w:szCs w:val="24"/>
                <w:lang w:val="en-US" w:eastAsia="zh-CN" w:bidi="ar-SA"/>
              </w:rPr>
              <w:id w:val="476800263"/>
              <w:placeholder>
                <w:docPart w:val="{fc42ca79-13d8-448b-8eec-cfd12b5c2232}"/>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黑体"/>
                </w:rPr>
                <w:t>十一、政府性基金预算财政拨款收入支出决算表</w:t>
              </w:r>
            </w:sdtContent>
          </w:sdt>
          <w:r>
            <w:tab/>
          </w:r>
          <w:bookmarkStart w:id="41" w:name="_Toc1926623179_WPSOffice_Level2Page"/>
          <w:r>
            <w:t>64</w:t>
          </w:r>
          <w:bookmarkEnd w:id="41"/>
          <w:r>
            <w:fldChar w:fldCharType="end"/>
          </w:r>
        </w:p>
        <w:p>
          <w:pPr>
            <w:pStyle w:val="29"/>
            <w:tabs>
              <w:tab w:val="right" w:leader="dot" w:pos="8312"/>
            </w:tabs>
          </w:pPr>
          <w:r>
            <w:fldChar w:fldCharType="begin"/>
          </w:r>
          <w:r>
            <w:instrText xml:space="preserve"> HYPERLINK \l _Toc952966989_WPSOffice_Level2 </w:instrText>
          </w:r>
          <w:r>
            <w:fldChar w:fldCharType="separate"/>
          </w:r>
          <w:sdt>
            <w:sdtPr>
              <w:rPr>
                <w:rFonts w:ascii="Times New Roman" w:hAnsi="Times New Roman" w:eastAsia="宋体" w:cs="Times New Roman"/>
                <w:kern w:val="2"/>
                <w:sz w:val="21"/>
                <w:szCs w:val="24"/>
                <w:lang w:val="en-US" w:eastAsia="zh-CN" w:bidi="ar-SA"/>
              </w:rPr>
              <w:id w:val="476800263"/>
              <w:placeholder>
                <w:docPart w:val="{2995f50c-a1a5-4c80-9b04-b6b0e4584975}"/>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黑体"/>
                </w:rPr>
                <w:t>十二、政府性基金预算财政拨款“三公”经费支出决算表</w:t>
              </w:r>
            </w:sdtContent>
          </w:sdt>
          <w:r>
            <w:tab/>
          </w:r>
          <w:bookmarkStart w:id="42" w:name="_Toc952966989_WPSOffice_Level2Page"/>
          <w:r>
            <w:t>64</w:t>
          </w:r>
          <w:bookmarkEnd w:id="42"/>
          <w:r>
            <w:fldChar w:fldCharType="end"/>
          </w:r>
        </w:p>
        <w:p>
          <w:pPr>
            <w:pStyle w:val="29"/>
            <w:tabs>
              <w:tab w:val="right" w:leader="dot" w:pos="8312"/>
            </w:tabs>
          </w:pPr>
          <w:r>
            <w:fldChar w:fldCharType="begin"/>
          </w:r>
          <w:r>
            <w:instrText xml:space="preserve"> HYPERLINK \l _Toc2145391868_WPSOffice_Level2 </w:instrText>
          </w:r>
          <w:r>
            <w:fldChar w:fldCharType="separate"/>
          </w:r>
          <w:sdt>
            <w:sdtPr>
              <w:rPr>
                <w:rFonts w:ascii="Times New Roman" w:hAnsi="Times New Roman" w:eastAsia="宋体" w:cs="Times New Roman"/>
                <w:kern w:val="2"/>
                <w:sz w:val="21"/>
                <w:szCs w:val="24"/>
                <w:lang w:val="en-US" w:eastAsia="zh-CN" w:bidi="ar-SA"/>
              </w:rPr>
              <w:id w:val="476800263"/>
              <w:placeholder>
                <w:docPart w:val="{d0b6e1fc-80b2-4353-a849-aca71f8d8d8b}"/>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黑体"/>
                </w:rPr>
                <w:t>十三、国有资本经营预算财政拨款收入支出决算表</w:t>
              </w:r>
            </w:sdtContent>
          </w:sdt>
          <w:r>
            <w:tab/>
          </w:r>
          <w:bookmarkStart w:id="43" w:name="_Toc2145391868_WPSOffice_Level2Page"/>
          <w:r>
            <w:t>64</w:t>
          </w:r>
          <w:bookmarkEnd w:id="43"/>
          <w:r>
            <w:fldChar w:fldCharType="end"/>
          </w:r>
        </w:p>
        <w:p>
          <w:pPr>
            <w:pStyle w:val="29"/>
            <w:tabs>
              <w:tab w:val="right" w:leader="dot" w:pos="8312"/>
            </w:tabs>
          </w:pPr>
          <w:r>
            <w:fldChar w:fldCharType="begin"/>
          </w:r>
          <w:r>
            <w:instrText xml:space="preserve"> HYPERLINK \l _Toc1879383319_WPSOffice_Level2 </w:instrText>
          </w:r>
          <w:r>
            <w:fldChar w:fldCharType="separate"/>
          </w:r>
          <w:sdt>
            <w:sdtPr>
              <w:rPr>
                <w:rFonts w:ascii="Times New Roman" w:hAnsi="Times New Roman" w:eastAsia="宋体" w:cs="Times New Roman"/>
                <w:kern w:val="2"/>
                <w:sz w:val="21"/>
                <w:szCs w:val="24"/>
                <w:lang w:val="en-US" w:eastAsia="zh-CN" w:bidi="ar-SA"/>
              </w:rPr>
              <w:id w:val="476800263"/>
              <w:placeholder>
                <w:docPart w:val="{95a14886-5a14-4bd5-9241-900febe2cb6c}"/>
              </w:placeholder>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黑体"/>
                </w:rPr>
                <w:t>十四、国有资本经营预算财政拨款支出决算表</w:t>
              </w:r>
            </w:sdtContent>
          </w:sdt>
          <w:r>
            <w:tab/>
          </w:r>
          <w:bookmarkStart w:id="44" w:name="_Toc1879383319_WPSOffice_Level2Page"/>
          <w:r>
            <w:t>64</w:t>
          </w:r>
          <w:bookmarkEnd w:id="44"/>
          <w:r>
            <w:fldChar w:fldCharType="end"/>
          </w:r>
          <w:bookmarkEnd w:id="12"/>
        </w:p>
      </w:sdtContent>
    </w:sdt>
    <w:p>
      <w:pPr>
        <w:rPr>
          <w:rFonts w:hint="eastAsia"/>
          <w:lang w:val="en-US" w:eastAsia="zh-CN"/>
        </w:rPr>
      </w:pPr>
    </w:p>
    <w:p>
      <w:pPr>
        <w:rPr>
          <w:rFonts w:hint="eastAsia" w:ascii="黑体" w:hAnsi="黑体" w:eastAsia="黑体" w:cs="Times New Roman"/>
          <w:b/>
          <w:bCs/>
          <w:kern w:val="44"/>
          <w:sz w:val="44"/>
          <w:szCs w:val="44"/>
          <w:lang w:val="en-US" w:eastAsia="zh-CN" w:bidi="ar-SA"/>
        </w:rPr>
      </w:pPr>
    </w:p>
    <w:p>
      <w:pPr>
        <w:pStyle w:val="4"/>
        <w:jc w:val="both"/>
        <w:rPr>
          <w:rFonts w:hint="eastAsia" w:ascii="黑体" w:hAnsi="黑体" w:eastAsia="黑体"/>
          <w:b w:val="0"/>
        </w:rPr>
        <w:sectPr>
          <w:footerReference r:id="rId4" w:type="default"/>
          <w:pgSz w:w="11906" w:h="16838"/>
          <w:pgMar w:top="1440" w:right="1797" w:bottom="1440" w:left="1797" w:header="851" w:footer="992" w:gutter="0"/>
          <w:pgNumType w:start="1"/>
          <w:cols w:space="425" w:num="1"/>
          <w:docGrid w:type="linesAndChars" w:linePitch="312" w:charSpace="0"/>
        </w:sectPr>
      </w:pPr>
      <w:bookmarkStart w:id="438" w:name="_GoBack"/>
      <w:bookmarkEnd w:id="438"/>
    </w:p>
    <w:p>
      <w:pPr>
        <w:pStyle w:val="4"/>
        <w:pageBreakBefore w:val="0"/>
        <w:kinsoku/>
        <w:wordWrap/>
        <w:overflowPunct/>
        <w:topLinePunct w:val="0"/>
        <w:bidi w:val="0"/>
        <w:spacing w:line="640" w:lineRule="exact"/>
        <w:jc w:val="both"/>
        <w:rPr>
          <w:rFonts w:hint="eastAsia" w:ascii="黑体" w:hAnsi="黑体" w:eastAsia="黑体"/>
          <w:b w:val="0"/>
        </w:rPr>
      </w:pPr>
    </w:p>
    <w:p>
      <w:pPr>
        <w:pStyle w:val="4"/>
        <w:pageBreakBefore w:val="0"/>
        <w:kinsoku/>
        <w:wordWrap/>
        <w:overflowPunct/>
        <w:topLinePunct w:val="0"/>
        <w:bidi w:val="0"/>
        <w:spacing w:line="640" w:lineRule="exact"/>
        <w:ind w:firstLine="2200" w:firstLineChars="500"/>
        <w:jc w:val="both"/>
        <w:rPr>
          <w:rFonts w:ascii="黑体" w:eastAsia="黑体"/>
          <w:color w:val="000000"/>
          <w:sz w:val="32"/>
          <w:szCs w:val="32"/>
        </w:rPr>
      </w:pPr>
      <w:bookmarkStart w:id="45" w:name="_Toc1860521056_WPSOffice_Level1"/>
      <w:r>
        <w:rPr>
          <w:rFonts w:hint="eastAsia" w:ascii="黑体" w:hAnsi="黑体" w:eastAsia="黑体"/>
          <w:b w:val="0"/>
        </w:rPr>
        <w:t>第一部分</w:t>
      </w:r>
      <w:r>
        <w:rPr>
          <w:rFonts w:ascii="黑体" w:hAnsi="黑体" w:eastAsia="黑体"/>
          <w:b w:val="0"/>
        </w:rPr>
        <w:t xml:space="preserve"> </w:t>
      </w:r>
      <w:r>
        <w:rPr>
          <w:rFonts w:hint="eastAsia" w:ascii="黑体" w:hAnsi="黑体" w:eastAsia="黑体"/>
          <w:b w:val="0"/>
        </w:rPr>
        <w:t>单位</w:t>
      </w:r>
      <w:r>
        <w:rPr>
          <w:rStyle w:val="19"/>
          <w:rFonts w:hint="eastAsia" w:ascii="黑体" w:hAnsi="黑体" w:eastAsia="黑体"/>
          <w:b w:val="0"/>
          <w:bCs w:val="0"/>
        </w:rPr>
        <w:t>概况</w:t>
      </w:r>
      <w:bookmarkEnd w:id="45"/>
    </w:p>
    <w:p>
      <w:pPr>
        <w:pStyle w:val="5"/>
        <w:pageBreakBefore w:val="0"/>
        <w:widowControl w:val="0"/>
        <w:kinsoku/>
        <w:wordWrap/>
        <w:overflowPunct/>
        <w:topLinePunct w:val="0"/>
        <w:autoSpaceDE/>
        <w:autoSpaceDN/>
        <w:bidi w:val="0"/>
        <w:adjustRightInd/>
        <w:snapToGrid/>
        <w:spacing w:line="640" w:lineRule="exact"/>
        <w:ind w:firstLine="640" w:firstLineChars="200"/>
        <w:textAlignment w:val="auto"/>
        <w:rPr>
          <w:rStyle w:val="20"/>
          <w:rFonts w:hint="eastAsia" w:ascii="黑体" w:hAnsi="黑体" w:eastAsia="黑体"/>
          <w:b w:val="0"/>
          <w:bCs w:val="0"/>
        </w:rPr>
      </w:pPr>
      <w:bookmarkStart w:id="46" w:name="_Toc15377198"/>
      <w:bookmarkStart w:id="47" w:name="_Toc15378445"/>
      <w:bookmarkStart w:id="48" w:name="_Toc1327783495_WPSOffice_Level2"/>
      <w:bookmarkStart w:id="49" w:name="_Toc12261"/>
      <w:bookmarkStart w:id="50" w:name="_Toc825141390_WPSOffice_Level2"/>
      <w:r>
        <w:rPr>
          <w:rStyle w:val="20"/>
          <w:rFonts w:hint="eastAsia" w:ascii="黑体" w:hAnsi="黑体" w:eastAsia="黑体"/>
          <w:b w:val="0"/>
          <w:bCs w:val="0"/>
        </w:rPr>
        <w:t>一、职能简介</w:t>
      </w:r>
      <w:bookmarkEnd w:id="46"/>
      <w:bookmarkEnd w:id="47"/>
      <w:bookmarkEnd w:id="48"/>
      <w:bookmarkEnd w:id="49"/>
      <w:bookmarkEnd w:id="50"/>
    </w:p>
    <w:p>
      <w:pPr>
        <w:pStyle w:val="5"/>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楷体_GB2312" w:hAnsi="楷体_GB2312" w:eastAsia="楷体_GB2312" w:cs="楷体_GB2312"/>
          <w:b/>
          <w:bCs w:val="0"/>
          <w:kern w:val="2"/>
          <w:sz w:val="32"/>
          <w:szCs w:val="32"/>
          <w:lang w:val="en-US" w:eastAsia="zh-CN" w:bidi="ar-SA"/>
        </w:rPr>
      </w:pPr>
      <w:r>
        <w:rPr>
          <w:rFonts w:hint="eastAsia" w:ascii="楷体_GB2312" w:hAnsi="楷体_GB2312" w:eastAsia="楷体_GB2312" w:cs="楷体_GB2312"/>
          <w:b/>
          <w:bCs w:val="0"/>
          <w:kern w:val="2"/>
          <w:sz w:val="32"/>
          <w:szCs w:val="32"/>
          <w:lang w:val="en-US" w:eastAsia="zh-CN" w:bidi="ar-SA"/>
        </w:rPr>
        <w:t>（一）省政府批复的主要职能</w:t>
      </w:r>
    </w:p>
    <w:p>
      <w:pPr>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按照四川省人民政府《关于同意建立四川商务职业学院的批复》（川府函〔</w:t>
      </w:r>
      <w:r>
        <w:rPr>
          <w:rFonts w:ascii="仿宋_GB2312" w:hAnsi="仿宋_GB2312" w:eastAsia="仿宋_GB2312" w:cs="仿宋_GB2312"/>
          <w:sz w:val="32"/>
          <w:szCs w:val="40"/>
        </w:rPr>
        <w:t>2004</w:t>
      </w:r>
      <w:r>
        <w:rPr>
          <w:rFonts w:hint="eastAsia" w:ascii="仿宋_GB2312" w:hAnsi="仿宋_GB2312" w:eastAsia="仿宋_GB2312" w:cs="仿宋_GB2312"/>
          <w:sz w:val="32"/>
          <w:szCs w:val="40"/>
        </w:rPr>
        <w:t>〕</w:t>
      </w:r>
      <w:r>
        <w:rPr>
          <w:rFonts w:ascii="仿宋_GB2312" w:hAnsi="仿宋_GB2312" w:eastAsia="仿宋_GB2312" w:cs="仿宋_GB2312"/>
          <w:sz w:val="32"/>
          <w:szCs w:val="40"/>
        </w:rPr>
        <w:t>94</w:t>
      </w:r>
      <w:r>
        <w:rPr>
          <w:rFonts w:hint="eastAsia" w:ascii="仿宋_GB2312" w:hAnsi="仿宋_GB2312" w:eastAsia="仿宋_GB2312" w:cs="仿宋_GB2312"/>
          <w:sz w:val="32"/>
          <w:szCs w:val="40"/>
        </w:rPr>
        <w:t>号）文件规定，学院为专科层次的普通高等学校，主要职能是：实施专科层次的全日制高等职业技术教育为主，同时保留一定的中等职业技术教育的功能。</w:t>
      </w:r>
    </w:p>
    <w:p>
      <w:pPr>
        <w:pageBreakBefore w:val="0"/>
        <w:kinsoku/>
        <w:wordWrap/>
        <w:overflowPunct/>
        <w:topLinePunct w:val="0"/>
        <w:bidi w:val="0"/>
        <w:spacing w:line="640" w:lineRule="exact"/>
        <w:ind w:firstLine="640" w:firstLineChars="200"/>
        <w:outlineLvl w:val="2"/>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（二）</w:t>
      </w:r>
      <w:r>
        <w:rPr>
          <w:rFonts w:hint="eastAsia" w:ascii="楷体_GB2312" w:hAnsi="楷体_GB2312" w:eastAsia="楷体_GB2312" w:cs="楷体_GB2312"/>
          <w:b/>
          <w:sz w:val="32"/>
          <w:szCs w:val="32"/>
        </w:rPr>
        <w:t>新时期高校“五大”基本职能</w:t>
      </w:r>
    </w:p>
    <w:p>
      <w:pPr>
        <w:pageBreakBefore w:val="0"/>
        <w:kinsoku/>
        <w:wordWrap/>
        <w:overflowPunct/>
        <w:topLinePunct w:val="0"/>
        <w:bidi w:val="0"/>
        <w:spacing w:line="64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学院认真贯彻落实教育部提出的关于新时期高校“五大”基本职能（人才培养、科学研究、社会服务、文化传承创新和国际交流合作），将“立德树人”根本任务融入高校各领域、各环节、各方面，为努力培养德智体美劳全面发展的社会主义建设者和接班人，为实现“两个一百年”奋斗目标和中华民族伟大复兴中国梦提供坚强的人才保障。</w:t>
      </w:r>
    </w:p>
    <w:p>
      <w:pPr>
        <w:pageBreakBefore w:val="0"/>
        <w:kinsoku/>
        <w:wordWrap/>
        <w:overflowPunct/>
        <w:topLinePunct w:val="0"/>
        <w:bidi w:val="0"/>
        <w:spacing w:line="640" w:lineRule="exact"/>
        <w:ind w:firstLine="640" w:firstLineChars="200"/>
        <w:rPr>
          <w:rFonts w:ascii="仿宋_GB2312" w:hAnsi="仿宋_GB2312" w:eastAsia="仿宋_GB2312" w:cs="仿宋_GB2312"/>
          <w:sz w:val="32"/>
          <w:szCs w:val="40"/>
        </w:rPr>
      </w:pPr>
      <w:r>
        <w:rPr>
          <w:rFonts w:ascii="楷体_GB2312" w:hAnsi="楷体_GB2312" w:eastAsia="楷体_GB2312" w:cs="楷体_GB2312"/>
          <w:b/>
          <w:bCs/>
          <w:sz w:val="32"/>
          <w:szCs w:val="40"/>
        </w:rPr>
        <w:t>1.</w:t>
      </w:r>
      <w:r>
        <w:rPr>
          <w:rFonts w:hint="eastAsia" w:ascii="楷体_GB2312" w:hAnsi="楷体_GB2312" w:eastAsia="楷体_GB2312" w:cs="楷体_GB2312"/>
          <w:b/>
          <w:bCs/>
          <w:sz w:val="32"/>
          <w:szCs w:val="40"/>
        </w:rPr>
        <w:t>人才培养。</w:t>
      </w:r>
      <w:r>
        <w:rPr>
          <w:rFonts w:hint="eastAsia" w:ascii="仿宋_GB2312" w:hAnsi="仿宋_GB2312" w:eastAsia="仿宋_GB2312" w:cs="仿宋_GB2312"/>
          <w:sz w:val="32"/>
          <w:szCs w:val="40"/>
        </w:rPr>
        <w:t>坚持把社会主义办学方向融入思想道德教育、文化知识教育、社会实践教育各环节，贯穿专业体系、教学体系、教材体系、管理体系等各方面，努力推动学院人才培养质量不断提高。</w:t>
      </w:r>
      <w:r>
        <w:rPr>
          <w:rFonts w:ascii="仿宋_GB2312" w:hAnsi="仿宋_GB2312" w:eastAsia="仿宋_GB2312" w:cs="仿宋_GB2312"/>
          <w:sz w:val="32"/>
          <w:szCs w:val="40"/>
        </w:rPr>
        <w:t xml:space="preserve"> </w:t>
      </w:r>
    </w:p>
    <w:p>
      <w:pPr>
        <w:pageBreakBefore w:val="0"/>
        <w:kinsoku/>
        <w:wordWrap/>
        <w:overflowPunct/>
        <w:topLinePunct w:val="0"/>
        <w:bidi w:val="0"/>
        <w:spacing w:line="640" w:lineRule="exact"/>
        <w:ind w:firstLine="640" w:firstLineChars="200"/>
        <w:rPr>
          <w:rFonts w:ascii="仿宋_GB2312" w:hAnsi="仿宋_GB2312" w:eastAsia="仿宋_GB2312" w:cs="仿宋_GB2312"/>
          <w:sz w:val="32"/>
          <w:szCs w:val="40"/>
        </w:rPr>
      </w:pPr>
      <w:r>
        <w:rPr>
          <w:rFonts w:ascii="楷体_GB2312" w:hAnsi="楷体_GB2312" w:eastAsia="楷体_GB2312" w:cs="楷体_GB2312"/>
          <w:b/>
          <w:bCs/>
          <w:sz w:val="32"/>
          <w:szCs w:val="40"/>
        </w:rPr>
        <w:t>2.</w:t>
      </w:r>
      <w:r>
        <w:rPr>
          <w:rFonts w:hint="eastAsia" w:ascii="楷体_GB2312" w:hAnsi="楷体_GB2312" w:eastAsia="楷体_GB2312" w:cs="楷体_GB2312"/>
          <w:b/>
          <w:bCs/>
          <w:sz w:val="32"/>
          <w:szCs w:val="40"/>
        </w:rPr>
        <w:t>科学研究。</w:t>
      </w:r>
      <w:r>
        <w:rPr>
          <w:rFonts w:hint="eastAsia" w:ascii="仿宋_GB2312" w:hAnsi="仿宋_GB2312" w:eastAsia="仿宋_GB2312" w:cs="仿宋_GB2312"/>
          <w:sz w:val="32"/>
          <w:szCs w:val="40"/>
        </w:rPr>
        <w:t>切实发挥科研工作的育人功能，积极普及科学知识、弘扬科学精神、传播科学思想、倡导科学方法，教育引导师生树立正确的政治方向、价值取向、学术导向，培养师生开拓创新的进取意识和严谨求实的科研作风。</w:t>
      </w:r>
    </w:p>
    <w:p>
      <w:pPr>
        <w:pageBreakBefore w:val="0"/>
        <w:kinsoku/>
        <w:wordWrap/>
        <w:overflowPunct/>
        <w:topLinePunct w:val="0"/>
        <w:bidi w:val="0"/>
        <w:spacing w:line="640" w:lineRule="exact"/>
        <w:ind w:firstLine="640" w:firstLineChars="200"/>
        <w:rPr>
          <w:rFonts w:ascii="仿宋_GB2312" w:hAnsi="仿宋_GB2312" w:eastAsia="仿宋_GB2312" w:cs="仿宋_GB2312"/>
          <w:sz w:val="32"/>
          <w:szCs w:val="40"/>
        </w:rPr>
      </w:pPr>
      <w:r>
        <w:rPr>
          <w:rFonts w:ascii="楷体_GB2312" w:hAnsi="楷体_GB2312" w:eastAsia="楷体_GB2312" w:cs="楷体_GB2312"/>
          <w:b/>
          <w:bCs/>
          <w:sz w:val="32"/>
          <w:szCs w:val="40"/>
        </w:rPr>
        <w:t>3.</w:t>
      </w:r>
      <w:r>
        <w:rPr>
          <w:rFonts w:hint="eastAsia" w:ascii="楷体_GB2312" w:hAnsi="楷体_GB2312" w:eastAsia="楷体_GB2312" w:cs="楷体_GB2312"/>
          <w:b/>
          <w:bCs/>
          <w:sz w:val="32"/>
          <w:szCs w:val="40"/>
        </w:rPr>
        <w:t>社会服务。</w:t>
      </w:r>
      <w:r>
        <w:rPr>
          <w:rFonts w:hint="eastAsia" w:ascii="仿宋_GB2312" w:hAnsi="仿宋_GB2312" w:eastAsia="仿宋_GB2312" w:cs="仿宋_GB2312"/>
          <w:sz w:val="32"/>
          <w:szCs w:val="40"/>
        </w:rPr>
        <w:t>立足学院自身资源与人才优势，扎实构建服务国家战略、区域经济社会发展和服务精准扶贫的实践体系。</w:t>
      </w:r>
    </w:p>
    <w:p>
      <w:pPr>
        <w:pageBreakBefore w:val="0"/>
        <w:kinsoku/>
        <w:wordWrap/>
        <w:overflowPunct/>
        <w:topLinePunct w:val="0"/>
        <w:bidi w:val="0"/>
        <w:spacing w:line="640" w:lineRule="exact"/>
        <w:ind w:firstLine="640" w:firstLineChars="200"/>
        <w:rPr>
          <w:rFonts w:ascii="仿宋_GB2312" w:hAnsi="仿宋_GB2312" w:eastAsia="仿宋_GB2312" w:cs="仿宋_GB2312"/>
          <w:sz w:val="32"/>
          <w:szCs w:val="40"/>
        </w:rPr>
      </w:pPr>
      <w:r>
        <w:rPr>
          <w:rFonts w:ascii="楷体_GB2312" w:hAnsi="楷体_GB2312" w:eastAsia="楷体_GB2312" w:cs="楷体_GB2312"/>
          <w:b/>
          <w:bCs/>
          <w:sz w:val="32"/>
          <w:szCs w:val="40"/>
        </w:rPr>
        <w:t>4.</w:t>
      </w:r>
      <w:r>
        <w:rPr>
          <w:rFonts w:hint="eastAsia" w:ascii="楷体_GB2312" w:hAnsi="楷体_GB2312" w:eastAsia="楷体_GB2312" w:cs="楷体_GB2312"/>
          <w:b/>
          <w:bCs/>
          <w:sz w:val="32"/>
          <w:szCs w:val="40"/>
        </w:rPr>
        <w:t>文化传承创新。</w:t>
      </w:r>
      <w:r>
        <w:rPr>
          <w:rFonts w:hint="eastAsia" w:ascii="仿宋_GB2312" w:hAnsi="仿宋_GB2312" w:eastAsia="仿宋_GB2312" w:cs="仿宋_GB2312"/>
          <w:sz w:val="32"/>
          <w:szCs w:val="40"/>
        </w:rPr>
        <w:t>坚持以社会主义核心价值观为统领，以商道文化节为平台，传承弘扬中华优秀文化和学院办学精神文化传统，构建“学无涯</w:t>
      </w:r>
      <w:r>
        <w:rPr>
          <w:rFonts w:ascii="仿宋_GB2312" w:hAnsi="仿宋_GB2312" w:eastAsia="仿宋_GB2312" w:cs="仿宋_GB2312"/>
          <w:sz w:val="32"/>
          <w:szCs w:val="40"/>
        </w:rPr>
        <w:t xml:space="preserve"> </w:t>
      </w:r>
      <w:r>
        <w:rPr>
          <w:rFonts w:hint="eastAsia" w:ascii="仿宋_GB2312" w:hAnsi="仿宋_GB2312" w:eastAsia="仿宋_GB2312" w:cs="仿宋_GB2312"/>
          <w:sz w:val="32"/>
          <w:szCs w:val="40"/>
        </w:rPr>
        <w:t>商有道”为魂的商道文化体系建设，突出文化育人，实现思想政治教育与校园文化活动的有机结合。</w:t>
      </w:r>
    </w:p>
    <w:p>
      <w:pPr>
        <w:pageBreakBefore w:val="0"/>
        <w:kinsoku/>
        <w:wordWrap/>
        <w:overflowPunct/>
        <w:topLinePunct w:val="0"/>
        <w:bidi w:val="0"/>
        <w:spacing w:line="640" w:lineRule="exact"/>
        <w:ind w:firstLine="640" w:firstLineChars="200"/>
        <w:rPr>
          <w:rFonts w:ascii="仿宋" w:hAnsi="仿宋" w:eastAsia="仿宋"/>
          <w:bCs/>
          <w:color w:val="000000"/>
          <w:sz w:val="32"/>
          <w:szCs w:val="32"/>
        </w:rPr>
      </w:pPr>
      <w:r>
        <w:rPr>
          <w:rFonts w:ascii="楷体_GB2312" w:hAnsi="楷体_GB2312" w:eastAsia="楷体_GB2312" w:cs="楷体_GB2312"/>
          <w:b/>
          <w:bCs/>
          <w:sz w:val="32"/>
          <w:szCs w:val="40"/>
        </w:rPr>
        <w:t>5.</w:t>
      </w:r>
      <w:r>
        <w:rPr>
          <w:rFonts w:hint="eastAsia" w:ascii="楷体_GB2312" w:hAnsi="楷体_GB2312" w:eastAsia="楷体_GB2312" w:cs="楷体_GB2312"/>
          <w:b/>
          <w:bCs/>
          <w:sz w:val="32"/>
          <w:szCs w:val="40"/>
        </w:rPr>
        <w:t>国际交流合作。</w:t>
      </w:r>
      <w:r>
        <w:rPr>
          <w:rFonts w:hint="eastAsia" w:ascii="仿宋_GB2312" w:hAnsi="仿宋_GB2312" w:eastAsia="仿宋_GB2312" w:cs="仿宋_GB2312"/>
          <w:sz w:val="32"/>
          <w:szCs w:val="40"/>
        </w:rPr>
        <w:t>坚持教育对外开放，积极响应“留学四川计划”，积极与“一带一路”沿线国家院校合作，扩大合作国家范围和合作院校数量，积极探索设立中外合作办学机构的有效路径。</w:t>
      </w:r>
    </w:p>
    <w:p>
      <w:pPr>
        <w:pStyle w:val="5"/>
        <w:pageBreakBefore w:val="0"/>
        <w:kinsoku/>
        <w:wordWrap/>
        <w:overflowPunct/>
        <w:topLinePunct w:val="0"/>
        <w:bidi w:val="0"/>
        <w:spacing w:line="640" w:lineRule="exact"/>
        <w:ind w:firstLine="640" w:firstLineChars="200"/>
        <w:rPr>
          <w:rFonts w:ascii="黑体" w:hAnsi="黑体" w:eastAsia="黑体"/>
          <w:b w:val="0"/>
        </w:rPr>
      </w:pPr>
      <w:bookmarkStart w:id="51" w:name="_Toc15378446"/>
      <w:bookmarkStart w:id="52" w:name="_Toc15377199"/>
      <w:bookmarkStart w:id="53" w:name="_Toc20394"/>
      <w:bookmarkStart w:id="54" w:name="_Toc33468285_WPSOffice_Level2"/>
      <w:bookmarkStart w:id="55" w:name="_Toc1121028690_WPSOffice_Level2"/>
      <w:r>
        <w:rPr>
          <w:rFonts w:hint="eastAsia" w:ascii="黑体" w:hAnsi="黑体" w:eastAsia="黑体"/>
          <w:b w:val="0"/>
        </w:rPr>
        <w:t>二、</w:t>
      </w:r>
      <w:r>
        <w:rPr>
          <w:rFonts w:ascii="黑体" w:hAnsi="黑体" w:eastAsia="黑体"/>
          <w:b w:val="0"/>
        </w:rPr>
        <w:t>2020</w:t>
      </w:r>
      <w:r>
        <w:rPr>
          <w:rFonts w:hint="eastAsia" w:ascii="黑体" w:hAnsi="黑体" w:eastAsia="黑体"/>
          <w:b w:val="0"/>
        </w:rPr>
        <w:t>年重点工作完成情况</w:t>
      </w:r>
      <w:bookmarkEnd w:id="51"/>
      <w:bookmarkEnd w:id="52"/>
      <w:bookmarkEnd w:id="53"/>
      <w:bookmarkEnd w:id="54"/>
      <w:bookmarkEnd w:id="55"/>
    </w:p>
    <w:p>
      <w:pPr>
        <w:pageBreakBefore w:val="0"/>
        <w:kinsoku/>
        <w:wordWrap/>
        <w:overflowPunct/>
        <w:topLinePunct w:val="0"/>
        <w:bidi w:val="0"/>
        <w:spacing w:line="640" w:lineRule="exact"/>
        <w:ind w:firstLine="640" w:firstLineChars="200"/>
        <w:rPr>
          <w:rFonts w:ascii="仿宋_GB2312" w:hAnsi="仿宋_GB2312" w:eastAsia="仿宋_GB2312" w:cs="仿宋_GB2312"/>
          <w:sz w:val="32"/>
          <w:szCs w:val="40"/>
        </w:rPr>
      </w:pPr>
      <w:r>
        <w:rPr>
          <w:rFonts w:ascii="仿宋_GB2312" w:hAnsi="仿宋_GB2312" w:eastAsia="仿宋_GB2312" w:cs="仿宋_GB2312"/>
          <w:sz w:val="32"/>
          <w:szCs w:val="40"/>
        </w:rPr>
        <w:t>2020</w:t>
      </w:r>
      <w:r>
        <w:rPr>
          <w:rFonts w:hint="eastAsia" w:ascii="仿宋_GB2312" w:hAnsi="仿宋_GB2312" w:eastAsia="仿宋_GB2312" w:cs="仿宋_GB2312"/>
          <w:sz w:val="32"/>
          <w:szCs w:val="40"/>
        </w:rPr>
        <w:t>年，在省委省政府的坚强领导下，学院坚持以习近平新时代中国特色社会主义思想为指导，认真落实全面从严治党和党风廉政建设主体责任，切实加强党的全面领导；以提升治理能力为主线，着力强化顶层设计和制度建设；以人才培养工作为中心，大力加强教育教学改革，扎实推进内涵建设；以提高队伍素质水平为重点，积极加强队伍建设；以保障校园安全稳定为关键，狠抓疫情防控和校园管理，较好地完成了年度重点工作任务。</w:t>
      </w:r>
    </w:p>
    <w:p>
      <w:pPr>
        <w:pageBreakBefore w:val="0"/>
        <w:kinsoku/>
        <w:wordWrap/>
        <w:overflowPunct/>
        <w:topLinePunct w:val="0"/>
        <w:bidi w:val="0"/>
        <w:spacing w:line="640" w:lineRule="exact"/>
        <w:ind w:firstLine="640" w:firstLineChars="200"/>
        <w:outlineLvl w:val="2"/>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（一）</w:t>
      </w:r>
      <w:r>
        <w:rPr>
          <w:rFonts w:hint="eastAsia" w:ascii="楷体_GB2312" w:hAnsi="楷体_GB2312" w:eastAsia="楷体_GB2312" w:cs="楷体_GB2312"/>
          <w:b/>
          <w:sz w:val="32"/>
          <w:szCs w:val="32"/>
        </w:rPr>
        <w:t>强化组织领导，加强党的全面领导</w:t>
      </w:r>
    </w:p>
    <w:p>
      <w:pPr>
        <w:pageBreakBefore w:val="0"/>
        <w:kinsoku/>
        <w:wordWrap/>
        <w:overflowPunct/>
        <w:topLinePunct w:val="0"/>
        <w:bidi w:val="0"/>
        <w:spacing w:line="64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一是加强政治理论学习，不断深化理论武装。组织党委中心组学习</w:t>
      </w:r>
      <w:r>
        <w:rPr>
          <w:rFonts w:ascii="仿宋_GB2312" w:hAnsi="仿宋_GB2312" w:eastAsia="仿宋_GB2312" w:cs="仿宋_GB2312"/>
          <w:sz w:val="32"/>
          <w:szCs w:val="40"/>
        </w:rPr>
        <w:t>12</w:t>
      </w:r>
      <w:r>
        <w:rPr>
          <w:rFonts w:hint="eastAsia" w:ascii="仿宋_GB2312" w:hAnsi="仿宋_GB2312" w:eastAsia="仿宋_GB2312" w:cs="仿宋_GB2312"/>
          <w:sz w:val="32"/>
          <w:szCs w:val="40"/>
        </w:rPr>
        <w:t>次，把学习贯彻习近平新时代中国特色社会主义思想和党的十九大精神、十九届四中、五中全会精神及省委十一届六次、七次、八次全会精神作为深化理论武装工作的首要政治任务，认真贯彻落实习近平总书记对四川工作系列重要指示精神，不断巩固深化“不忘初心、牢记使命”主题教育成果，增强“四个意识”，坚定“四个自信”、坚决做到“两个维护”。二是加强责任落实，推进全面从严治党。组织召开全面从严治党工作会，党委会研究党的建设工作</w:t>
      </w:r>
      <w:r>
        <w:rPr>
          <w:rFonts w:ascii="仿宋_GB2312" w:hAnsi="仿宋_GB2312" w:eastAsia="仿宋_GB2312" w:cs="仿宋_GB2312"/>
          <w:sz w:val="32"/>
          <w:szCs w:val="40"/>
        </w:rPr>
        <w:t>23</w:t>
      </w:r>
      <w:r>
        <w:rPr>
          <w:rFonts w:hint="eastAsia" w:ascii="仿宋_GB2312" w:hAnsi="仿宋_GB2312" w:eastAsia="仿宋_GB2312" w:cs="仿宋_GB2312"/>
          <w:sz w:val="32"/>
          <w:szCs w:val="40"/>
        </w:rPr>
        <w:t>次，党委书记负总责，班子成员履行“一岗双责”的工作格局已经形成；加强党支部建设，举办两期党校培训；完善党员积分管理办法，推进党员积分制管理工作常态化。三是认真履职尽责，狠抓党风廉政建设。深入推进整改，组织开展“守纪律、讲规矩”警示教育月活动，开展疫情防控和脱贫攻坚专项领域的作风整治，梳理、完善</w:t>
      </w:r>
      <w:r>
        <w:rPr>
          <w:rFonts w:ascii="仿宋_GB2312" w:hAnsi="仿宋_GB2312" w:eastAsia="仿宋_GB2312" w:cs="仿宋_GB2312"/>
          <w:sz w:val="32"/>
          <w:szCs w:val="40"/>
        </w:rPr>
        <w:t>2020</w:t>
      </w:r>
      <w:r>
        <w:rPr>
          <w:rFonts w:hint="eastAsia" w:ascii="仿宋_GB2312" w:hAnsi="仿宋_GB2312" w:eastAsia="仿宋_GB2312" w:cs="仿宋_GB2312"/>
          <w:sz w:val="32"/>
          <w:szCs w:val="40"/>
        </w:rPr>
        <w:t>年廉政风险防控权责清单，一体推进不敢腐、不能腐、不想腐体制机制。四是健全工作机制，深化意识形态工作。全年召开党委会研究意识形态相关工作</w:t>
      </w:r>
      <w:r>
        <w:rPr>
          <w:rFonts w:ascii="仿宋_GB2312" w:hAnsi="仿宋_GB2312" w:eastAsia="仿宋_GB2312" w:cs="仿宋_GB2312"/>
          <w:sz w:val="32"/>
          <w:szCs w:val="40"/>
        </w:rPr>
        <w:t>6</w:t>
      </w:r>
      <w:r>
        <w:rPr>
          <w:rFonts w:hint="eastAsia" w:ascii="仿宋_GB2312" w:hAnsi="仿宋_GB2312" w:eastAsia="仿宋_GB2312" w:cs="仿宋_GB2312"/>
          <w:sz w:val="32"/>
          <w:szCs w:val="40"/>
        </w:rPr>
        <w:t>次，加强网络、宣传栏等文化阵地管理，开展敏感节点风险隐患排查，积极稳妥处理突发事件。加强和改进思想政治工作，召开党委会专题研究思想政治工作</w:t>
      </w:r>
      <w:r>
        <w:rPr>
          <w:rFonts w:ascii="仿宋_GB2312" w:hAnsi="仿宋_GB2312" w:eastAsia="仿宋_GB2312" w:cs="仿宋_GB2312"/>
          <w:sz w:val="32"/>
          <w:szCs w:val="40"/>
        </w:rPr>
        <w:t>3</w:t>
      </w:r>
      <w:r>
        <w:rPr>
          <w:rFonts w:hint="eastAsia" w:ascii="仿宋_GB2312" w:hAnsi="仿宋_GB2312" w:eastAsia="仿宋_GB2312" w:cs="仿宋_GB2312"/>
          <w:sz w:val="32"/>
          <w:szCs w:val="40"/>
        </w:rPr>
        <w:t>次，组织开展学习十九届五中全会精神知识竞赛活动，积极推进“课程思政”和“三全育人”综合改革。</w:t>
      </w:r>
    </w:p>
    <w:p>
      <w:pPr>
        <w:pageBreakBefore w:val="0"/>
        <w:kinsoku/>
        <w:wordWrap/>
        <w:overflowPunct/>
        <w:topLinePunct w:val="0"/>
        <w:bidi w:val="0"/>
        <w:spacing w:line="640" w:lineRule="exact"/>
        <w:ind w:firstLine="640" w:firstLineChars="200"/>
        <w:outlineLvl w:val="2"/>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（二）</w:t>
      </w:r>
      <w:r>
        <w:rPr>
          <w:rFonts w:hint="eastAsia" w:ascii="楷体_GB2312" w:hAnsi="楷体_GB2312" w:eastAsia="楷体_GB2312" w:cs="楷体_GB2312"/>
          <w:b/>
          <w:sz w:val="32"/>
          <w:szCs w:val="32"/>
        </w:rPr>
        <w:t>加强顶层设计，完善学院治理体系</w:t>
      </w:r>
    </w:p>
    <w:p>
      <w:pPr>
        <w:pageBreakBefore w:val="0"/>
        <w:kinsoku/>
        <w:wordWrap/>
        <w:overflowPunct/>
        <w:topLinePunct w:val="0"/>
        <w:bidi w:val="0"/>
        <w:spacing w:line="64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一是加强顶层设计，科学谋划发展规划。对标先进，分析现状，结合“双高”计划，提出了学院发展思路、办学定位，完成了学院中长期发展规划和“十四五”发展规划编制工作。二是加强制度建设，推进依法治校。以《章程》为遵循，完成了</w:t>
      </w:r>
      <w:r>
        <w:rPr>
          <w:rFonts w:ascii="仿宋_GB2312" w:hAnsi="仿宋_GB2312" w:eastAsia="仿宋_GB2312" w:cs="仿宋_GB2312"/>
          <w:sz w:val="32"/>
          <w:szCs w:val="40"/>
        </w:rPr>
        <w:t>2020</w:t>
      </w:r>
      <w:r>
        <w:rPr>
          <w:rFonts w:hint="eastAsia" w:ascii="仿宋_GB2312" w:hAnsi="仿宋_GB2312" w:eastAsia="仿宋_GB2312" w:cs="仿宋_GB2312"/>
          <w:sz w:val="32"/>
          <w:szCs w:val="40"/>
        </w:rPr>
        <w:t>版制度汇编，形成制度</w:t>
      </w:r>
      <w:r>
        <w:rPr>
          <w:rFonts w:ascii="仿宋_GB2312" w:hAnsi="仿宋_GB2312" w:eastAsia="仿宋_GB2312" w:cs="仿宋_GB2312"/>
          <w:sz w:val="32"/>
          <w:szCs w:val="40"/>
        </w:rPr>
        <w:t>207</w:t>
      </w:r>
      <w:r>
        <w:rPr>
          <w:rFonts w:hint="eastAsia" w:ascii="仿宋_GB2312" w:hAnsi="仿宋_GB2312" w:eastAsia="仿宋_GB2312" w:cs="仿宋_GB2312"/>
          <w:sz w:val="32"/>
          <w:szCs w:val="40"/>
        </w:rPr>
        <w:t>个；开展“宪法宣传周”活动，组织民法典学习、宣传，坚持学法、用法、守法，提高依法治校能力和工作水平。三是完善治理体系，提高管理效能。建立了内部控制系统，“学院内部控制系统”投入试运行；出台了《四川商务职业学院部门目标考核办法》，与人才培养诊改工作形成联动，构建内部管理评价体系。</w:t>
      </w:r>
    </w:p>
    <w:p>
      <w:pPr>
        <w:pageBreakBefore w:val="0"/>
        <w:kinsoku/>
        <w:wordWrap/>
        <w:overflowPunct/>
        <w:topLinePunct w:val="0"/>
        <w:bidi w:val="0"/>
        <w:spacing w:line="640" w:lineRule="exact"/>
        <w:ind w:firstLine="640" w:firstLineChars="200"/>
        <w:outlineLvl w:val="2"/>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（三）</w:t>
      </w:r>
      <w:r>
        <w:rPr>
          <w:rFonts w:hint="eastAsia" w:ascii="楷体_GB2312" w:hAnsi="楷体_GB2312" w:eastAsia="楷体_GB2312" w:cs="楷体_GB2312"/>
          <w:b/>
          <w:sz w:val="32"/>
          <w:szCs w:val="32"/>
        </w:rPr>
        <w:t>优化队伍结构，加强学院队伍建设</w:t>
      </w:r>
    </w:p>
    <w:p>
      <w:pPr>
        <w:pageBreakBefore w:val="0"/>
        <w:kinsoku/>
        <w:wordWrap/>
        <w:overflowPunct/>
        <w:topLinePunct w:val="0"/>
        <w:bidi w:val="0"/>
        <w:spacing w:line="64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一是加强班子建设。完成了学院第二届党委委员和纪委委员增补工作，班子成员之间沟通充分、配合默契，齐力推进学院各项事业稳步向前发展，党委领导下的校长负责制得到有效落实。二是加强选拔管理，推进干部队伍建设。完成</w:t>
      </w:r>
      <w:r>
        <w:rPr>
          <w:rFonts w:ascii="仿宋_GB2312" w:hAnsi="仿宋_GB2312" w:eastAsia="仿宋_GB2312" w:cs="仿宋_GB2312"/>
          <w:sz w:val="32"/>
          <w:szCs w:val="40"/>
        </w:rPr>
        <w:t>8</w:t>
      </w:r>
      <w:r>
        <w:rPr>
          <w:rFonts w:hint="eastAsia" w:ascii="仿宋_GB2312" w:hAnsi="仿宋_GB2312" w:eastAsia="仿宋_GB2312" w:cs="仿宋_GB2312"/>
          <w:sz w:val="32"/>
          <w:szCs w:val="40"/>
        </w:rPr>
        <w:t>名中层正职领导干部选拔任用工作，严格执行党内谈话等制度，加强干部学习教育，不断提高干部队伍的素质能力。三是加强培训培养，提高教师素质水平。专任教师、辅导员参加培训共计</w:t>
      </w:r>
      <w:r>
        <w:rPr>
          <w:rFonts w:ascii="仿宋_GB2312" w:hAnsi="仿宋_GB2312" w:eastAsia="仿宋_GB2312" w:cs="仿宋_GB2312"/>
          <w:sz w:val="32"/>
          <w:szCs w:val="40"/>
        </w:rPr>
        <w:t>500</w:t>
      </w:r>
      <w:r>
        <w:rPr>
          <w:rFonts w:hint="eastAsia" w:ascii="仿宋_GB2312" w:hAnsi="仿宋_GB2312" w:eastAsia="仿宋_GB2312" w:cs="仿宋_GB2312"/>
          <w:sz w:val="32"/>
          <w:szCs w:val="40"/>
        </w:rPr>
        <w:t>余人次，培训总时长</w:t>
      </w:r>
      <w:r>
        <w:rPr>
          <w:rFonts w:ascii="仿宋_GB2312" w:hAnsi="仿宋_GB2312" w:eastAsia="仿宋_GB2312" w:cs="仿宋_GB2312"/>
          <w:sz w:val="32"/>
          <w:szCs w:val="40"/>
        </w:rPr>
        <w:t>12000</w:t>
      </w:r>
      <w:r>
        <w:rPr>
          <w:rFonts w:hint="eastAsia" w:ascii="仿宋_GB2312" w:hAnsi="仿宋_GB2312" w:eastAsia="仿宋_GB2312" w:cs="仿宋_GB2312"/>
          <w:sz w:val="32"/>
          <w:szCs w:val="40"/>
        </w:rPr>
        <w:t>余学时。</w:t>
      </w:r>
    </w:p>
    <w:p>
      <w:pPr>
        <w:pageBreakBefore w:val="0"/>
        <w:kinsoku/>
        <w:wordWrap/>
        <w:overflowPunct/>
        <w:topLinePunct w:val="0"/>
        <w:bidi w:val="0"/>
        <w:spacing w:line="640" w:lineRule="exact"/>
        <w:ind w:firstLine="640" w:firstLineChars="200"/>
        <w:outlineLvl w:val="2"/>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（四）</w:t>
      </w:r>
      <w:r>
        <w:rPr>
          <w:rFonts w:hint="eastAsia" w:ascii="楷体_GB2312" w:hAnsi="楷体_GB2312" w:eastAsia="楷体_GB2312" w:cs="楷体_GB2312"/>
          <w:b/>
          <w:sz w:val="32"/>
          <w:szCs w:val="32"/>
        </w:rPr>
        <w:t>深化内涵建设，加强人才培养工作</w:t>
      </w:r>
    </w:p>
    <w:p>
      <w:pPr>
        <w:pageBreakBefore w:val="0"/>
        <w:kinsoku/>
        <w:wordWrap/>
        <w:overflowPunct/>
        <w:topLinePunct w:val="0"/>
        <w:bidi w:val="0"/>
        <w:spacing w:line="64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一是加强专业建设，推进专业群建设。新增“移动商务”专业，对标高水平专业群建设标准，积极推进高水平专业群建设，</w:t>
      </w:r>
      <w:r>
        <w:rPr>
          <w:rFonts w:ascii="仿宋_GB2312" w:hAnsi="仿宋_GB2312" w:eastAsia="仿宋_GB2312" w:cs="仿宋_GB2312"/>
          <w:sz w:val="32"/>
          <w:szCs w:val="40"/>
        </w:rPr>
        <w:t>15</w:t>
      </w:r>
      <w:r>
        <w:rPr>
          <w:rFonts w:hint="eastAsia" w:ascii="仿宋_GB2312" w:hAnsi="仿宋_GB2312" w:eastAsia="仿宋_GB2312" w:cs="仿宋_GB2312"/>
          <w:sz w:val="32"/>
          <w:szCs w:val="40"/>
        </w:rPr>
        <w:t>个试点证书获批“</w:t>
      </w:r>
      <w:r>
        <w:rPr>
          <w:rFonts w:ascii="仿宋_GB2312" w:hAnsi="仿宋_GB2312" w:eastAsia="仿宋_GB2312" w:cs="仿宋_GB2312"/>
          <w:sz w:val="32"/>
          <w:szCs w:val="40"/>
        </w:rPr>
        <w:t>1+X</w:t>
      </w:r>
      <w:r>
        <w:rPr>
          <w:rFonts w:hint="eastAsia" w:ascii="仿宋_GB2312" w:hAnsi="仿宋_GB2312" w:eastAsia="仿宋_GB2312" w:cs="仿宋_GB2312"/>
          <w:sz w:val="32"/>
          <w:szCs w:val="40"/>
        </w:rPr>
        <w:t>”证书制度试点，</w:t>
      </w:r>
      <w:r>
        <w:rPr>
          <w:rFonts w:ascii="仿宋_GB2312" w:hAnsi="仿宋_GB2312" w:eastAsia="仿宋_GB2312" w:cs="仿宋_GB2312"/>
          <w:sz w:val="32"/>
          <w:szCs w:val="40"/>
        </w:rPr>
        <w:t>12</w:t>
      </w:r>
      <w:r>
        <w:rPr>
          <w:rFonts w:hint="eastAsia" w:ascii="仿宋_GB2312" w:hAnsi="仿宋_GB2312" w:eastAsia="仿宋_GB2312" w:cs="仿宋_GB2312"/>
          <w:sz w:val="32"/>
          <w:szCs w:val="40"/>
        </w:rPr>
        <w:t>个证书已经申请成为考核站点。二是深化产教融合，校企合作协同育人。进一步推动校企共建生产性实训基地、技能大师工作室、创业教育实践平台等，深入开展产教融合、校企合作，与完美世界、爱达乐等企业建立“英才班”“精英班”。三是强化双创教育，创新创业成绩突出。通过开设创业课程进行创业教育，培养和提高学生的“双创素质”和“双创能力”，创客工场、众创空间取得新成果。四是加强实践训练，技能比赛荣获佳绩。学生参加全国、全省各级各类大学生技能大赛，共取得</w:t>
      </w:r>
      <w:r>
        <w:rPr>
          <w:rFonts w:ascii="仿宋_GB2312" w:hAnsi="仿宋_GB2312" w:eastAsia="仿宋_GB2312" w:cs="仿宋_GB2312"/>
          <w:sz w:val="32"/>
          <w:szCs w:val="40"/>
        </w:rPr>
        <w:t xml:space="preserve"> 32</w:t>
      </w:r>
      <w:r>
        <w:rPr>
          <w:rFonts w:hint="eastAsia" w:ascii="仿宋_GB2312" w:hAnsi="仿宋_GB2312" w:eastAsia="仿宋_GB2312" w:cs="仿宋_GB2312"/>
          <w:sz w:val="32"/>
          <w:szCs w:val="40"/>
        </w:rPr>
        <w:t>个奖项</w:t>
      </w:r>
      <w:r>
        <w:rPr>
          <w:rFonts w:ascii="仿宋_GB2312" w:hAnsi="仿宋_GB2312" w:eastAsia="仿宋_GB2312" w:cs="仿宋_GB2312"/>
          <w:sz w:val="32"/>
          <w:szCs w:val="40"/>
        </w:rPr>
        <w:t>,</w:t>
      </w:r>
      <w:r>
        <w:rPr>
          <w:rFonts w:hint="eastAsia" w:ascii="仿宋_GB2312" w:hAnsi="仿宋_GB2312" w:eastAsia="仿宋_GB2312" w:cs="仿宋_GB2312"/>
          <w:sz w:val="32"/>
          <w:szCs w:val="40"/>
        </w:rPr>
        <w:t>其中国家级二等奖</w:t>
      </w:r>
      <w:r>
        <w:rPr>
          <w:rFonts w:ascii="仿宋_GB2312" w:hAnsi="仿宋_GB2312" w:eastAsia="仿宋_GB2312" w:cs="仿宋_GB2312"/>
          <w:sz w:val="32"/>
          <w:szCs w:val="40"/>
        </w:rPr>
        <w:t xml:space="preserve"> 3</w:t>
      </w:r>
      <w:r>
        <w:rPr>
          <w:rFonts w:hint="eastAsia" w:ascii="仿宋_GB2312" w:hAnsi="仿宋_GB2312" w:eastAsia="仿宋_GB2312" w:cs="仿宋_GB2312"/>
          <w:sz w:val="32"/>
          <w:szCs w:val="40"/>
        </w:rPr>
        <w:t>个、省级一等奖</w:t>
      </w:r>
      <w:r>
        <w:rPr>
          <w:rFonts w:ascii="仿宋_GB2312" w:hAnsi="仿宋_GB2312" w:eastAsia="仿宋_GB2312" w:cs="仿宋_GB2312"/>
          <w:sz w:val="32"/>
          <w:szCs w:val="40"/>
        </w:rPr>
        <w:t>5</w:t>
      </w:r>
      <w:r>
        <w:rPr>
          <w:rFonts w:hint="eastAsia" w:ascii="仿宋_GB2312" w:hAnsi="仿宋_GB2312" w:eastAsia="仿宋_GB2312" w:cs="仿宋_GB2312"/>
          <w:sz w:val="32"/>
          <w:szCs w:val="40"/>
        </w:rPr>
        <w:t>个。电商创业园“七仙女”新媒体创业团队参加“青年红色筑梦之旅”电商直播大赛，获得了四川省省赛第一名、全国总榜第三名。五是加强宣传指导，招生就业再创新高。</w:t>
      </w:r>
      <w:r>
        <w:rPr>
          <w:rFonts w:ascii="仿宋_GB2312" w:hAnsi="仿宋_GB2312" w:eastAsia="仿宋_GB2312" w:cs="仿宋_GB2312"/>
          <w:sz w:val="32"/>
          <w:szCs w:val="40"/>
        </w:rPr>
        <w:t>2020</w:t>
      </w:r>
      <w:r>
        <w:rPr>
          <w:rFonts w:hint="eastAsia" w:ascii="仿宋_GB2312" w:hAnsi="仿宋_GB2312" w:eastAsia="仿宋_GB2312" w:cs="仿宋_GB2312"/>
          <w:sz w:val="32"/>
          <w:szCs w:val="40"/>
        </w:rPr>
        <w:t>年录取报到人数</w:t>
      </w:r>
      <w:r>
        <w:rPr>
          <w:rFonts w:ascii="仿宋_GB2312" w:hAnsi="仿宋_GB2312" w:eastAsia="仿宋_GB2312" w:cs="仿宋_GB2312"/>
          <w:sz w:val="32"/>
          <w:szCs w:val="40"/>
        </w:rPr>
        <w:t>4942</w:t>
      </w:r>
      <w:r>
        <w:rPr>
          <w:rFonts w:hint="eastAsia" w:ascii="仿宋_GB2312" w:hAnsi="仿宋_GB2312" w:eastAsia="仿宋_GB2312" w:cs="仿宋_GB2312"/>
          <w:sz w:val="32"/>
          <w:szCs w:val="40"/>
        </w:rPr>
        <w:t>人，高考招生文科、理科调档线同比上升</w:t>
      </w:r>
      <w:r>
        <w:rPr>
          <w:rFonts w:ascii="仿宋_GB2312" w:hAnsi="仿宋_GB2312" w:eastAsia="仿宋_GB2312" w:cs="仿宋_GB2312"/>
          <w:sz w:val="32"/>
          <w:szCs w:val="40"/>
        </w:rPr>
        <w:t>60</w:t>
      </w:r>
      <w:r>
        <w:rPr>
          <w:rFonts w:hint="eastAsia" w:ascii="仿宋_GB2312" w:hAnsi="仿宋_GB2312" w:eastAsia="仿宋_GB2312" w:cs="仿宋_GB2312"/>
          <w:sz w:val="32"/>
          <w:szCs w:val="40"/>
        </w:rPr>
        <w:t>分、</w:t>
      </w:r>
      <w:r>
        <w:rPr>
          <w:rFonts w:ascii="仿宋_GB2312" w:hAnsi="仿宋_GB2312" w:eastAsia="仿宋_GB2312" w:cs="仿宋_GB2312"/>
          <w:sz w:val="32"/>
          <w:szCs w:val="40"/>
        </w:rPr>
        <w:t>116</w:t>
      </w:r>
      <w:r>
        <w:rPr>
          <w:rFonts w:hint="eastAsia" w:ascii="仿宋_GB2312" w:hAnsi="仿宋_GB2312" w:eastAsia="仿宋_GB2312" w:cs="仿宋_GB2312"/>
          <w:sz w:val="32"/>
          <w:szCs w:val="40"/>
        </w:rPr>
        <w:t>分。留学生规模达</w:t>
      </w:r>
      <w:r>
        <w:rPr>
          <w:rFonts w:ascii="仿宋_GB2312" w:hAnsi="仿宋_GB2312" w:eastAsia="仿宋_GB2312" w:cs="仿宋_GB2312"/>
          <w:sz w:val="32"/>
          <w:szCs w:val="40"/>
        </w:rPr>
        <w:t>158</w:t>
      </w:r>
      <w:r>
        <w:rPr>
          <w:rFonts w:hint="eastAsia" w:ascii="仿宋_GB2312" w:hAnsi="仿宋_GB2312" w:eastAsia="仿宋_GB2312" w:cs="仿宋_GB2312"/>
          <w:sz w:val="32"/>
          <w:szCs w:val="40"/>
        </w:rPr>
        <w:t>人。圆满完成全国高校毕业生就业状况布点监测工作，截止</w:t>
      </w:r>
      <w:r>
        <w:rPr>
          <w:rFonts w:ascii="仿宋_GB2312" w:hAnsi="仿宋_GB2312" w:eastAsia="仿宋_GB2312" w:cs="仿宋_GB2312"/>
          <w:sz w:val="32"/>
          <w:szCs w:val="40"/>
        </w:rPr>
        <w:t>2020</w:t>
      </w:r>
      <w:r>
        <w:rPr>
          <w:rFonts w:hint="eastAsia" w:ascii="仿宋_GB2312" w:hAnsi="仿宋_GB2312" w:eastAsia="仿宋_GB2312" w:cs="仿宋_GB2312"/>
          <w:sz w:val="32"/>
          <w:szCs w:val="40"/>
        </w:rPr>
        <w:t>年</w:t>
      </w:r>
      <w:r>
        <w:rPr>
          <w:rFonts w:ascii="仿宋_GB2312" w:hAnsi="仿宋_GB2312" w:eastAsia="仿宋_GB2312" w:cs="仿宋_GB2312"/>
          <w:sz w:val="32"/>
          <w:szCs w:val="40"/>
        </w:rPr>
        <w:t>12</w:t>
      </w:r>
      <w:r>
        <w:rPr>
          <w:rFonts w:hint="eastAsia" w:ascii="仿宋_GB2312" w:hAnsi="仿宋_GB2312" w:eastAsia="仿宋_GB2312" w:cs="仿宋_GB2312"/>
          <w:sz w:val="32"/>
          <w:szCs w:val="40"/>
        </w:rPr>
        <w:t>月</w:t>
      </w:r>
      <w:r>
        <w:rPr>
          <w:rFonts w:ascii="仿宋_GB2312" w:hAnsi="仿宋_GB2312" w:eastAsia="仿宋_GB2312" w:cs="仿宋_GB2312"/>
          <w:sz w:val="32"/>
          <w:szCs w:val="40"/>
        </w:rPr>
        <w:t>31</w:t>
      </w:r>
      <w:r>
        <w:rPr>
          <w:rFonts w:hint="eastAsia" w:ascii="仿宋_GB2312" w:hAnsi="仿宋_GB2312" w:eastAsia="仿宋_GB2312" w:cs="仿宋_GB2312"/>
          <w:sz w:val="32"/>
          <w:szCs w:val="40"/>
        </w:rPr>
        <w:t>日，</w:t>
      </w:r>
      <w:r>
        <w:rPr>
          <w:rFonts w:ascii="仿宋_GB2312" w:hAnsi="仿宋_GB2312" w:eastAsia="仿宋_GB2312" w:cs="仿宋_GB2312"/>
          <w:sz w:val="32"/>
          <w:szCs w:val="40"/>
        </w:rPr>
        <w:t>2020</w:t>
      </w:r>
      <w:r>
        <w:rPr>
          <w:rFonts w:hint="eastAsia" w:ascii="仿宋_GB2312" w:hAnsi="仿宋_GB2312" w:eastAsia="仿宋_GB2312" w:cs="仿宋_GB2312"/>
          <w:sz w:val="32"/>
          <w:szCs w:val="40"/>
        </w:rPr>
        <w:t>届毕业生就业率达到</w:t>
      </w:r>
      <w:r>
        <w:rPr>
          <w:rFonts w:ascii="仿宋_GB2312" w:hAnsi="仿宋_GB2312" w:eastAsia="仿宋_GB2312" w:cs="仿宋_GB2312"/>
          <w:sz w:val="32"/>
          <w:szCs w:val="40"/>
        </w:rPr>
        <w:t>95.78%</w:t>
      </w:r>
      <w:r>
        <w:rPr>
          <w:rFonts w:hint="eastAsia" w:ascii="仿宋_GB2312" w:hAnsi="仿宋_GB2312" w:eastAsia="仿宋_GB2312" w:cs="仿宋_GB2312"/>
          <w:sz w:val="32"/>
          <w:szCs w:val="40"/>
        </w:rPr>
        <w:t>。六是强化科学研究，提升服务能力。组织申报各级各类课题</w:t>
      </w:r>
      <w:r>
        <w:rPr>
          <w:rFonts w:ascii="仿宋_GB2312" w:hAnsi="仿宋_GB2312" w:eastAsia="仿宋_GB2312" w:cs="仿宋_GB2312"/>
          <w:sz w:val="32"/>
          <w:szCs w:val="40"/>
        </w:rPr>
        <w:t>80</w:t>
      </w:r>
      <w:r>
        <w:rPr>
          <w:rFonts w:hint="eastAsia" w:ascii="仿宋_GB2312" w:hAnsi="仿宋_GB2312" w:eastAsia="仿宋_GB2312" w:cs="仿宋_GB2312"/>
          <w:sz w:val="32"/>
          <w:szCs w:val="40"/>
        </w:rPr>
        <w:t>余项、论文</w:t>
      </w:r>
      <w:r>
        <w:rPr>
          <w:rFonts w:ascii="仿宋_GB2312" w:hAnsi="仿宋_GB2312" w:eastAsia="仿宋_GB2312" w:cs="仿宋_GB2312"/>
          <w:sz w:val="32"/>
          <w:szCs w:val="40"/>
        </w:rPr>
        <w:t>95</w:t>
      </w:r>
      <w:r>
        <w:rPr>
          <w:rFonts w:hint="eastAsia" w:ascii="仿宋_GB2312" w:hAnsi="仿宋_GB2312" w:eastAsia="仿宋_GB2312" w:cs="仿宋_GB2312"/>
          <w:sz w:val="32"/>
          <w:szCs w:val="40"/>
        </w:rPr>
        <w:t>篇、科研项目</w:t>
      </w:r>
      <w:r>
        <w:rPr>
          <w:rFonts w:ascii="仿宋_GB2312" w:hAnsi="仿宋_GB2312" w:eastAsia="仿宋_GB2312" w:cs="仿宋_GB2312"/>
          <w:sz w:val="32"/>
          <w:szCs w:val="40"/>
        </w:rPr>
        <w:t>57</w:t>
      </w:r>
      <w:r>
        <w:rPr>
          <w:rFonts w:hint="eastAsia" w:ascii="仿宋_GB2312" w:hAnsi="仿宋_GB2312" w:eastAsia="仿宋_GB2312" w:cs="仿宋_GB2312"/>
          <w:sz w:val="32"/>
          <w:szCs w:val="40"/>
        </w:rPr>
        <w:t>项，其中省级课题立项</w:t>
      </w:r>
      <w:r>
        <w:rPr>
          <w:rFonts w:ascii="仿宋_GB2312" w:hAnsi="仿宋_GB2312" w:eastAsia="仿宋_GB2312" w:cs="仿宋_GB2312"/>
          <w:sz w:val="32"/>
          <w:szCs w:val="40"/>
        </w:rPr>
        <w:t>7</w:t>
      </w:r>
      <w:r>
        <w:rPr>
          <w:rFonts w:hint="eastAsia" w:ascii="仿宋_GB2312" w:hAnsi="仿宋_GB2312" w:eastAsia="仿宋_GB2312" w:cs="仿宋_GB2312"/>
          <w:sz w:val="32"/>
          <w:szCs w:val="40"/>
        </w:rPr>
        <w:t>项，完成《十四五川商精英培育计划》《四川省现代服务业“</w:t>
      </w:r>
      <w:r>
        <w:rPr>
          <w:rFonts w:ascii="仿宋_GB2312" w:hAnsi="仿宋_GB2312" w:eastAsia="仿宋_GB2312" w:cs="仿宋_GB2312"/>
          <w:sz w:val="32"/>
          <w:szCs w:val="40"/>
        </w:rPr>
        <w:t>4+6</w:t>
      </w:r>
      <w:r>
        <w:rPr>
          <w:rFonts w:hint="eastAsia" w:ascii="仿宋_GB2312" w:hAnsi="仿宋_GB2312" w:eastAsia="仿宋_GB2312" w:cs="仿宋_GB2312"/>
          <w:sz w:val="32"/>
          <w:szCs w:val="40"/>
        </w:rPr>
        <w:t>”产业急需紧缺人才目录》《四川省华蓥市消费类电子产品国家外贸转型升级基地发展规划》等课题。</w:t>
      </w:r>
    </w:p>
    <w:p>
      <w:pPr>
        <w:pageBreakBefore w:val="0"/>
        <w:kinsoku/>
        <w:wordWrap/>
        <w:overflowPunct/>
        <w:topLinePunct w:val="0"/>
        <w:bidi w:val="0"/>
        <w:spacing w:line="640" w:lineRule="exact"/>
        <w:ind w:firstLine="640" w:firstLineChars="200"/>
        <w:outlineLvl w:val="2"/>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（五）</w:t>
      </w:r>
      <w:r>
        <w:rPr>
          <w:rFonts w:hint="eastAsia" w:ascii="楷体_GB2312" w:hAnsi="楷体_GB2312" w:eastAsia="楷体_GB2312" w:cs="楷体_GB2312"/>
          <w:b/>
          <w:sz w:val="32"/>
          <w:szCs w:val="32"/>
        </w:rPr>
        <w:t>发挥职教优势，助推脱贫攻坚战役</w:t>
      </w:r>
    </w:p>
    <w:p>
      <w:pPr>
        <w:pageBreakBefore w:val="0"/>
        <w:kinsoku/>
        <w:wordWrap/>
        <w:overflowPunct/>
        <w:topLinePunct w:val="0"/>
        <w:bidi w:val="0"/>
        <w:spacing w:line="64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一是坚持以党建促脱贫。加强支部联建，推进旅游管理系党总支、人文社科党支部与邻水县磬明村党支部、金阳县卢家营盘村党支部“基层党建共建”。二是推进技能培训帮扶。发挥职业培训优势，为邻水县举办“乡村振兴”专题培训、中小学教师普通话能力提升专项培训、“文旅融合创新”专题培训。三是推进人才培养帮扶。学院积极鼓励帮扶地、贫困地区考生报考，新增设立“吉如奖学金”</w:t>
      </w:r>
      <w:r>
        <w:rPr>
          <w:rFonts w:ascii="仿宋_GB2312" w:hAnsi="仿宋_GB2312" w:eastAsia="仿宋_GB2312" w:cs="仿宋_GB2312"/>
          <w:sz w:val="32"/>
          <w:szCs w:val="40"/>
        </w:rPr>
        <w:t>4</w:t>
      </w:r>
      <w:r>
        <w:rPr>
          <w:rFonts w:hint="eastAsia" w:ascii="仿宋_GB2312" w:hAnsi="仿宋_GB2312" w:eastAsia="仿宋_GB2312" w:cs="仿宋_GB2312"/>
          <w:sz w:val="32"/>
          <w:szCs w:val="40"/>
        </w:rPr>
        <w:t>万元，专项用以帮扶地学生奖励助学。四是推进文化教育帮扶。积极推进驻村“三建四改五洗”工程，向金阳县学校捐赠图书</w:t>
      </w:r>
      <w:r>
        <w:rPr>
          <w:rFonts w:ascii="仿宋_GB2312" w:hAnsi="仿宋_GB2312" w:eastAsia="仿宋_GB2312" w:cs="仿宋_GB2312"/>
          <w:sz w:val="32"/>
          <w:szCs w:val="40"/>
        </w:rPr>
        <w:t>6000</w:t>
      </w:r>
      <w:r>
        <w:rPr>
          <w:rFonts w:hint="eastAsia" w:ascii="仿宋_GB2312" w:hAnsi="仿宋_GB2312" w:eastAsia="仿宋_GB2312" w:cs="仿宋_GB2312"/>
          <w:sz w:val="32"/>
          <w:szCs w:val="40"/>
        </w:rPr>
        <w:t>余册、文化用品</w:t>
      </w:r>
      <w:r>
        <w:rPr>
          <w:rFonts w:ascii="仿宋_GB2312" w:hAnsi="仿宋_GB2312" w:eastAsia="仿宋_GB2312" w:cs="仿宋_GB2312"/>
          <w:sz w:val="32"/>
          <w:szCs w:val="40"/>
        </w:rPr>
        <w:t>3</w:t>
      </w:r>
      <w:r>
        <w:rPr>
          <w:rFonts w:hint="eastAsia" w:ascii="仿宋_GB2312" w:hAnsi="仿宋_GB2312" w:eastAsia="仿宋_GB2312" w:cs="仿宋_GB2312"/>
          <w:sz w:val="32"/>
          <w:szCs w:val="40"/>
        </w:rPr>
        <w:t>万元；“三下乡”志愿服务队捐赠了价值</w:t>
      </w:r>
      <w:r>
        <w:rPr>
          <w:rFonts w:ascii="仿宋_GB2312" w:hAnsi="仿宋_GB2312" w:eastAsia="仿宋_GB2312" w:cs="仿宋_GB2312"/>
          <w:sz w:val="32"/>
          <w:szCs w:val="40"/>
        </w:rPr>
        <w:t>1.6</w:t>
      </w:r>
      <w:r>
        <w:rPr>
          <w:rFonts w:hint="eastAsia" w:ascii="仿宋_GB2312" w:hAnsi="仿宋_GB2312" w:eastAsia="仿宋_GB2312" w:cs="仿宋_GB2312"/>
          <w:sz w:val="32"/>
          <w:szCs w:val="40"/>
        </w:rPr>
        <w:t>万元学习文体用品。五是推进产业发展指导帮扶。《广安邻水县城南镇磬明村乡村振兴调研报告》为帮扶地产业发展、壮大集体经济提供决策支持。凉山农特产馆、中国特产屏山扶贫馆营业额总数超过上千万，“七仙女”直播团队共实现营业额约</w:t>
      </w:r>
      <w:r>
        <w:rPr>
          <w:rFonts w:ascii="仿宋_GB2312" w:hAnsi="仿宋_GB2312" w:eastAsia="仿宋_GB2312" w:cs="仿宋_GB2312"/>
          <w:sz w:val="32"/>
          <w:szCs w:val="40"/>
        </w:rPr>
        <w:t>30</w:t>
      </w:r>
      <w:r>
        <w:rPr>
          <w:rFonts w:hint="eastAsia" w:ascii="仿宋_GB2312" w:hAnsi="仿宋_GB2312" w:eastAsia="仿宋_GB2312" w:cs="仿宋_GB2312"/>
          <w:sz w:val="32"/>
          <w:szCs w:val="40"/>
        </w:rPr>
        <w:t>万。</w:t>
      </w:r>
    </w:p>
    <w:p>
      <w:pPr>
        <w:pageBreakBefore w:val="0"/>
        <w:kinsoku/>
        <w:wordWrap/>
        <w:overflowPunct/>
        <w:topLinePunct w:val="0"/>
        <w:bidi w:val="0"/>
        <w:spacing w:line="640" w:lineRule="exact"/>
        <w:ind w:firstLine="640" w:firstLineChars="200"/>
        <w:outlineLvl w:val="2"/>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（六）</w:t>
      </w:r>
      <w:r>
        <w:rPr>
          <w:rFonts w:hint="eastAsia" w:ascii="楷体_GB2312" w:hAnsi="楷体_GB2312" w:eastAsia="楷体_GB2312" w:cs="楷体_GB2312"/>
          <w:b/>
          <w:sz w:val="32"/>
          <w:szCs w:val="32"/>
        </w:rPr>
        <w:t>加强疫情防控，保障校园安全稳定</w:t>
      </w:r>
    </w:p>
    <w:p>
      <w:pPr>
        <w:pageBreakBefore w:val="0"/>
        <w:kinsoku/>
        <w:wordWrap/>
        <w:overflowPunct/>
        <w:topLinePunct w:val="0"/>
        <w:bidi w:val="0"/>
        <w:spacing w:line="64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提高政治站位，压实工作责任，及时成立领导小组和工作机构，制定“七案七制三流程”，根据疫情发展态势及时摸排筛查师生情况，配合做好核酸检测和隔离工作，开展线上教学保证“停课不停学”。严格落实值班和零报告制度，加强校园治安、防火防盗、食品卫生、车辆运行等管理，妥善处理文家校区村民聚集事件，有效处置学生食品中毒、伤亡事件，保障校园秩序安全稳定。</w:t>
      </w:r>
    </w:p>
    <w:p>
      <w:pPr>
        <w:pageBreakBefore w:val="0"/>
        <w:kinsoku/>
        <w:wordWrap/>
        <w:overflowPunct/>
        <w:topLinePunct w:val="0"/>
        <w:bidi w:val="0"/>
        <w:spacing w:line="640" w:lineRule="exact"/>
        <w:ind w:firstLine="640" w:firstLineChars="200"/>
        <w:outlineLvl w:val="2"/>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（七）</w:t>
      </w:r>
      <w:r>
        <w:rPr>
          <w:rFonts w:hint="eastAsia" w:ascii="楷体_GB2312" w:hAnsi="楷体_GB2312" w:eastAsia="楷体_GB2312" w:cs="楷体_GB2312"/>
          <w:b/>
          <w:sz w:val="32"/>
          <w:szCs w:val="32"/>
        </w:rPr>
        <w:t>以服务为宗旨，为教职员工办实事</w:t>
      </w:r>
    </w:p>
    <w:p>
      <w:pPr>
        <w:pageBreakBefore w:val="0"/>
        <w:kinsoku/>
        <w:wordWrap/>
        <w:overflowPunct/>
        <w:topLinePunct w:val="0"/>
        <w:bidi w:val="0"/>
        <w:spacing w:line="64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落实</w:t>
      </w:r>
      <w:r>
        <w:rPr>
          <w:rFonts w:ascii="仿宋_GB2312" w:hAnsi="仿宋_GB2312" w:eastAsia="仿宋_GB2312" w:cs="仿宋_GB2312"/>
          <w:sz w:val="32"/>
          <w:szCs w:val="40"/>
        </w:rPr>
        <w:t>2014</w:t>
      </w:r>
      <w:r>
        <w:rPr>
          <w:rFonts w:hint="eastAsia" w:ascii="仿宋_GB2312" w:hAnsi="仿宋_GB2312" w:eastAsia="仿宋_GB2312" w:cs="仿宋_GB2312"/>
          <w:sz w:val="32"/>
          <w:szCs w:val="40"/>
        </w:rPr>
        <w:t>年后新进教职工住房补贴</w:t>
      </w:r>
      <w:r>
        <w:rPr>
          <w:rFonts w:ascii="仿宋_GB2312" w:hAnsi="仿宋_GB2312" w:eastAsia="仿宋_GB2312" w:cs="仿宋_GB2312"/>
          <w:sz w:val="32"/>
          <w:szCs w:val="40"/>
        </w:rPr>
        <w:t>560.9915</w:t>
      </w:r>
      <w:r>
        <w:rPr>
          <w:rFonts w:hint="eastAsia" w:ascii="仿宋_GB2312" w:hAnsi="仿宋_GB2312" w:eastAsia="仿宋_GB2312" w:cs="仿宋_GB2312"/>
          <w:sz w:val="32"/>
          <w:szCs w:val="40"/>
        </w:rPr>
        <w:t>万元；完成和盛校区学生公寓空调安装；安排资金</w:t>
      </w:r>
      <w:r>
        <w:rPr>
          <w:rFonts w:ascii="仿宋_GB2312" w:hAnsi="仿宋_GB2312" w:eastAsia="仿宋_GB2312" w:cs="仿宋_GB2312"/>
          <w:sz w:val="32"/>
          <w:szCs w:val="40"/>
        </w:rPr>
        <w:t>210</w:t>
      </w:r>
      <w:r>
        <w:rPr>
          <w:rFonts w:hint="eastAsia" w:ascii="仿宋_GB2312" w:hAnsi="仿宋_GB2312" w:eastAsia="仿宋_GB2312" w:cs="仿宋_GB2312"/>
          <w:sz w:val="32"/>
          <w:szCs w:val="40"/>
        </w:rPr>
        <w:t>万元增加教职工早晚餐供应。为教职工购买职工互助补充医疗保险</w:t>
      </w:r>
      <w:r>
        <w:rPr>
          <w:rFonts w:ascii="仿宋_GB2312" w:hAnsi="仿宋_GB2312" w:eastAsia="仿宋_GB2312" w:cs="仿宋_GB2312"/>
          <w:sz w:val="32"/>
          <w:szCs w:val="40"/>
        </w:rPr>
        <w:t>6</w:t>
      </w:r>
      <w:r>
        <w:rPr>
          <w:rFonts w:hint="eastAsia" w:ascii="仿宋_GB2312" w:hAnsi="仿宋_GB2312" w:eastAsia="仿宋_GB2312" w:cs="仿宋_GB2312"/>
          <w:sz w:val="32"/>
          <w:szCs w:val="40"/>
        </w:rPr>
        <w:t>万多元，送去慰问金</w:t>
      </w:r>
      <w:r>
        <w:rPr>
          <w:rFonts w:ascii="仿宋_GB2312" w:hAnsi="仿宋_GB2312" w:eastAsia="仿宋_GB2312" w:cs="仿宋_GB2312"/>
          <w:sz w:val="32"/>
          <w:szCs w:val="40"/>
        </w:rPr>
        <w:t>29000</w:t>
      </w:r>
      <w:r>
        <w:rPr>
          <w:rFonts w:hint="eastAsia" w:ascii="仿宋_GB2312" w:hAnsi="仿宋_GB2312" w:eastAsia="仿宋_GB2312" w:cs="仿宋_GB2312"/>
          <w:sz w:val="32"/>
          <w:szCs w:val="40"/>
        </w:rPr>
        <w:t>元，困难家庭户助困资金</w:t>
      </w:r>
      <w:r>
        <w:rPr>
          <w:rFonts w:ascii="仿宋_GB2312" w:hAnsi="仿宋_GB2312" w:eastAsia="仿宋_GB2312" w:cs="仿宋_GB2312"/>
          <w:sz w:val="32"/>
          <w:szCs w:val="40"/>
        </w:rPr>
        <w:t>2.4</w:t>
      </w:r>
      <w:r>
        <w:rPr>
          <w:rFonts w:hint="eastAsia" w:ascii="仿宋_GB2312" w:hAnsi="仿宋_GB2312" w:eastAsia="仿宋_GB2312" w:cs="仿宋_GB2312"/>
          <w:sz w:val="32"/>
          <w:szCs w:val="40"/>
        </w:rPr>
        <w:t>万元，教职工子女减免学费共</w:t>
      </w:r>
      <w:r>
        <w:rPr>
          <w:rFonts w:ascii="仿宋_GB2312" w:hAnsi="仿宋_GB2312" w:eastAsia="仿宋_GB2312" w:cs="仿宋_GB2312"/>
          <w:sz w:val="32"/>
          <w:szCs w:val="40"/>
        </w:rPr>
        <w:t>6480</w:t>
      </w:r>
      <w:r>
        <w:rPr>
          <w:rFonts w:hint="eastAsia" w:ascii="仿宋_GB2312" w:hAnsi="仿宋_GB2312" w:eastAsia="仿宋_GB2312" w:cs="仿宋_GB2312"/>
          <w:sz w:val="32"/>
          <w:szCs w:val="40"/>
        </w:rPr>
        <w:t>元。学生奖助学金及勤工俭学</w:t>
      </w:r>
      <w:r>
        <w:rPr>
          <w:rFonts w:hint="eastAsia" w:ascii="仿宋_GB2312" w:hAnsi="仿宋_GB2312" w:eastAsia="仿宋_GB2312" w:cs="仿宋_GB2312"/>
          <w:color w:val="auto"/>
          <w:sz w:val="32"/>
          <w:szCs w:val="40"/>
        </w:rPr>
        <w:t>津贴达</w:t>
      </w:r>
      <w:r>
        <w:rPr>
          <w:rFonts w:ascii="仿宋_GB2312" w:hAnsi="仿宋_GB2312" w:eastAsia="仿宋_GB2312" w:cs="仿宋_GB2312"/>
          <w:color w:val="auto"/>
          <w:sz w:val="32"/>
          <w:szCs w:val="40"/>
        </w:rPr>
        <w:t>1151</w:t>
      </w:r>
      <w:r>
        <w:rPr>
          <w:rFonts w:hint="eastAsia" w:ascii="仿宋_GB2312" w:hAnsi="仿宋_GB2312" w:eastAsia="仿宋_GB2312" w:cs="仿宋_GB2312"/>
          <w:color w:val="auto"/>
          <w:sz w:val="32"/>
          <w:szCs w:val="40"/>
        </w:rPr>
        <w:t>万元，</w:t>
      </w:r>
      <w:r>
        <w:rPr>
          <w:rFonts w:hint="eastAsia" w:ascii="仿宋_GB2312" w:hAnsi="仿宋_GB2312" w:eastAsia="仿宋_GB2312" w:cs="仿宋_GB2312"/>
          <w:sz w:val="32"/>
          <w:szCs w:val="40"/>
        </w:rPr>
        <w:t>惠及学生</w:t>
      </w:r>
      <w:r>
        <w:rPr>
          <w:rFonts w:ascii="仿宋_GB2312" w:hAnsi="仿宋_GB2312" w:eastAsia="仿宋_GB2312" w:cs="仿宋_GB2312"/>
          <w:sz w:val="32"/>
          <w:szCs w:val="40"/>
        </w:rPr>
        <w:t>4606</w:t>
      </w:r>
      <w:r>
        <w:rPr>
          <w:rFonts w:hint="eastAsia" w:ascii="仿宋_GB2312" w:hAnsi="仿宋_GB2312" w:eastAsia="仿宋_GB2312" w:cs="仿宋_GB2312"/>
          <w:sz w:val="32"/>
          <w:szCs w:val="40"/>
        </w:rPr>
        <w:t>人次。</w:t>
      </w:r>
    </w:p>
    <w:p>
      <w:pPr>
        <w:pStyle w:val="5"/>
        <w:ind w:firstLine="640" w:firstLineChars="200"/>
        <w:rPr>
          <w:rFonts w:hint="eastAsia" w:ascii="黑体" w:hAnsi="黑体" w:eastAsia="黑体" w:cstheme="majorBidi"/>
          <w:b/>
          <w:bCs w:val="0"/>
          <w:sz w:val="32"/>
          <w:szCs w:val="32"/>
          <w:lang w:eastAsia="zh-CN"/>
        </w:rPr>
      </w:pPr>
      <w:bookmarkStart w:id="56" w:name="_Toc1264174139_WPSOffice_Level2"/>
      <w:r>
        <w:rPr>
          <w:rFonts w:hint="eastAsia" w:ascii="黑体" w:hAnsi="黑体" w:eastAsia="黑体" w:cstheme="majorBidi"/>
          <w:b/>
          <w:bCs w:val="0"/>
          <w:sz w:val="32"/>
          <w:szCs w:val="32"/>
          <w:lang w:eastAsia="zh-CN"/>
        </w:rPr>
        <w:t>三、机构设置情况</w:t>
      </w:r>
      <w:bookmarkEnd w:id="56"/>
    </w:p>
    <w:p>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四川商务职业学院由25个内设部门组成，分别是：党政办公室、教学督导办公室、财务资产管理处、后勤保卫处、工会、经济贸易系、经营管理系、会计系、旅游管理系、信息技术系、设计艺术系、党委组织部、人文社科部、思想政治教学部、图书馆、实践教学中心、继续教育中心、国际教育合作与交流中心、党委宣传统战部、党委学生工作部（处）（团委）、纪检监察审计处、人事处、教务处、招生就业处以及科研处。</w:t>
      </w:r>
    </w:p>
    <w:p>
      <w:pPr>
        <w:pStyle w:val="2"/>
      </w:pPr>
    </w:p>
    <w:p>
      <w:pPr>
        <w:pageBreakBefore w:val="0"/>
        <w:kinsoku/>
        <w:wordWrap/>
        <w:overflowPunct/>
        <w:topLinePunct w:val="0"/>
        <w:bidi w:val="0"/>
        <w:spacing w:line="640" w:lineRule="exact"/>
        <w:ind w:firstLine="640" w:firstLineChars="200"/>
        <w:rPr>
          <w:rFonts w:ascii="仿宋_GB2312" w:hAnsi="仿宋_GB2312" w:eastAsia="仿宋_GB2312" w:cs="仿宋_GB2312"/>
          <w:sz w:val="32"/>
          <w:szCs w:val="40"/>
        </w:rPr>
      </w:pPr>
      <w:r>
        <w:rPr>
          <w:rFonts w:ascii="仿宋_GB2312" w:hAnsi="仿宋_GB2312" w:eastAsia="仿宋_GB2312" w:cs="仿宋_GB2312"/>
          <w:sz w:val="32"/>
          <w:szCs w:val="40"/>
        </w:rPr>
        <w:br w:type="page"/>
      </w:r>
    </w:p>
    <w:p>
      <w:pPr>
        <w:pStyle w:val="4"/>
        <w:pageBreakBefore w:val="0"/>
        <w:kinsoku/>
        <w:wordWrap/>
        <w:overflowPunct/>
        <w:topLinePunct w:val="0"/>
        <w:bidi w:val="0"/>
        <w:spacing w:line="640" w:lineRule="exact"/>
        <w:ind w:right="440"/>
        <w:jc w:val="right"/>
        <w:rPr>
          <w:rStyle w:val="19"/>
          <w:rFonts w:ascii="黑体" w:hAnsi="黑体" w:eastAsia="黑体"/>
          <w:b w:val="0"/>
          <w:bCs w:val="0"/>
        </w:rPr>
      </w:pPr>
      <w:bookmarkStart w:id="57" w:name="_Toc29774"/>
      <w:bookmarkStart w:id="58" w:name="_Toc15396602"/>
      <w:bookmarkStart w:id="59" w:name="_Toc1327783495_WPSOffice_Level1"/>
      <w:bookmarkStart w:id="60" w:name="_Toc15377204"/>
      <w:bookmarkStart w:id="61" w:name="_Toc825141390_WPSOffice_Level1"/>
      <w:r>
        <w:rPr>
          <w:rFonts w:hint="eastAsia" w:ascii="黑体" w:hAnsi="黑体" w:eastAsia="黑体"/>
          <w:b w:val="0"/>
          <w:color w:val="000000"/>
        </w:rPr>
        <w:t>第二部分</w:t>
      </w:r>
      <w:r>
        <w:rPr>
          <w:rFonts w:ascii="黑体" w:hAnsi="黑体" w:eastAsia="黑体"/>
          <w:color w:val="000000"/>
        </w:rPr>
        <w:t xml:space="preserve"> </w:t>
      </w:r>
      <w:r>
        <w:rPr>
          <w:rStyle w:val="19"/>
          <w:rFonts w:ascii="黑体" w:hAnsi="黑体" w:eastAsia="黑体"/>
          <w:b w:val="0"/>
          <w:bCs w:val="0"/>
        </w:rPr>
        <w:t>2020</w:t>
      </w:r>
      <w:r>
        <w:rPr>
          <w:rStyle w:val="19"/>
          <w:rFonts w:hint="eastAsia" w:ascii="黑体" w:hAnsi="黑体" w:eastAsia="黑体"/>
          <w:b w:val="0"/>
          <w:bCs w:val="0"/>
        </w:rPr>
        <w:t>年度单位决算情况说明</w:t>
      </w:r>
      <w:bookmarkEnd w:id="57"/>
      <w:bookmarkEnd w:id="58"/>
      <w:bookmarkEnd w:id="59"/>
      <w:bookmarkEnd w:id="60"/>
      <w:bookmarkEnd w:id="61"/>
    </w:p>
    <w:p>
      <w:pPr>
        <w:pStyle w:val="26"/>
        <w:pageBreakBefore w:val="0"/>
        <w:numPr>
          <w:ilvl w:val="0"/>
          <w:numId w:val="0"/>
        </w:numPr>
        <w:kinsoku/>
        <w:wordWrap/>
        <w:overflowPunct/>
        <w:topLinePunct w:val="0"/>
        <w:bidi w:val="0"/>
        <w:spacing w:line="640" w:lineRule="exact"/>
        <w:ind w:firstLine="640" w:firstLineChars="200"/>
        <w:outlineLvl w:val="1"/>
        <w:rPr>
          <w:rStyle w:val="20"/>
          <w:rFonts w:ascii="黑体" w:hAnsi="黑体" w:eastAsia="黑体"/>
          <w:b w:val="0"/>
        </w:rPr>
      </w:pPr>
      <w:bookmarkStart w:id="62" w:name="_Toc15396603"/>
      <w:bookmarkStart w:id="63" w:name="_Toc7031"/>
      <w:bookmarkStart w:id="64" w:name="_Toc15377205"/>
      <w:bookmarkStart w:id="65" w:name="_Toc368987658_WPSOffice_Level2"/>
      <w:bookmarkStart w:id="66" w:name="_Toc832251443_WPSOffice_Level2"/>
      <w:r>
        <w:rPr>
          <w:rFonts w:hint="eastAsia" w:ascii="黑体" w:hAnsi="黑体" w:eastAsia="黑体"/>
          <w:color w:val="000000"/>
          <w:sz w:val="32"/>
          <w:szCs w:val="32"/>
          <w:lang w:eastAsia="zh-CN"/>
        </w:rPr>
        <w:t>一、</w:t>
      </w:r>
      <w:r>
        <w:rPr>
          <w:rFonts w:hint="eastAsia" w:ascii="黑体" w:hAnsi="黑体" w:eastAsia="黑体"/>
          <w:color w:val="000000"/>
          <w:sz w:val="32"/>
          <w:szCs w:val="32"/>
        </w:rPr>
        <w:t>收</w:t>
      </w:r>
      <w:r>
        <w:rPr>
          <w:rStyle w:val="20"/>
          <w:rFonts w:hint="eastAsia" w:ascii="黑体" w:hAnsi="黑体" w:eastAsia="黑体"/>
          <w:b w:val="0"/>
        </w:rPr>
        <w:t>入支出决算总体情况说明</w:t>
      </w:r>
      <w:bookmarkEnd w:id="62"/>
      <w:bookmarkEnd w:id="63"/>
      <w:bookmarkEnd w:id="64"/>
      <w:bookmarkEnd w:id="65"/>
      <w:bookmarkEnd w:id="66"/>
    </w:p>
    <w:p>
      <w:pPr>
        <w:pageBreakBefore w:val="0"/>
        <w:kinsoku/>
        <w:wordWrap/>
        <w:overflowPunct/>
        <w:topLinePunct w:val="0"/>
        <w:bidi w:val="0"/>
        <w:spacing w:line="6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2020年度收、支总计14555.4万元</w:t>
      </w:r>
      <w:r>
        <w:rPr>
          <w:rFonts w:hint="eastAsia" w:ascii="仿宋_GB2312" w:hAnsi="仿宋_GB2312" w:eastAsia="仿宋_GB2312" w:cs="仿宋_GB2312"/>
          <w:color w:val="000000"/>
          <w:sz w:val="32"/>
          <w:szCs w:val="32"/>
        </w:rPr>
        <w:t>。与2019年相比，</w:t>
      </w:r>
      <w:r>
        <w:rPr>
          <w:rFonts w:hint="eastAsia" w:ascii="仿宋_GB2312" w:hAnsi="仿宋_GB2312" w:eastAsia="仿宋_GB2312" w:cs="仿宋_GB2312"/>
          <w:sz w:val="32"/>
          <w:szCs w:val="32"/>
        </w:rPr>
        <w:t>收、支总计各减少</w:t>
      </w:r>
      <w:r>
        <w:rPr>
          <w:rFonts w:hint="eastAsia" w:ascii="仿宋_GB2312" w:hAnsi="仿宋_GB2312" w:eastAsia="仿宋_GB2312" w:cs="仿宋_GB2312"/>
          <w:color w:val="000000"/>
          <w:sz w:val="32"/>
          <w:szCs w:val="32"/>
        </w:rPr>
        <w:t>628.53万元，下降4.13%。主要变动原因是事业收入减少895万元。</w:t>
      </w: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pageBreakBefore w:val="0"/>
        <w:kinsoku/>
        <w:wordWrap/>
        <w:overflowPunct/>
        <w:topLinePunct w:val="0"/>
        <w:bidi w:val="0"/>
        <w:spacing w:before="93" w:line="640" w:lineRule="exact"/>
      </w:pPr>
      <w:r>
        <w:drawing>
          <wp:anchor distT="0" distB="0" distL="114300" distR="114300" simplePos="0" relativeHeight="251660288" behindDoc="1" locked="0" layoutInCell="1" allowOverlap="1">
            <wp:simplePos x="0" y="0"/>
            <wp:positionH relativeFrom="column">
              <wp:posOffset>4445</wp:posOffset>
            </wp:positionH>
            <wp:positionV relativeFrom="paragraph">
              <wp:posOffset>-2372995</wp:posOffset>
            </wp:positionV>
            <wp:extent cx="4572000" cy="2743200"/>
            <wp:effectExtent l="4445" t="4445" r="14605" b="14605"/>
            <wp:wrapTight wrapText="bothSides">
              <wp:wrapPolygon>
                <wp:start x="-21" y="-35"/>
                <wp:lineTo x="-21" y="21565"/>
                <wp:lineTo x="21579" y="21565"/>
                <wp:lineTo x="21579" y="-35"/>
                <wp:lineTo x="-21" y="-35"/>
              </wp:wrapPolygon>
            </wp:wrapTight>
            <wp:docPr id="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ageBreakBefore w:val="0"/>
        <w:kinsoku/>
        <w:wordWrap/>
        <w:overflowPunct/>
        <w:topLinePunct w:val="0"/>
        <w:bidi w:val="0"/>
        <w:spacing w:line="640" w:lineRule="exact"/>
        <w:ind w:firstLine="640" w:firstLineChars="200"/>
        <w:rPr>
          <w:rFonts w:ascii="仿宋_GB2312" w:eastAsia="仿宋_GB2312"/>
          <w:color w:val="000000"/>
          <w:sz w:val="32"/>
          <w:szCs w:val="32"/>
        </w:rPr>
      </w:pPr>
      <w:r>
        <w:rPr>
          <w:rFonts w:hint="eastAsia" w:ascii="仿宋_GB2312" w:hAnsi="仿宋_GB2312" w:eastAsia="仿宋_GB2312" w:cs="仿宋_GB2312"/>
          <w:sz w:val="32"/>
          <w:szCs w:val="32"/>
        </w:rPr>
        <w:t>（图1：收、支决算总计变动情况图）（柱状图）</w:t>
      </w:r>
    </w:p>
    <w:p>
      <w:pPr>
        <w:pStyle w:val="26"/>
        <w:pageBreakBefore w:val="0"/>
        <w:numPr>
          <w:ilvl w:val="0"/>
          <w:numId w:val="0"/>
        </w:numPr>
        <w:kinsoku/>
        <w:wordWrap/>
        <w:overflowPunct/>
        <w:topLinePunct w:val="0"/>
        <w:bidi w:val="0"/>
        <w:spacing w:line="640" w:lineRule="exact"/>
        <w:ind w:left="640" w:leftChars="0"/>
        <w:outlineLvl w:val="1"/>
        <w:rPr>
          <w:rStyle w:val="20"/>
          <w:rFonts w:ascii="黑体" w:hAnsi="黑体" w:eastAsia="黑体"/>
          <w:b w:val="0"/>
        </w:rPr>
      </w:pPr>
      <w:bookmarkStart w:id="67" w:name="_Toc1141094357_WPSOffice_Level2"/>
      <w:bookmarkStart w:id="68" w:name="_Toc17388"/>
      <w:bookmarkStart w:id="69" w:name="_Toc15377206"/>
      <w:bookmarkStart w:id="70" w:name="_Toc15396604"/>
      <w:bookmarkStart w:id="71" w:name="_Toc1187233959_WPSOffice_Level2"/>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20"/>
          <w:rFonts w:hint="eastAsia" w:ascii="黑体" w:hAnsi="黑体" w:eastAsia="黑体"/>
          <w:b w:val="0"/>
        </w:rPr>
        <w:t>入决算情况说明</w:t>
      </w:r>
      <w:bookmarkEnd w:id="67"/>
      <w:bookmarkEnd w:id="68"/>
      <w:bookmarkEnd w:id="69"/>
      <w:bookmarkEnd w:id="70"/>
      <w:bookmarkEnd w:id="71"/>
    </w:p>
    <w:p>
      <w:pPr>
        <w:pageBreakBefore w:val="0"/>
        <w:kinsoku/>
        <w:wordWrap/>
        <w:overflowPunct/>
        <w:topLinePunct w:val="0"/>
        <w:bidi w:val="0"/>
        <w:spacing w:line="6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本年收入合计14555.4万元，其中：一般公共预算财政拨款收入11263.58万元，占77.38%；政府性基金预算财政拨款收入0万元，占0%；上级补助收入0万元，占0%；事业收入3261.04万元，占22.41%；经营收入0万元，占0%；附属单位上缴收入0万元，占0%；其他收入30.78万元，占0.21%。</w:t>
      </w:r>
    </w:p>
    <w:p>
      <w:pPr>
        <w:pStyle w:val="2"/>
        <w:rPr>
          <w:rFonts w:hint="eastAsia" w:ascii="仿宋_GB2312" w:hAnsi="仿宋_GB2312" w:eastAsia="仿宋_GB2312" w:cs="仿宋_GB2312"/>
          <w:color w:val="000000"/>
          <w:sz w:val="32"/>
          <w:szCs w:val="32"/>
        </w:rPr>
      </w:pPr>
      <w:r>
        <w:drawing>
          <wp:anchor distT="0" distB="0" distL="114300" distR="114300" simplePos="0" relativeHeight="251661312" behindDoc="1" locked="0" layoutInCell="1" allowOverlap="1">
            <wp:simplePos x="0" y="0"/>
            <wp:positionH relativeFrom="column">
              <wp:posOffset>52070</wp:posOffset>
            </wp:positionH>
            <wp:positionV relativeFrom="paragraph">
              <wp:posOffset>23495</wp:posOffset>
            </wp:positionV>
            <wp:extent cx="5098415" cy="3269615"/>
            <wp:effectExtent l="4445" t="4445" r="21590" b="21590"/>
            <wp:wrapThrough wrapText="bothSides">
              <wp:wrapPolygon>
                <wp:start x="-19" y="-29"/>
                <wp:lineTo x="-19" y="21491"/>
                <wp:lineTo x="21530" y="21491"/>
                <wp:lineTo x="21530" y="-29"/>
                <wp:lineTo x="-19" y="-29"/>
              </wp:wrapPolygon>
            </wp:wrapThrough>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lang w:val="en-US" w:eastAsia="zh-CN"/>
        </w:rPr>
        <w:t xml:space="preserve">   </w:t>
      </w:r>
      <w:r>
        <w:rPr>
          <w:rFonts w:hint="eastAsia" w:ascii="仿宋_GB2312" w:hAnsi="仿宋_GB2312" w:eastAsia="仿宋_GB2312" w:cs="仿宋_GB2312"/>
          <w:color w:val="000000"/>
          <w:sz w:val="32"/>
          <w:szCs w:val="32"/>
        </w:rPr>
        <w:t>（图2：收入决算结构图）（饼状图）</w:t>
      </w:r>
      <w:bookmarkStart w:id="72" w:name="_Toc15396605"/>
      <w:bookmarkStart w:id="73" w:name="_Toc15377207"/>
    </w:p>
    <w:p>
      <w:pPr>
        <w:pStyle w:val="26"/>
        <w:pageBreakBefore w:val="0"/>
        <w:kinsoku/>
        <w:wordWrap/>
        <w:overflowPunct/>
        <w:topLinePunct w:val="0"/>
        <w:bidi w:val="0"/>
        <w:spacing w:line="640" w:lineRule="exact"/>
        <w:ind w:firstLine="640"/>
        <w:outlineLvl w:val="1"/>
        <w:rPr>
          <w:rStyle w:val="20"/>
          <w:rFonts w:ascii="黑体" w:hAnsi="黑体" w:eastAsia="黑体"/>
          <w:b w:val="0"/>
        </w:rPr>
      </w:pPr>
      <w:bookmarkStart w:id="74" w:name="_Toc244000104_WPSOffice_Level2"/>
      <w:bookmarkStart w:id="75" w:name="_Toc6446"/>
      <w:bookmarkStart w:id="76" w:name="_Toc234571336_WPSOffice_Level2"/>
      <w:r>
        <w:rPr>
          <w:rFonts w:hint="eastAsia" w:ascii="黑体" w:hAnsi="黑体" w:eastAsia="黑体"/>
          <w:color w:val="000000"/>
          <w:sz w:val="32"/>
          <w:szCs w:val="32"/>
        </w:rPr>
        <w:t>三、支</w:t>
      </w:r>
      <w:r>
        <w:rPr>
          <w:rStyle w:val="20"/>
          <w:rFonts w:hint="eastAsia" w:ascii="黑体" w:hAnsi="黑体" w:eastAsia="黑体"/>
          <w:b w:val="0"/>
        </w:rPr>
        <w:t>出决算情况说明</w:t>
      </w:r>
      <w:bookmarkEnd w:id="72"/>
      <w:bookmarkEnd w:id="73"/>
      <w:bookmarkEnd w:id="74"/>
      <w:bookmarkEnd w:id="75"/>
      <w:bookmarkEnd w:id="76"/>
    </w:p>
    <w:p>
      <w:pPr>
        <w:pageBreakBefore w:val="0"/>
        <w:kinsoku/>
        <w:wordWrap/>
        <w:overflowPunct/>
        <w:topLinePunct w:val="0"/>
        <w:bidi w:val="0"/>
        <w:spacing w:line="6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2020年本年支出合计14550.37万元，其中：基本支出9383.25万元，占64.49%；项目支出5167.12万元，占35.51%；上缴上级支出0万元，占0%；经营支出0万元，占0%；对附属单位补助支出0万元，占0%。</w:t>
      </w:r>
    </w:p>
    <w:p>
      <w:pPr>
        <w:pStyle w:val="2"/>
        <w:rPr>
          <w:rFonts w:hint="eastAsia"/>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pageBreakBefore w:val="0"/>
        <w:kinsoku/>
        <w:wordWrap/>
        <w:overflowPunct/>
        <w:topLinePunct w:val="0"/>
        <w:bidi w:val="0"/>
        <w:spacing w:before="93" w:line="640" w:lineRule="exact"/>
        <w:rPr>
          <w:rFonts w:ascii="仿宋" w:hAnsi="仿宋" w:eastAsia="仿宋"/>
          <w:color w:val="000000"/>
          <w:sz w:val="32"/>
          <w:szCs w:val="32"/>
        </w:rPr>
      </w:pPr>
      <w:r>
        <w:rPr>
          <w:rFonts w:ascii="仿宋" w:hAnsi="仿宋" w:eastAsia="仿宋"/>
          <w:color w:val="000000"/>
          <w:sz w:val="32"/>
          <w:szCs w:val="32"/>
        </w:rPr>
        <w:t xml:space="preserve"> </w:t>
      </w:r>
      <w:r>
        <w:drawing>
          <wp:anchor distT="0" distB="0" distL="114300" distR="114300" simplePos="0" relativeHeight="251662336" behindDoc="1" locked="0" layoutInCell="1" allowOverlap="1">
            <wp:simplePos x="0" y="0"/>
            <wp:positionH relativeFrom="column">
              <wp:posOffset>106045</wp:posOffset>
            </wp:positionH>
            <wp:positionV relativeFrom="paragraph">
              <wp:posOffset>-1991995</wp:posOffset>
            </wp:positionV>
            <wp:extent cx="4622165" cy="2360295"/>
            <wp:effectExtent l="4445" t="4445" r="21590" b="16510"/>
            <wp:wrapThrough wrapText="bothSides">
              <wp:wrapPolygon>
                <wp:start x="-21" y="-41"/>
                <wp:lineTo x="-21" y="21402"/>
                <wp:lineTo x="21523" y="21402"/>
                <wp:lineTo x="21523" y="-41"/>
                <wp:lineTo x="-21" y="-41"/>
              </wp:wrapPolygon>
            </wp:wrapThrough>
            <wp:docPr id="10"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ageBreakBefore w:val="0"/>
        <w:kinsoku/>
        <w:wordWrap/>
        <w:overflowPunct/>
        <w:topLinePunct w:val="0"/>
        <w:bidi w:val="0"/>
        <w:spacing w:line="64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（图3：支出决算结构图）（饼状图）</w:t>
      </w:r>
    </w:p>
    <w:p>
      <w:pPr>
        <w:pageBreakBefore w:val="0"/>
        <w:kinsoku/>
        <w:wordWrap/>
        <w:overflowPunct/>
        <w:topLinePunct w:val="0"/>
        <w:bidi w:val="0"/>
        <w:spacing w:line="640" w:lineRule="exact"/>
        <w:ind w:firstLine="640" w:firstLineChars="200"/>
        <w:outlineLvl w:val="1"/>
        <w:rPr>
          <w:rStyle w:val="20"/>
          <w:rFonts w:ascii="黑体" w:hAnsi="黑体" w:eastAsia="黑体"/>
          <w:b w:val="0"/>
        </w:rPr>
      </w:pPr>
      <w:bookmarkStart w:id="77" w:name="_Toc801140470_WPSOffice_Level2"/>
      <w:bookmarkStart w:id="78" w:name="_Toc29748"/>
      <w:bookmarkStart w:id="79" w:name="_Toc15396606"/>
      <w:bookmarkStart w:id="80" w:name="_Toc15377208"/>
      <w:bookmarkStart w:id="81" w:name="_Toc1498265846_WPSOffice_Level2"/>
      <w:r>
        <w:rPr>
          <w:rFonts w:hint="eastAsia" w:ascii="黑体" w:hAnsi="黑体" w:eastAsia="黑体"/>
          <w:color w:val="000000"/>
          <w:sz w:val="32"/>
          <w:szCs w:val="32"/>
        </w:rPr>
        <w:t>四、财</w:t>
      </w:r>
      <w:r>
        <w:rPr>
          <w:rStyle w:val="20"/>
          <w:rFonts w:hint="eastAsia" w:ascii="黑体" w:hAnsi="黑体" w:eastAsia="黑体"/>
          <w:b w:val="0"/>
        </w:rPr>
        <w:t>政拨款收入支出决算总体情况说明</w:t>
      </w:r>
      <w:bookmarkEnd w:id="77"/>
      <w:bookmarkEnd w:id="78"/>
      <w:bookmarkEnd w:id="79"/>
      <w:bookmarkEnd w:id="80"/>
      <w:bookmarkEnd w:id="81"/>
    </w:p>
    <w:p>
      <w:pPr>
        <w:pageBreakBefore w:val="0"/>
        <w:kinsoku/>
        <w:wordWrap/>
        <w:overflowPunct/>
        <w:topLinePunct w:val="0"/>
        <w:bidi w:val="0"/>
        <w:spacing w:line="64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2020年财政拨款收</w:t>
      </w:r>
      <w:r>
        <w:rPr>
          <w:rFonts w:hint="eastAsia" w:ascii="仿宋_GB2312" w:hAnsi="仿宋_GB2312" w:eastAsia="仿宋_GB2312" w:cs="仿宋_GB2312"/>
          <w:sz w:val="32"/>
          <w:szCs w:val="32"/>
        </w:rPr>
        <w:t>、支总计</w:t>
      </w:r>
      <w:r>
        <w:rPr>
          <w:rFonts w:hint="eastAsia" w:ascii="仿宋_GB2312" w:hAnsi="仿宋_GB2312" w:eastAsia="仿宋_GB2312" w:cs="仿宋_GB2312"/>
          <w:color w:val="000000"/>
          <w:sz w:val="32"/>
          <w:szCs w:val="32"/>
        </w:rPr>
        <w:t>11263.58万元。与2019年相比，财政拨款收</w:t>
      </w:r>
      <w:r>
        <w:rPr>
          <w:rFonts w:hint="eastAsia" w:ascii="仿宋_GB2312" w:hAnsi="仿宋_GB2312" w:eastAsia="仿宋_GB2312" w:cs="仿宋_GB2312"/>
          <w:sz w:val="32"/>
          <w:szCs w:val="32"/>
        </w:rPr>
        <w:t>、支各增加</w:t>
      </w:r>
      <w:r>
        <w:rPr>
          <w:rFonts w:hint="eastAsia" w:ascii="仿宋_GB2312" w:hAnsi="仿宋_GB2312" w:eastAsia="仿宋_GB2312" w:cs="仿宋_GB2312"/>
          <w:color w:val="000000"/>
          <w:sz w:val="32"/>
          <w:szCs w:val="32"/>
        </w:rPr>
        <w:t>311.12万元，增长2.84%。主要变动原因是项目支出增加了361万元，基本支出减少了50万元。</w:t>
      </w:r>
    </w:p>
    <w:p>
      <w:pPr>
        <w:pStyle w:val="2"/>
        <w:rPr>
          <w:rFonts w:hint="eastAsia"/>
        </w:rPr>
      </w:pPr>
      <w:r>
        <w:drawing>
          <wp:anchor distT="0" distB="0" distL="114300" distR="114300" simplePos="0" relativeHeight="251663360" behindDoc="1" locked="0" layoutInCell="1" allowOverlap="1">
            <wp:simplePos x="0" y="0"/>
            <wp:positionH relativeFrom="column">
              <wp:posOffset>318770</wp:posOffset>
            </wp:positionH>
            <wp:positionV relativeFrom="paragraph">
              <wp:posOffset>181610</wp:posOffset>
            </wp:positionV>
            <wp:extent cx="4572000" cy="2743200"/>
            <wp:effectExtent l="4445" t="4445" r="14605" b="14605"/>
            <wp:wrapThrough wrapText="bothSides">
              <wp:wrapPolygon>
                <wp:start x="-21" y="-35"/>
                <wp:lineTo x="-21" y="21565"/>
                <wp:lineTo x="21579" y="21565"/>
                <wp:lineTo x="21579" y="-35"/>
                <wp:lineTo x="-21" y="-35"/>
              </wp:wrapPolygon>
            </wp:wrapThrough>
            <wp:docPr id="9"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ageBreakBefore w:val="0"/>
        <w:kinsoku/>
        <w:wordWrap/>
        <w:overflowPunct/>
        <w:topLinePunct w:val="0"/>
        <w:bidi w:val="0"/>
        <w:spacing w:line="6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（图4：财政拨款收、支决算总计变动情况）（柱状图）</w:t>
      </w:r>
    </w:p>
    <w:p>
      <w:pPr>
        <w:pageBreakBefore w:val="0"/>
        <w:kinsoku/>
        <w:wordWrap/>
        <w:overflowPunct/>
        <w:topLinePunct w:val="0"/>
        <w:bidi w:val="0"/>
        <w:spacing w:line="640" w:lineRule="exact"/>
        <w:ind w:firstLine="640" w:firstLineChars="200"/>
        <w:outlineLvl w:val="1"/>
        <w:rPr>
          <w:rStyle w:val="20"/>
          <w:rFonts w:ascii="黑体" w:hAnsi="黑体" w:eastAsia="黑体"/>
          <w:b w:val="0"/>
        </w:rPr>
      </w:pPr>
      <w:bookmarkStart w:id="82" w:name="_Toc1729664565_WPSOffice_Level2"/>
      <w:bookmarkStart w:id="83" w:name="_Toc15396607"/>
      <w:bookmarkStart w:id="84" w:name="_Toc15377209"/>
      <w:bookmarkStart w:id="85" w:name="_Toc16051"/>
      <w:bookmarkStart w:id="86" w:name="_Toc1371456206_WPSOffice_Level2"/>
      <w:r>
        <w:rPr>
          <w:rStyle w:val="20"/>
          <w:rFonts w:hint="eastAsia" w:ascii="黑体" w:hAnsi="黑体" w:eastAsia="黑体"/>
          <w:b w:val="0"/>
        </w:rPr>
        <w:t>五、一般公共预算财政拨款支出决算情况说明</w:t>
      </w:r>
      <w:bookmarkEnd w:id="82"/>
      <w:bookmarkEnd w:id="83"/>
      <w:bookmarkEnd w:id="84"/>
      <w:bookmarkEnd w:id="85"/>
      <w:bookmarkEnd w:id="86"/>
    </w:p>
    <w:p>
      <w:pPr>
        <w:pageBreakBefore w:val="0"/>
        <w:kinsoku/>
        <w:wordWrap/>
        <w:overflowPunct/>
        <w:topLinePunct w:val="0"/>
        <w:bidi w:val="0"/>
        <w:spacing w:line="640" w:lineRule="exact"/>
        <w:ind w:firstLine="640" w:firstLineChars="200"/>
        <w:outlineLvl w:val="2"/>
        <w:rPr>
          <w:rFonts w:hint="eastAsia" w:ascii="楷体_GB2312" w:hAnsi="楷体_GB2312" w:eastAsia="楷体_GB2312" w:cs="楷体_GB2312"/>
          <w:b/>
          <w:color w:val="000000"/>
          <w:sz w:val="32"/>
          <w:szCs w:val="32"/>
        </w:rPr>
      </w:pPr>
      <w:bookmarkStart w:id="87" w:name="_Toc15377210"/>
      <w:r>
        <w:rPr>
          <w:rFonts w:hint="eastAsia" w:ascii="楷体_GB2312" w:hAnsi="楷体_GB2312" w:eastAsia="楷体_GB2312" w:cs="楷体_GB2312"/>
          <w:b/>
          <w:color w:val="000000"/>
          <w:sz w:val="32"/>
          <w:szCs w:val="32"/>
        </w:rPr>
        <w:t>（一）一般公共预算财政拨款支出决算总体情况</w:t>
      </w:r>
      <w:bookmarkEnd w:id="87"/>
    </w:p>
    <w:p>
      <w:pPr>
        <w:pageBreakBefore w:val="0"/>
        <w:kinsoku/>
        <w:wordWrap/>
        <w:overflowPunct/>
        <w:topLinePunct w:val="0"/>
        <w:bidi w:val="0"/>
        <w:spacing w:line="64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2020年一般公共预算财政拨款支出11263.58万元，占本年支出合计的77.41%。与2019年相比，一般公共预算财政拨款增加311.12万元，3.84%。主要变动原因是项目支出增加了361万元，基本支出减少了50万元。</w:t>
      </w: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r>
        <w:drawing>
          <wp:anchor distT="0" distB="0" distL="114300" distR="114300" simplePos="0" relativeHeight="251664384" behindDoc="1" locked="0" layoutInCell="1" allowOverlap="1">
            <wp:simplePos x="0" y="0"/>
            <wp:positionH relativeFrom="column">
              <wp:posOffset>280670</wp:posOffset>
            </wp:positionH>
            <wp:positionV relativeFrom="paragraph">
              <wp:posOffset>131445</wp:posOffset>
            </wp:positionV>
            <wp:extent cx="4572000" cy="2743200"/>
            <wp:effectExtent l="4445" t="4445" r="14605" b="14605"/>
            <wp:wrapThrough wrapText="bothSides">
              <wp:wrapPolygon>
                <wp:start x="-21" y="-35"/>
                <wp:lineTo x="-21" y="21565"/>
                <wp:lineTo x="21579" y="21565"/>
                <wp:lineTo x="21579" y="-35"/>
                <wp:lineTo x="-21" y="-35"/>
              </wp:wrapPolygon>
            </wp:wrapThrough>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ageBreakBefore w:val="0"/>
        <w:kinsoku/>
        <w:wordWrap/>
        <w:overflowPunct/>
        <w:topLinePunct w:val="0"/>
        <w:bidi w:val="0"/>
        <w:spacing w:line="640" w:lineRule="exact"/>
        <w:ind w:firstLine="640"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（图5：一般公共预算财政拨款支出决算变动情况）（柱状图）</w:t>
      </w:r>
      <w:bookmarkStart w:id="88" w:name="_Toc15377211"/>
    </w:p>
    <w:p>
      <w:pPr>
        <w:pageBreakBefore w:val="0"/>
        <w:kinsoku/>
        <w:wordWrap/>
        <w:overflowPunct/>
        <w:topLinePunct w:val="0"/>
        <w:bidi w:val="0"/>
        <w:spacing w:line="640" w:lineRule="exact"/>
        <w:ind w:firstLine="640" w:firstLineChars="200"/>
        <w:outlineLvl w:val="2"/>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（二）一般公共预算财政拨款支出决算结构情况</w:t>
      </w:r>
      <w:bookmarkEnd w:id="88"/>
    </w:p>
    <w:p>
      <w:pPr>
        <w:pageBreakBefore w:val="0"/>
        <w:kinsoku/>
        <w:wordWrap/>
        <w:overflowPunct/>
        <w:topLinePunct w:val="0"/>
        <w:bidi w:val="0"/>
        <w:spacing w:line="64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2020年一般公共预算财政拨款支出11263.58万元，主要用于以下方面:一般公共服务（类）支出0万元，占0%</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 xml:space="preserve">教育支出（类）11218.02万元，占99.6%；科学技术（类）支出0万元，占0%；文化旅游体育与传媒（类）支出0万元，占0%；社会保障和就业（类）支出11.94万元，占0.1%；卫生健康支出0万元，占0%；住房保障支出0万元，占0%；商业服务业等支出33.62万元，占0.3%   </w:t>
      </w:r>
    </w:p>
    <w:p>
      <w:pPr>
        <w:pageBreakBefore w:val="0"/>
        <w:kinsoku/>
        <w:wordWrap/>
        <w:overflowPunct/>
        <w:topLinePunct w:val="0"/>
        <w:bidi w:val="0"/>
        <w:spacing w:line="640" w:lineRule="exact"/>
        <w:ind w:firstLine="640"/>
        <w:rPr>
          <w:rFonts w:ascii="仿宋" w:hAnsi="仿宋" w:eastAsia="仿宋"/>
          <w:color w:val="000000"/>
          <w:sz w:val="32"/>
          <w:szCs w:val="32"/>
        </w:rPr>
      </w:pPr>
      <w:r>
        <w:rPr>
          <w:rFonts w:ascii="仿宋" w:hAnsi="仿宋" w:eastAsia="仿宋"/>
          <w:color w:val="000000"/>
          <w:sz w:val="32"/>
          <w:szCs w:val="32"/>
        </w:rPr>
        <w:t xml:space="preserve"> </w:t>
      </w:r>
    </w:p>
    <w:p>
      <w:pPr>
        <w:pStyle w:val="2"/>
        <w:pageBreakBefore w:val="0"/>
        <w:kinsoku/>
        <w:wordWrap/>
        <w:overflowPunct/>
        <w:topLinePunct w:val="0"/>
        <w:bidi w:val="0"/>
        <w:spacing w:line="640" w:lineRule="exact"/>
        <w:rPr>
          <w:rFonts w:ascii="仿宋" w:hAnsi="仿宋" w:eastAsia="仿宋"/>
          <w:color w:val="000000"/>
          <w:sz w:val="32"/>
          <w:szCs w:val="32"/>
        </w:rPr>
      </w:pPr>
    </w:p>
    <w:p>
      <w:pPr>
        <w:pStyle w:val="2"/>
        <w:pageBreakBefore w:val="0"/>
        <w:kinsoku/>
        <w:wordWrap/>
        <w:overflowPunct/>
        <w:topLinePunct w:val="0"/>
        <w:bidi w:val="0"/>
        <w:spacing w:line="640" w:lineRule="exact"/>
        <w:rPr>
          <w:rFonts w:ascii="仿宋" w:hAnsi="仿宋" w:eastAsia="仿宋"/>
          <w:color w:val="000000"/>
          <w:sz w:val="32"/>
          <w:szCs w:val="32"/>
        </w:rPr>
      </w:pPr>
    </w:p>
    <w:p>
      <w:pPr>
        <w:pStyle w:val="2"/>
        <w:pageBreakBefore w:val="0"/>
        <w:kinsoku/>
        <w:wordWrap/>
        <w:overflowPunct/>
        <w:topLinePunct w:val="0"/>
        <w:bidi w:val="0"/>
        <w:spacing w:line="640" w:lineRule="exact"/>
        <w:rPr>
          <w:rFonts w:ascii="仿宋" w:hAnsi="仿宋" w:eastAsia="仿宋"/>
          <w:color w:val="000000"/>
          <w:sz w:val="32"/>
          <w:szCs w:val="32"/>
        </w:rPr>
      </w:pPr>
    </w:p>
    <w:p>
      <w:pPr>
        <w:pageBreakBefore w:val="0"/>
        <w:kinsoku/>
        <w:wordWrap/>
        <w:overflowPunct/>
        <w:topLinePunct w:val="0"/>
        <w:bidi w:val="0"/>
        <w:spacing w:line="6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drawing>
          <wp:anchor distT="0" distB="0" distL="114300" distR="114300" simplePos="0" relativeHeight="251659264" behindDoc="0" locked="0" layoutInCell="1" allowOverlap="1">
            <wp:simplePos x="0" y="0"/>
            <wp:positionH relativeFrom="column">
              <wp:posOffset>282575</wp:posOffset>
            </wp:positionH>
            <wp:positionV relativeFrom="paragraph">
              <wp:posOffset>227330</wp:posOffset>
            </wp:positionV>
            <wp:extent cx="4443095" cy="2210435"/>
            <wp:effectExtent l="4445" t="4445" r="10160" b="13970"/>
            <wp:wrapTopAndBottom/>
            <wp:docPr id="1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_GB2312" w:hAnsi="仿宋_GB2312" w:eastAsia="仿宋_GB2312" w:cs="仿宋_GB2312"/>
          <w:color w:val="000000"/>
          <w:sz w:val="32"/>
          <w:szCs w:val="32"/>
        </w:rPr>
        <w:t>（图6：一般公共预算财政拨款支出决算结构）（饼状图）</w:t>
      </w:r>
    </w:p>
    <w:p>
      <w:pPr>
        <w:pageBreakBefore w:val="0"/>
        <w:kinsoku/>
        <w:wordWrap/>
        <w:overflowPunct/>
        <w:topLinePunct w:val="0"/>
        <w:bidi w:val="0"/>
        <w:spacing w:line="640" w:lineRule="exact"/>
        <w:ind w:firstLine="640" w:firstLineChars="200"/>
        <w:outlineLvl w:val="2"/>
        <w:rPr>
          <w:rFonts w:hint="eastAsia" w:ascii="楷体_GB2312" w:hAnsi="楷体_GB2312" w:eastAsia="楷体_GB2312" w:cs="楷体_GB2312"/>
          <w:b/>
          <w:color w:val="000000"/>
          <w:sz w:val="32"/>
          <w:szCs w:val="32"/>
        </w:rPr>
      </w:pPr>
      <w:bookmarkStart w:id="89" w:name="_Toc15377212"/>
      <w:r>
        <w:rPr>
          <w:rFonts w:hint="eastAsia" w:ascii="楷体_GB2312" w:hAnsi="楷体_GB2312" w:eastAsia="楷体_GB2312" w:cs="楷体_GB2312"/>
          <w:b/>
          <w:color w:val="000000"/>
          <w:sz w:val="32"/>
          <w:szCs w:val="32"/>
        </w:rPr>
        <w:t>（三）一般公共预算财政拨款支出决算具体情况</w:t>
      </w:r>
      <w:bookmarkEnd w:id="89"/>
    </w:p>
    <w:p>
      <w:pPr>
        <w:pageBreakBefore w:val="0"/>
        <w:kinsoku/>
        <w:wordWrap/>
        <w:overflowPunct/>
        <w:topLinePunct w:val="0"/>
        <w:bidi w:val="0"/>
        <w:spacing w:line="640" w:lineRule="exact"/>
        <w:ind w:firstLine="640" w:firstLineChars="200"/>
        <w:outlineLvl w:val="2"/>
        <w:rPr>
          <w:rFonts w:hint="eastAsia" w:ascii="仿宋_GB2312" w:hAnsi="仿宋_GB2312" w:eastAsia="仿宋_GB2312" w:cs="仿宋_GB2312"/>
          <w:b w:val="0"/>
          <w:bCs/>
          <w:color w:val="FF0000"/>
          <w:sz w:val="32"/>
          <w:szCs w:val="32"/>
        </w:rPr>
      </w:pPr>
      <w:bookmarkStart w:id="90" w:name="_Toc15378460"/>
      <w:bookmarkStart w:id="91" w:name="_Toc15377213"/>
      <w:bookmarkStart w:id="92" w:name="_Toc15377444"/>
      <w:r>
        <w:rPr>
          <w:rFonts w:hint="eastAsia" w:ascii="仿宋_GB2312" w:hAnsi="仿宋_GB2312" w:eastAsia="仿宋_GB2312" w:cs="仿宋_GB2312"/>
          <w:b w:val="0"/>
          <w:bCs/>
          <w:color w:val="000000"/>
          <w:sz w:val="32"/>
          <w:szCs w:val="32"/>
        </w:rPr>
        <w:t>2020年般公共预算支出决算数为11263.58万元，</w:t>
      </w:r>
      <w:r>
        <w:rPr>
          <w:rStyle w:val="16"/>
          <w:rFonts w:hint="eastAsia" w:ascii="仿宋_GB2312" w:hAnsi="仿宋_GB2312" w:eastAsia="仿宋_GB2312" w:cs="仿宋_GB2312"/>
          <w:b w:val="0"/>
          <w:bCs/>
          <w:color w:val="000000"/>
          <w:sz w:val="32"/>
          <w:szCs w:val="32"/>
        </w:rPr>
        <w:t>完成预算88.29%。其中：</w:t>
      </w:r>
      <w:bookmarkEnd w:id="90"/>
      <w:bookmarkEnd w:id="91"/>
      <w:bookmarkEnd w:id="92"/>
    </w:p>
    <w:p>
      <w:pPr>
        <w:pageBreakBefore w:val="0"/>
        <w:kinsoku/>
        <w:wordWrap/>
        <w:overflowPunct/>
        <w:topLinePunct w:val="0"/>
        <w:bidi w:val="0"/>
        <w:spacing w:line="640" w:lineRule="exact"/>
        <w:ind w:firstLine="640" w:firstLineChars="200"/>
        <w:rPr>
          <w:rFonts w:hint="eastAsia" w:ascii="仿宋_GB2312" w:hAnsi="仿宋_GB2312" w:eastAsia="仿宋_GB2312" w:cs="仿宋_GB2312"/>
          <w:b/>
          <w:color w:val="000000"/>
          <w:sz w:val="32"/>
          <w:szCs w:val="32"/>
        </w:rPr>
      </w:pPr>
      <w:r>
        <w:rPr>
          <w:rStyle w:val="16"/>
          <w:rFonts w:hint="eastAsia" w:ascii="仿宋_GB2312" w:hAnsi="仿宋_GB2312" w:eastAsia="仿宋_GB2312" w:cs="仿宋_GB2312"/>
          <w:bCs/>
          <w:color w:val="000000"/>
          <w:sz w:val="32"/>
          <w:szCs w:val="32"/>
        </w:rPr>
        <w:t>1.教育（类）职业教育（款）高等职业教育（项）:</w:t>
      </w:r>
      <w:r>
        <w:rPr>
          <w:rStyle w:val="16"/>
          <w:rFonts w:hint="eastAsia" w:ascii="仿宋_GB2312" w:hAnsi="仿宋_GB2312" w:eastAsia="仿宋_GB2312" w:cs="仿宋_GB2312"/>
          <w:b w:val="0"/>
          <w:bCs/>
          <w:color w:val="000000"/>
          <w:sz w:val="32"/>
          <w:szCs w:val="32"/>
        </w:rPr>
        <w:t xml:space="preserve"> 支出决算为11218.02万元，完成预算88.48%，决算数小于预算数的主要原因是专项项目未使用完。</w:t>
      </w:r>
    </w:p>
    <w:p>
      <w:pPr>
        <w:pageBreakBefore w:val="0"/>
        <w:kinsoku/>
        <w:wordWrap/>
        <w:overflowPunct/>
        <w:topLinePunct w:val="0"/>
        <w:bidi w:val="0"/>
        <w:spacing w:line="640" w:lineRule="exact"/>
        <w:ind w:firstLine="640" w:firstLineChars="200"/>
        <w:rPr>
          <w:rFonts w:hint="eastAsia" w:ascii="仿宋_GB2312" w:hAnsi="仿宋_GB2312" w:eastAsia="仿宋_GB2312" w:cs="仿宋_GB2312"/>
          <w:b/>
          <w:color w:val="000000"/>
          <w:sz w:val="32"/>
          <w:szCs w:val="32"/>
        </w:rPr>
      </w:pPr>
      <w:r>
        <w:rPr>
          <w:rStyle w:val="16"/>
          <w:rFonts w:hint="eastAsia" w:ascii="仿宋_GB2312" w:hAnsi="仿宋_GB2312" w:eastAsia="仿宋_GB2312" w:cs="仿宋_GB2312"/>
          <w:bCs/>
          <w:color w:val="000000"/>
          <w:sz w:val="32"/>
          <w:szCs w:val="32"/>
        </w:rPr>
        <w:t>2.社会保障和就业（类）其他社会保障和就业支出（款）其他社会保障和就业支出（项）:</w:t>
      </w:r>
      <w:r>
        <w:rPr>
          <w:rStyle w:val="16"/>
          <w:rFonts w:hint="eastAsia" w:ascii="仿宋_GB2312" w:hAnsi="仿宋_GB2312" w:eastAsia="仿宋_GB2312" w:cs="仿宋_GB2312"/>
          <w:b w:val="0"/>
          <w:bCs/>
          <w:color w:val="000000"/>
          <w:sz w:val="32"/>
          <w:szCs w:val="32"/>
        </w:rPr>
        <w:t xml:space="preserve"> 支出决算为11.94万元，完成预算100%。</w:t>
      </w:r>
    </w:p>
    <w:p>
      <w:pPr>
        <w:pageBreakBefore w:val="0"/>
        <w:kinsoku/>
        <w:wordWrap/>
        <w:overflowPunct/>
        <w:topLinePunct w:val="0"/>
        <w:bidi w:val="0"/>
        <w:spacing w:line="640" w:lineRule="exact"/>
        <w:ind w:firstLine="640"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3.商业服务业等支出</w:t>
      </w:r>
      <w:r>
        <w:rPr>
          <w:rStyle w:val="16"/>
          <w:rFonts w:hint="eastAsia" w:ascii="仿宋_GB2312" w:hAnsi="仿宋_GB2312" w:eastAsia="仿宋_GB2312" w:cs="仿宋_GB2312"/>
          <w:bCs/>
          <w:color w:val="000000"/>
          <w:sz w:val="32"/>
          <w:szCs w:val="32"/>
        </w:rPr>
        <w:t>（类）商业流通事务（款）其他商业流通事务支出（项）：</w:t>
      </w:r>
      <w:r>
        <w:rPr>
          <w:rStyle w:val="16"/>
          <w:rFonts w:hint="eastAsia" w:ascii="仿宋_GB2312" w:hAnsi="仿宋_GB2312" w:eastAsia="仿宋_GB2312" w:cs="仿宋_GB2312"/>
          <w:b w:val="0"/>
          <w:bCs/>
          <w:color w:val="000000"/>
          <w:sz w:val="32"/>
          <w:szCs w:val="32"/>
        </w:rPr>
        <w:t>支出决算为33.62万元，完成预算50.1%，决算数小于预算数的主要原因是专项资金结余。</w:t>
      </w:r>
    </w:p>
    <w:p>
      <w:pPr>
        <w:pageBreakBefore w:val="0"/>
        <w:tabs>
          <w:tab w:val="right" w:pos="8306"/>
        </w:tabs>
        <w:kinsoku/>
        <w:wordWrap/>
        <w:overflowPunct/>
        <w:topLinePunct w:val="0"/>
        <w:bidi w:val="0"/>
        <w:spacing w:line="640" w:lineRule="exact"/>
        <w:ind w:firstLine="640"/>
        <w:outlineLvl w:val="1"/>
        <w:rPr>
          <w:rStyle w:val="20"/>
        </w:rPr>
      </w:pPr>
      <w:bookmarkStart w:id="93" w:name="_Toc18611"/>
      <w:bookmarkStart w:id="94" w:name="_Toc1076112963_WPSOffice_Level2"/>
      <w:bookmarkStart w:id="95" w:name="_Toc15377214"/>
      <w:bookmarkStart w:id="96" w:name="_Toc15396608"/>
      <w:bookmarkStart w:id="97" w:name="_Toc1744809195_WPSOffice_Level2"/>
      <w:r>
        <w:rPr>
          <w:rStyle w:val="20"/>
          <w:rFonts w:hint="eastAsia" w:ascii="黑体" w:hAnsi="黑体" w:eastAsia="黑体"/>
          <w:b w:val="0"/>
        </w:rPr>
        <w:t>六、一般公共预算财政拨款基本支出决算情况说明</w:t>
      </w:r>
      <w:bookmarkEnd w:id="93"/>
      <w:bookmarkEnd w:id="94"/>
      <w:bookmarkEnd w:id="95"/>
      <w:bookmarkEnd w:id="96"/>
      <w:bookmarkEnd w:id="97"/>
      <w:r>
        <w:rPr>
          <w:rStyle w:val="20"/>
          <w:rFonts w:ascii="黑体" w:hAnsi="黑体" w:eastAsia="黑体"/>
          <w:b w:val="0"/>
        </w:rPr>
        <w:tab/>
      </w:r>
    </w:p>
    <w:p>
      <w:pPr>
        <w:pageBreakBefore w:val="0"/>
        <w:kinsoku/>
        <w:wordWrap/>
        <w:overflowPunct/>
        <w:topLinePunct w:val="0"/>
        <w:bidi w:val="0"/>
        <w:spacing w:line="640" w:lineRule="exact"/>
        <w:ind w:firstLine="645"/>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2020年一般公共预算财政拨款基本支出6915.23万元，</w:t>
      </w:r>
      <w:r>
        <w:rPr>
          <w:rFonts w:hint="eastAsia" w:ascii="仿宋_GB2312" w:hAnsi="仿宋_GB2312" w:eastAsia="仿宋_GB2312" w:cs="仿宋_GB2312"/>
          <w:sz w:val="32"/>
          <w:szCs w:val="32"/>
        </w:rPr>
        <w:t>其中</w:t>
      </w:r>
      <w:r>
        <w:rPr>
          <w:rFonts w:hint="eastAsia" w:ascii="仿宋_GB2312" w:hAnsi="仿宋_GB2312" w:eastAsia="仿宋_GB2312" w:cs="仿宋_GB2312"/>
          <w:color w:val="000000"/>
          <w:sz w:val="32"/>
          <w:szCs w:val="32"/>
        </w:rPr>
        <w:t>：人员经费5978.06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pageBreakBefore w:val="0"/>
        <w:kinsoku/>
        <w:wordWrap/>
        <w:overflowPunct/>
        <w:topLinePunct w:val="0"/>
        <w:bidi w:val="0"/>
        <w:spacing w:line="640" w:lineRule="exact"/>
        <w:ind w:firstLine="645"/>
        <w:rPr>
          <w:rFonts w:ascii="仿宋" w:hAnsi="仿宋" w:eastAsia="仿宋"/>
          <w:b/>
          <w:color w:val="FF0000"/>
          <w:sz w:val="32"/>
          <w:szCs w:val="32"/>
        </w:rPr>
      </w:pPr>
      <w:r>
        <w:rPr>
          <w:rFonts w:hint="eastAsia" w:ascii="仿宋_GB2312" w:hAnsi="仿宋_GB2312" w:eastAsia="仿宋_GB2312" w:cs="仿宋_GB2312"/>
          <w:color w:val="000000"/>
          <w:sz w:val="32"/>
          <w:szCs w:val="32"/>
        </w:rPr>
        <w:t>日常公用经费937.17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ageBreakBefore w:val="0"/>
        <w:kinsoku/>
        <w:wordWrap/>
        <w:overflowPunct/>
        <w:topLinePunct w:val="0"/>
        <w:bidi w:val="0"/>
        <w:spacing w:line="640" w:lineRule="exact"/>
        <w:ind w:firstLine="640"/>
        <w:outlineLvl w:val="1"/>
        <w:rPr>
          <w:rStyle w:val="20"/>
          <w:rFonts w:ascii="黑体" w:hAnsi="黑体" w:eastAsia="黑体"/>
          <w:b w:val="0"/>
        </w:rPr>
      </w:pPr>
      <w:bookmarkStart w:id="98" w:name="_Toc14766"/>
      <w:bookmarkStart w:id="99" w:name="_Toc15396609"/>
      <w:bookmarkStart w:id="100" w:name="_Toc15377215"/>
      <w:bookmarkStart w:id="101" w:name="_Toc561660833_WPSOffice_Level2"/>
      <w:bookmarkStart w:id="102" w:name="_Toc1892992456_WPSOffice_Level2"/>
      <w:r>
        <w:rPr>
          <w:rFonts w:hint="eastAsia" w:ascii="黑体" w:eastAsia="黑体"/>
          <w:color w:val="000000"/>
          <w:sz w:val="32"/>
          <w:szCs w:val="32"/>
        </w:rPr>
        <w:t>七、</w:t>
      </w:r>
      <w:r>
        <w:rPr>
          <w:rStyle w:val="20"/>
          <w:rFonts w:hint="eastAsia" w:ascii="黑体" w:hAnsi="黑体" w:eastAsia="黑体"/>
        </w:rPr>
        <w:t>“</w:t>
      </w:r>
      <w:r>
        <w:rPr>
          <w:rStyle w:val="20"/>
          <w:rFonts w:hint="eastAsia" w:ascii="黑体" w:hAnsi="黑体" w:eastAsia="黑体"/>
          <w:b w:val="0"/>
        </w:rPr>
        <w:t>三公”经费财政拨款支出决算情况说明</w:t>
      </w:r>
      <w:bookmarkEnd w:id="98"/>
      <w:bookmarkEnd w:id="99"/>
      <w:bookmarkEnd w:id="100"/>
      <w:bookmarkEnd w:id="101"/>
      <w:bookmarkEnd w:id="102"/>
    </w:p>
    <w:p>
      <w:pPr>
        <w:pageBreakBefore w:val="0"/>
        <w:kinsoku/>
        <w:wordWrap/>
        <w:overflowPunct/>
        <w:topLinePunct w:val="0"/>
        <w:bidi w:val="0"/>
        <w:spacing w:line="640" w:lineRule="exact"/>
        <w:ind w:firstLine="640" w:firstLineChars="200"/>
        <w:outlineLvl w:val="2"/>
        <w:rPr>
          <w:rFonts w:hint="eastAsia" w:ascii="楷体_GB2312" w:hAnsi="楷体_GB2312" w:eastAsia="楷体_GB2312" w:cs="楷体_GB2312"/>
          <w:b/>
          <w:color w:val="000000"/>
          <w:sz w:val="32"/>
          <w:szCs w:val="32"/>
        </w:rPr>
      </w:pPr>
      <w:bookmarkStart w:id="103" w:name="_Toc15377216"/>
      <w:r>
        <w:rPr>
          <w:rFonts w:hint="eastAsia" w:ascii="楷体_GB2312" w:hAnsi="楷体_GB2312" w:eastAsia="楷体_GB2312" w:cs="楷体_GB2312"/>
          <w:b/>
          <w:color w:val="000000"/>
          <w:sz w:val="32"/>
          <w:szCs w:val="32"/>
        </w:rPr>
        <w:t>（一）“三公”经费财政拨款支出决算总体情况说明</w:t>
      </w:r>
      <w:bookmarkEnd w:id="103"/>
    </w:p>
    <w:p>
      <w:pPr>
        <w:pageBreakBefore w:val="0"/>
        <w:kinsoku/>
        <w:wordWrap/>
        <w:overflowPunct/>
        <w:topLinePunct w:val="0"/>
        <w:bidi w:val="0"/>
        <w:spacing w:line="640" w:lineRule="exact"/>
        <w:ind w:firstLine="640"/>
        <w:rPr>
          <w:rFonts w:hint="eastAsia" w:ascii="仿宋_GB2312" w:hAnsi="仿宋_GB2312" w:eastAsia="仿宋_GB2312" w:cs="仿宋_GB2312"/>
          <w:b/>
          <w:color w:val="FF0000"/>
          <w:sz w:val="32"/>
          <w:szCs w:val="32"/>
        </w:rPr>
      </w:pPr>
      <w:r>
        <w:rPr>
          <w:rFonts w:hint="eastAsia" w:ascii="仿宋_GB2312" w:hAnsi="仿宋_GB2312" w:eastAsia="仿宋_GB2312" w:cs="仿宋_GB2312"/>
          <w:color w:val="000000"/>
          <w:sz w:val="32"/>
          <w:szCs w:val="32"/>
        </w:rPr>
        <w:t>2020年“三公”经费财政拨款支出决算为0万元，完成预算0%，</w:t>
      </w:r>
      <w:r>
        <w:rPr>
          <w:rFonts w:hint="eastAsia" w:ascii="仿宋_GB2312" w:hAnsi="仿宋_GB2312" w:eastAsia="仿宋_GB2312" w:cs="仿宋_GB2312"/>
          <w:sz w:val="32"/>
          <w:szCs w:val="32"/>
        </w:rPr>
        <w:t>决算数小于预算数的主要原因是三公经费全部用专户资金支出</w:t>
      </w:r>
      <w:r>
        <w:rPr>
          <w:rFonts w:hint="eastAsia" w:ascii="仿宋_GB2312" w:hAnsi="仿宋_GB2312" w:eastAsia="仿宋_GB2312" w:cs="仿宋_GB2312"/>
          <w:color w:val="000000"/>
          <w:sz w:val="32"/>
          <w:szCs w:val="32"/>
        </w:rPr>
        <w:t>。</w:t>
      </w:r>
    </w:p>
    <w:p>
      <w:pPr>
        <w:pageBreakBefore w:val="0"/>
        <w:kinsoku/>
        <w:wordWrap/>
        <w:overflowPunct/>
        <w:topLinePunct w:val="0"/>
        <w:bidi w:val="0"/>
        <w:spacing w:line="640" w:lineRule="exact"/>
        <w:ind w:firstLine="640" w:firstLineChars="200"/>
        <w:outlineLvl w:val="2"/>
        <w:rPr>
          <w:rFonts w:hint="eastAsia" w:ascii="楷体_GB2312" w:hAnsi="楷体_GB2312" w:eastAsia="楷体_GB2312" w:cs="楷体_GB2312"/>
          <w:b/>
          <w:color w:val="000000"/>
          <w:sz w:val="32"/>
          <w:szCs w:val="32"/>
        </w:rPr>
      </w:pPr>
      <w:bookmarkStart w:id="104" w:name="_Toc15377217"/>
      <w:r>
        <w:rPr>
          <w:rFonts w:hint="eastAsia" w:ascii="楷体_GB2312" w:hAnsi="楷体_GB2312" w:eastAsia="楷体_GB2312" w:cs="楷体_GB2312"/>
          <w:b/>
          <w:color w:val="000000"/>
          <w:sz w:val="32"/>
          <w:szCs w:val="32"/>
        </w:rPr>
        <w:t>（二）“三公”经费财政拨款支出决算具体情况说明</w:t>
      </w:r>
      <w:bookmarkEnd w:id="104"/>
    </w:p>
    <w:p>
      <w:pPr>
        <w:pageBreakBefore w:val="0"/>
        <w:kinsoku/>
        <w:wordWrap/>
        <w:overflowPunct/>
        <w:topLinePunct w:val="0"/>
        <w:bidi w:val="0"/>
        <w:spacing w:line="64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2020年“三公”经费财政拨款支出决算中，因公出国（境）费支出决算0万元，占0%；公务用车购置及运行维护费支出决算0万元，占0%；公务接待费支出决算0万元，占0%。具体情况如下：</w:t>
      </w:r>
    </w:p>
    <w:p>
      <w:pPr>
        <w:pStyle w:val="2"/>
        <w:rPr>
          <w:rFonts w:hint="eastAsia"/>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ageBreakBefore w:val="0"/>
        <w:widowControl/>
        <w:kinsoku/>
        <w:wordWrap/>
        <w:overflowPunct/>
        <w:topLinePunct w:val="0"/>
        <w:bidi w:val="0"/>
        <w:spacing w:line="6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24"/>
        </w:rPr>
        <w:drawing>
          <wp:anchor distT="0" distB="0" distL="114300" distR="114300" simplePos="0" relativeHeight="251665408" behindDoc="1" locked="0" layoutInCell="1" allowOverlap="1">
            <wp:simplePos x="0" y="0"/>
            <wp:positionH relativeFrom="column">
              <wp:posOffset>581025</wp:posOffset>
            </wp:positionH>
            <wp:positionV relativeFrom="paragraph">
              <wp:posOffset>-2094230</wp:posOffset>
            </wp:positionV>
            <wp:extent cx="4038600" cy="2409825"/>
            <wp:effectExtent l="0" t="0" r="0" b="9525"/>
            <wp:wrapThrough wrapText="bothSides">
              <wp:wrapPolygon>
                <wp:start x="0" y="0"/>
                <wp:lineTo x="0" y="21515"/>
                <wp:lineTo x="21498" y="21515"/>
                <wp:lineTo x="21498" y="0"/>
                <wp:lineTo x="0" y="0"/>
              </wp:wrapPolygon>
            </wp:wrapThrough>
            <wp:docPr id="7" name="图片 3"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3" descr="IMG_256"/>
                    <pic:cNvPicPr>
                      <a:picLocks noChangeAspect="true"/>
                    </pic:cNvPicPr>
                  </pic:nvPicPr>
                  <pic:blipFill>
                    <a:blip r:embed="rId13"/>
                    <a:stretch>
                      <a:fillRect/>
                    </a:stretch>
                  </pic:blipFill>
                  <pic:spPr>
                    <a:xfrm>
                      <a:off x="0" y="0"/>
                      <a:ext cx="4038600" cy="2409825"/>
                    </a:xfrm>
                    <a:prstGeom prst="rect">
                      <a:avLst/>
                    </a:prstGeom>
                    <a:noFill/>
                    <a:ln>
                      <a:noFill/>
                    </a:ln>
                  </pic:spPr>
                </pic:pic>
              </a:graphicData>
            </a:graphic>
          </wp:anchor>
        </w:drawing>
      </w:r>
    </w:p>
    <w:p>
      <w:pPr>
        <w:pageBreakBefore w:val="0"/>
        <w:kinsoku/>
        <w:wordWrap/>
        <w:overflowPunct/>
        <w:topLinePunct w:val="0"/>
        <w:bidi w:val="0"/>
        <w:spacing w:line="64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（图7：“三公”经费财政拨款支出结构）（饼状图）</w:t>
      </w:r>
    </w:p>
    <w:p>
      <w:pPr>
        <w:pageBreakBefore w:val="0"/>
        <w:kinsoku/>
        <w:wordWrap/>
        <w:overflowPunct/>
        <w:topLinePunct w:val="0"/>
        <w:bidi w:val="0"/>
        <w:spacing w:line="640" w:lineRule="exact"/>
        <w:ind w:firstLine="64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1.因公出国（境）经费支出</w:t>
      </w:r>
      <w:r>
        <w:rPr>
          <w:rFonts w:hint="eastAsia" w:ascii="仿宋_GB2312" w:hAnsi="仿宋_GB2312" w:eastAsia="仿宋_GB2312" w:cs="仿宋_GB2312"/>
          <w:color w:val="000000"/>
          <w:sz w:val="32"/>
          <w:szCs w:val="32"/>
        </w:rPr>
        <w:t>0万元，</w:t>
      </w:r>
      <w:r>
        <w:rPr>
          <w:rStyle w:val="16"/>
          <w:rFonts w:hint="eastAsia" w:ascii="仿宋_GB2312" w:hAnsi="仿宋_GB2312" w:eastAsia="仿宋_GB2312" w:cs="仿宋_GB2312"/>
          <w:b w:val="0"/>
          <w:bCs/>
          <w:color w:val="000000"/>
          <w:sz w:val="32"/>
          <w:szCs w:val="32"/>
        </w:rPr>
        <w:t>完成预算0%。</w:t>
      </w:r>
      <w:r>
        <w:rPr>
          <w:rFonts w:hint="eastAsia" w:ascii="仿宋_GB2312" w:hAnsi="仿宋_GB2312" w:eastAsia="仿宋_GB2312" w:cs="仿宋_GB2312"/>
          <w:color w:val="000000"/>
          <w:sz w:val="32"/>
          <w:szCs w:val="32"/>
        </w:rPr>
        <w:t>全年安排因公出国（境）团组0次，出国（境）0人。因公出国（境）支出决算比2019年减少0万元，下降0%。</w:t>
      </w:r>
    </w:p>
    <w:p>
      <w:pPr>
        <w:pageBreakBefore w:val="0"/>
        <w:kinsoku/>
        <w:wordWrap/>
        <w:overflowPunct/>
        <w:topLinePunct w:val="0"/>
        <w:bidi w:val="0"/>
        <w:spacing w:line="640" w:lineRule="exact"/>
        <w:ind w:firstLine="64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2.公务用车购置及运行维护费支出</w:t>
      </w:r>
      <w:r>
        <w:rPr>
          <w:rFonts w:hint="eastAsia" w:ascii="仿宋_GB2312" w:hAnsi="仿宋_GB2312" w:eastAsia="仿宋_GB2312" w:cs="仿宋_GB2312"/>
          <w:color w:val="000000"/>
          <w:sz w:val="32"/>
          <w:szCs w:val="32"/>
        </w:rPr>
        <w:t>0万元,</w:t>
      </w:r>
      <w:r>
        <w:rPr>
          <w:rStyle w:val="16"/>
          <w:rFonts w:hint="eastAsia" w:ascii="仿宋_GB2312" w:hAnsi="仿宋_GB2312" w:eastAsia="仿宋_GB2312" w:cs="仿宋_GB2312"/>
          <w:b w:val="0"/>
          <w:bCs/>
          <w:color w:val="000000"/>
          <w:sz w:val="32"/>
          <w:szCs w:val="32"/>
        </w:rPr>
        <w:t>完成预算0%。</w:t>
      </w:r>
      <w:r>
        <w:rPr>
          <w:rFonts w:hint="eastAsia" w:ascii="仿宋_GB2312" w:hAnsi="仿宋_GB2312" w:eastAsia="仿宋_GB2312" w:cs="仿宋_GB2312"/>
          <w:color w:val="000000"/>
          <w:sz w:val="32"/>
          <w:szCs w:val="32"/>
        </w:rPr>
        <w:t>公务用车购置及运行维护费支出决算比2019年减少0万元，下降0%。</w:t>
      </w:r>
    </w:p>
    <w:p>
      <w:pPr>
        <w:pageBreakBefore w:val="0"/>
        <w:kinsoku/>
        <w:wordWrap/>
        <w:overflowPunct/>
        <w:topLinePunct w:val="0"/>
        <w:bidi w:val="0"/>
        <w:spacing w:line="640" w:lineRule="exact"/>
        <w:ind w:firstLine="640"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其中：</w:t>
      </w:r>
      <w:r>
        <w:rPr>
          <w:rFonts w:hint="eastAsia" w:ascii="仿宋_GB2312" w:hAnsi="仿宋_GB2312" w:eastAsia="仿宋_GB2312" w:cs="仿宋_GB2312"/>
          <w:b/>
          <w:color w:val="000000"/>
          <w:sz w:val="32"/>
          <w:szCs w:val="32"/>
        </w:rPr>
        <w:t>公务用车购置支出</w:t>
      </w:r>
      <w:r>
        <w:rPr>
          <w:rFonts w:hint="eastAsia" w:ascii="仿宋_GB2312" w:hAnsi="仿宋_GB2312" w:eastAsia="仿宋_GB2312" w:cs="仿宋_GB2312"/>
          <w:color w:val="000000"/>
          <w:sz w:val="32"/>
          <w:szCs w:val="32"/>
        </w:rPr>
        <w:t>0万元。全年按规定更新购置公务用车0辆，其中：轿车0辆、金额0万元，越野车0辆、金额0万元，载客汽车0辆、金额0万元。截至2020年12月底，单位共有公务用车9辆，其中：轿车3辆、越野车0辆、载客汽车6辆。</w:t>
      </w:r>
    </w:p>
    <w:p>
      <w:pPr>
        <w:pageBreakBefore w:val="0"/>
        <w:kinsoku/>
        <w:wordWrap/>
        <w:overflowPunct/>
        <w:topLinePunct w:val="0"/>
        <w:bidi w:val="0"/>
        <w:spacing w:line="64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公务用车运行维护费支出</w:t>
      </w:r>
      <w:r>
        <w:rPr>
          <w:rFonts w:hint="eastAsia" w:ascii="仿宋_GB2312" w:hAnsi="仿宋_GB2312" w:eastAsia="仿宋_GB2312" w:cs="仿宋_GB2312"/>
          <w:color w:val="000000"/>
          <w:sz w:val="32"/>
          <w:szCs w:val="32"/>
        </w:rPr>
        <w:t>0万元。</w:t>
      </w:r>
    </w:p>
    <w:p>
      <w:pPr>
        <w:pageBreakBefore w:val="0"/>
        <w:kinsoku/>
        <w:wordWrap/>
        <w:overflowPunct/>
        <w:topLinePunct w:val="0"/>
        <w:bidi w:val="0"/>
        <w:spacing w:line="64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3.公务接待费支出</w:t>
      </w:r>
      <w:r>
        <w:rPr>
          <w:rFonts w:hint="eastAsia" w:ascii="仿宋_GB2312" w:hAnsi="仿宋_GB2312" w:eastAsia="仿宋_GB2312" w:cs="仿宋_GB2312"/>
          <w:color w:val="000000"/>
          <w:sz w:val="32"/>
          <w:szCs w:val="32"/>
        </w:rPr>
        <w:t>0万元，</w:t>
      </w:r>
      <w:r>
        <w:rPr>
          <w:rStyle w:val="16"/>
          <w:rFonts w:hint="eastAsia" w:ascii="仿宋_GB2312" w:hAnsi="仿宋_GB2312" w:eastAsia="仿宋_GB2312" w:cs="仿宋_GB2312"/>
          <w:b w:val="0"/>
          <w:bCs/>
          <w:color w:val="000000"/>
          <w:sz w:val="32"/>
          <w:szCs w:val="32"/>
        </w:rPr>
        <w:t>完成预算0%。</w:t>
      </w:r>
      <w:r>
        <w:rPr>
          <w:rFonts w:hint="eastAsia" w:ascii="仿宋_GB2312" w:hAnsi="仿宋_GB2312" w:eastAsia="仿宋_GB2312" w:cs="仿宋_GB2312"/>
          <w:color w:val="000000"/>
          <w:sz w:val="32"/>
          <w:szCs w:val="32"/>
        </w:rPr>
        <w:t>公务接待费支出决算比2019年减少0万元，下降0%。</w:t>
      </w:r>
    </w:p>
    <w:p>
      <w:pPr>
        <w:pageBreakBefore w:val="0"/>
        <w:kinsoku/>
        <w:wordWrap/>
        <w:overflowPunct/>
        <w:topLinePunct w:val="0"/>
        <w:bidi w:val="0"/>
        <w:spacing w:line="64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国内公务接待支出</w:t>
      </w:r>
      <w:r>
        <w:rPr>
          <w:rFonts w:hint="eastAsia" w:ascii="仿宋_GB2312" w:hAnsi="仿宋_GB2312" w:eastAsia="仿宋_GB2312" w:cs="仿宋_GB2312"/>
          <w:color w:val="000000"/>
          <w:sz w:val="32"/>
          <w:szCs w:val="32"/>
        </w:rPr>
        <w:t>0万元。国内公务接待0批次，0人次（不包括陪同人员），共计支出0万元。</w:t>
      </w:r>
    </w:p>
    <w:p>
      <w:pPr>
        <w:pageBreakBefore w:val="0"/>
        <w:kinsoku/>
        <w:wordWrap/>
        <w:overflowPunct/>
        <w:topLinePunct w:val="0"/>
        <w:bidi w:val="0"/>
        <w:spacing w:line="6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外事接待支出</w:t>
      </w:r>
      <w:r>
        <w:rPr>
          <w:rFonts w:hint="eastAsia" w:ascii="仿宋_GB2312" w:hAnsi="仿宋_GB2312" w:eastAsia="仿宋_GB2312" w:cs="仿宋_GB2312"/>
          <w:color w:val="000000"/>
          <w:sz w:val="32"/>
          <w:szCs w:val="32"/>
        </w:rPr>
        <w:t>0万元，外事接待0批次，0人，共计支出0万元。</w:t>
      </w:r>
      <w:bookmarkStart w:id="105" w:name="_Toc15396610"/>
      <w:bookmarkStart w:id="106" w:name="_Toc15377218"/>
    </w:p>
    <w:p>
      <w:pPr>
        <w:pageBreakBefore w:val="0"/>
        <w:kinsoku/>
        <w:wordWrap/>
        <w:overflowPunct/>
        <w:topLinePunct w:val="0"/>
        <w:bidi w:val="0"/>
        <w:spacing w:line="640" w:lineRule="exact"/>
        <w:ind w:firstLine="640"/>
        <w:outlineLvl w:val="1"/>
        <w:rPr>
          <w:rStyle w:val="20"/>
          <w:rFonts w:ascii="黑体" w:hAnsi="黑体" w:eastAsia="黑体"/>
        </w:rPr>
      </w:pPr>
      <w:bookmarkStart w:id="107" w:name="_Toc6011"/>
      <w:bookmarkStart w:id="108" w:name="_Toc2006417116_WPSOffice_Level2"/>
      <w:bookmarkStart w:id="109" w:name="_Toc1553575345_WPSOffice_Level2"/>
      <w:r>
        <w:rPr>
          <w:rFonts w:hint="eastAsia" w:ascii="黑体" w:eastAsia="黑体"/>
          <w:color w:val="000000"/>
          <w:sz w:val="32"/>
          <w:szCs w:val="32"/>
        </w:rPr>
        <w:t>八、</w:t>
      </w:r>
      <w:r>
        <w:rPr>
          <w:rStyle w:val="20"/>
          <w:rFonts w:hint="eastAsia" w:ascii="黑体" w:hAnsi="黑体" w:eastAsia="黑体"/>
          <w:b w:val="0"/>
        </w:rPr>
        <w:t>政府性基金预算支出决算情况说明</w:t>
      </w:r>
      <w:bookmarkEnd w:id="105"/>
      <w:bookmarkEnd w:id="106"/>
      <w:bookmarkEnd w:id="107"/>
      <w:bookmarkEnd w:id="108"/>
      <w:bookmarkEnd w:id="109"/>
    </w:p>
    <w:p>
      <w:pPr>
        <w:pageBreakBefore w:val="0"/>
        <w:kinsoku/>
        <w:wordWrap/>
        <w:overflowPunct/>
        <w:topLinePunct w:val="0"/>
        <w:bidi w:val="0"/>
        <w:spacing w:line="64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年政府性基金预算拨款支出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pageBreakBefore w:val="0"/>
        <w:numPr>
          <w:ilvl w:val="0"/>
          <w:numId w:val="1"/>
        </w:numPr>
        <w:kinsoku/>
        <w:wordWrap/>
        <w:overflowPunct/>
        <w:topLinePunct w:val="0"/>
        <w:bidi w:val="0"/>
        <w:spacing w:line="640" w:lineRule="exact"/>
        <w:ind w:firstLine="640"/>
        <w:outlineLvl w:val="1"/>
        <w:rPr>
          <w:rStyle w:val="20"/>
          <w:rFonts w:ascii="黑体" w:hAnsi="黑体" w:eastAsia="黑体"/>
          <w:b w:val="0"/>
        </w:rPr>
      </w:pPr>
      <w:bookmarkStart w:id="110" w:name="_Toc1187470462_WPSOffice_Level2"/>
      <w:bookmarkStart w:id="111" w:name="_Toc15377219"/>
      <w:bookmarkStart w:id="112" w:name="_Toc4813"/>
      <w:bookmarkStart w:id="113" w:name="_Toc15396611"/>
      <w:bookmarkStart w:id="114" w:name="_Toc1406535141_WPSOffice_Level2"/>
      <w:r>
        <w:rPr>
          <w:rStyle w:val="20"/>
          <w:rFonts w:hint="eastAsia" w:ascii="黑体" w:hAnsi="黑体" w:eastAsia="黑体"/>
          <w:b w:val="0"/>
        </w:rPr>
        <w:t>国有资本经营预算支出决算情况说明</w:t>
      </w:r>
      <w:bookmarkEnd w:id="110"/>
      <w:bookmarkEnd w:id="111"/>
      <w:bookmarkEnd w:id="112"/>
      <w:bookmarkEnd w:id="113"/>
      <w:bookmarkEnd w:id="114"/>
    </w:p>
    <w:p>
      <w:pPr>
        <w:pageBreakBefore w:val="0"/>
        <w:kinsoku/>
        <w:wordWrap/>
        <w:overflowPunct/>
        <w:topLinePunct w:val="0"/>
        <w:bidi w:val="0"/>
        <w:spacing w:line="64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2020</w:t>
      </w:r>
      <w:r>
        <w:rPr>
          <w:rFonts w:hint="eastAsia" w:ascii="仿宋_GB2312" w:eastAsia="仿宋_GB2312"/>
          <w:color w:val="000000"/>
          <w:sz w:val="32"/>
          <w:szCs w:val="32"/>
        </w:rPr>
        <w:t>年国有资本经营预算拨款支出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pageBreakBefore w:val="0"/>
        <w:numPr>
          <w:ilvl w:val="0"/>
          <w:numId w:val="1"/>
        </w:numPr>
        <w:kinsoku/>
        <w:wordWrap/>
        <w:overflowPunct/>
        <w:topLinePunct w:val="0"/>
        <w:bidi w:val="0"/>
        <w:spacing w:line="640" w:lineRule="exact"/>
        <w:ind w:firstLine="640"/>
        <w:outlineLvl w:val="1"/>
        <w:rPr>
          <w:rStyle w:val="20"/>
          <w:rFonts w:ascii="黑体" w:hAnsi="黑体" w:eastAsia="黑体"/>
          <w:b w:val="0"/>
        </w:rPr>
      </w:pPr>
      <w:bookmarkStart w:id="115" w:name="_Toc108369148_WPSOffice_Level2"/>
      <w:bookmarkStart w:id="116" w:name="_Toc15396612"/>
      <w:bookmarkStart w:id="117" w:name="_Toc11739"/>
      <w:bookmarkStart w:id="118" w:name="_Toc15377221"/>
      <w:bookmarkStart w:id="119" w:name="_Toc664946531_WPSOffice_Level2"/>
      <w:r>
        <w:rPr>
          <w:rStyle w:val="20"/>
          <w:rFonts w:hint="eastAsia" w:ascii="黑体" w:hAnsi="黑体" w:eastAsia="黑体"/>
          <w:b w:val="0"/>
        </w:rPr>
        <w:t>其他重要事项的情况说明</w:t>
      </w:r>
      <w:bookmarkEnd w:id="115"/>
      <w:bookmarkEnd w:id="116"/>
      <w:bookmarkEnd w:id="117"/>
      <w:bookmarkEnd w:id="118"/>
      <w:bookmarkEnd w:id="119"/>
    </w:p>
    <w:p>
      <w:pPr>
        <w:pageBreakBefore w:val="0"/>
        <w:kinsoku/>
        <w:wordWrap/>
        <w:overflowPunct/>
        <w:topLinePunct w:val="0"/>
        <w:bidi w:val="0"/>
        <w:spacing w:line="640" w:lineRule="exact"/>
        <w:ind w:firstLine="640" w:firstLineChars="200"/>
        <w:outlineLvl w:val="2"/>
        <w:rPr>
          <w:rFonts w:hint="eastAsia" w:ascii="楷体_GB2312" w:hAnsi="楷体_GB2312" w:eastAsia="楷体_GB2312" w:cs="楷体_GB2312"/>
          <w:b/>
          <w:color w:val="000000"/>
          <w:sz w:val="32"/>
          <w:szCs w:val="32"/>
        </w:rPr>
      </w:pPr>
      <w:bookmarkStart w:id="120" w:name="_Toc15377222"/>
      <w:r>
        <w:rPr>
          <w:rFonts w:hint="eastAsia" w:ascii="楷体_GB2312" w:hAnsi="楷体_GB2312" w:eastAsia="楷体_GB2312" w:cs="楷体_GB2312"/>
          <w:b/>
          <w:color w:val="000000"/>
          <w:sz w:val="32"/>
          <w:szCs w:val="32"/>
        </w:rPr>
        <w:t>（一）机关运行经费支出情况</w:t>
      </w:r>
      <w:bookmarkEnd w:id="120"/>
    </w:p>
    <w:p>
      <w:pPr>
        <w:pageBreakBefore w:val="0"/>
        <w:kinsoku/>
        <w:wordWrap/>
        <w:overflowPunct/>
        <w:topLinePunct w:val="0"/>
        <w:bidi w:val="0"/>
        <w:spacing w:line="6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四川商务职业学院为事业单位，无机关运行经费。</w:t>
      </w:r>
    </w:p>
    <w:p>
      <w:pPr>
        <w:pageBreakBefore w:val="0"/>
        <w:kinsoku/>
        <w:wordWrap/>
        <w:overflowPunct/>
        <w:topLinePunct w:val="0"/>
        <w:bidi w:val="0"/>
        <w:spacing w:line="640" w:lineRule="exact"/>
        <w:ind w:firstLine="640" w:firstLineChars="200"/>
        <w:outlineLvl w:val="2"/>
        <w:rPr>
          <w:rFonts w:hint="eastAsia" w:ascii="楷体_GB2312" w:hAnsi="楷体_GB2312" w:eastAsia="楷体_GB2312" w:cs="楷体_GB2312"/>
          <w:b/>
          <w:color w:val="000000"/>
          <w:sz w:val="32"/>
          <w:szCs w:val="32"/>
        </w:rPr>
      </w:pPr>
      <w:bookmarkStart w:id="121" w:name="_Toc15377223"/>
      <w:r>
        <w:rPr>
          <w:rFonts w:hint="eastAsia" w:ascii="楷体_GB2312" w:hAnsi="楷体_GB2312" w:eastAsia="楷体_GB2312" w:cs="楷体_GB2312"/>
          <w:b/>
          <w:color w:val="000000"/>
          <w:sz w:val="32"/>
          <w:szCs w:val="32"/>
        </w:rPr>
        <w:t>（二）政府采购支出情况</w:t>
      </w:r>
      <w:bookmarkEnd w:id="121"/>
    </w:p>
    <w:p>
      <w:pPr>
        <w:pageBreakBefore w:val="0"/>
        <w:kinsoku/>
        <w:wordWrap/>
        <w:overflowPunct/>
        <w:topLinePunct w:val="0"/>
        <w:bidi w:val="0"/>
        <w:spacing w:line="640" w:lineRule="exact"/>
        <w:ind w:firstLine="640" w:firstLineChars="20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年，四川商务职业学院政府采购支出总额</w:t>
      </w:r>
      <w:r>
        <w:rPr>
          <w:rFonts w:ascii="仿宋_GB2312" w:eastAsia="仿宋_GB2312"/>
          <w:color w:val="000000"/>
          <w:sz w:val="32"/>
          <w:szCs w:val="32"/>
        </w:rPr>
        <w:t>2063.97</w:t>
      </w:r>
      <w:r>
        <w:rPr>
          <w:rFonts w:hint="eastAsia" w:ascii="仿宋_GB2312" w:eastAsia="仿宋_GB2312"/>
          <w:color w:val="000000"/>
          <w:sz w:val="32"/>
          <w:szCs w:val="32"/>
        </w:rPr>
        <w:t>万元，其中：政府采购货物支出</w:t>
      </w:r>
      <w:r>
        <w:rPr>
          <w:rFonts w:ascii="仿宋_GB2312" w:eastAsia="仿宋_GB2312"/>
          <w:color w:val="000000"/>
          <w:sz w:val="32"/>
          <w:szCs w:val="32"/>
        </w:rPr>
        <w:t>1593.02</w:t>
      </w:r>
      <w:r>
        <w:rPr>
          <w:rFonts w:hint="eastAsia" w:ascii="仿宋_GB2312" w:eastAsia="仿宋_GB2312"/>
          <w:color w:val="000000"/>
          <w:sz w:val="32"/>
          <w:szCs w:val="32"/>
        </w:rPr>
        <w:t>万元、政府采购工程支出</w:t>
      </w:r>
      <w:r>
        <w:rPr>
          <w:rFonts w:ascii="仿宋_GB2312" w:eastAsia="仿宋_GB2312"/>
          <w:color w:val="000000"/>
          <w:sz w:val="32"/>
          <w:szCs w:val="32"/>
        </w:rPr>
        <w:t>263.73</w:t>
      </w:r>
      <w:r>
        <w:rPr>
          <w:rFonts w:hint="eastAsia" w:ascii="仿宋_GB2312" w:eastAsia="仿宋_GB2312"/>
          <w:color w:val="000000"/>
          <w:sz w:val="32"/>
          <w:szCs w:val="32"/>
        </w:rPr>
        <w:t>万元、政府采购服务支出</w:t>
      </w:r>
      <w:r>
        <w:rPr>
          <w:rFonts w:ascii="仿宋_GB2312" w:eastAsia="仿宋_GB2312"/>
          <w:color w:val="000000"/>
          <w:sz w:val="32"/>
          <w:szCs w:val="32"/>
        </w:rPr>
        <w:t>207.22</w:t>
      </w:r>
      <w:r>
        <w:rPr>
          <w:rFonts w:hint="eastAsia" w:ascii="仿宋_GB2312" w:eastAsia="仿宋_GB2312"/>
          <w:color w:val="000000"/>
          <w:sz w:val="32"/>
          <w:szCs w:val="32"/>
        </w:rPr>
        <w:t>万元。主要用于教学设备购置、消防及维修工程、物业管理服务及印刷服务、车辆运维服务等。授予中小企业合同金额</w:t>
      </w:r>
      <w:r>
        <w:rPr>
          <w:rFonts w:ascii="仿宋_GB2312" w:eastAsia="仿宋_GB2312"/>
          <w:color w:val="000000"/>
          <w:sz w:val="32"/>
          <w:szCs w:val="32"/>
        </w:rPr>
        <w:t>1860.89</w:t>
      </w:r>
      <w:r>
        <w:rPr>
          <w:rFonts w:hint="eastAsia" w:ascii="仿宋_GB2312" w:eastAsia="仿宋_GB2312"/>
          <w:color w:val="000000"/>
          <w:sz w:val="32"/>
          <w:szCs w:val="32"/>
        </w:rPr>
        <w:t>万元，占政府采购支出总额的</w:t>
      </w:r>
      <w:r>
        <w:rPr>
          <w:rFonts w:ascii="仿宋_GB2312" w:eastAsia="仿宋_GB2312"/>
          <w:color w:val="000000"/>
          <w:sz w:val="32"/>
          <w:szCs w:val="32"/>
        </w:rPr>
        <w:t>90.16%</w:t>
      </w:r>
      <w:r>
        <w:rPr>
          <w:rFonts w:hint="eastAsia" w:ascii="仿宋_GB2312" w:eastAsia="仿宋_GB2312"/>
          <w:color w:val="000000"/>
          <w:sz w:val="32"/>
          <w:szCs w:val="32"/>
        </w:rPr>
        <w:t>，其中：授予小微企业合同金额</w:t>
      </w:r>
      <w:r>
        <w:rPr>
          <w:rFonts w:ascii="仿宋_GB2312" w:eastAsia="仿宋_GB2312"/>
          <w:color w:val="000000"/>
          <w:sz w:val="32"/>
          <w:szCs w:val="32"/>
        </w:rPr>
        <w:t>212.4</w:t>
      </w:r>
      <w:r>
        <w:rPr>
          <w:rFonts w:hint="eastAsia" w:ascii="仿宋_GB2312" w:eastAsia="仿宋_GB2312"/>
          <w:color w:val="000000"/>
          <w:sz w:val="32"/>
          <w:szCs w:val="32"/>
        </w:rPr>
        <w:t>万元，占政府采购支出总额的</w:t>
      </w:r>
      <w:r>
        <w:rPr>
          <w:rFonts w:ascii="仿宋_GB2312" w:eastAsia="仿宋_GB2312"/>
          <w:color w:val="000000"/>
          <w:sz w:val="32"/>
          <w:szCs w:val="32"/>
        </w:rPr>
        <w:t>10.29%</w:t>
      </w:r>
      <w:r>
        <w:rPr>
          <w:rFonts w:hint="eastAsia" w:ascii="仿宋_GB2312" w:eastAsia="仿宋_GB2312"/>
          <w:color w:val="000000"/>
          <w:sz w:val="32"/>
          <w:szCs w:val="32"/>
        </w:rPr>
        <w:t>。</w:t>
      </w:r>
    </w:p>
    <w:p>
      <w:pPr>
        <w:pageBreakBefore w:val="0"/>
        <w:kinsoku/>
        <w:wordWrap/>
        <w:overflowPunct/>
        <w:topLinePunct w:val="0"/>
        <w:bidi w:val="0"/>
        <w:spacing w:line="640" w:lineRule="exact"/>
        <w:ind w:firstLine="640" w:firstLineChars="200"/>
        <w:outlineLvl w:val="2"/>
        <w:rPr>
          <w:rFonts w:hint="eastAsia" w:ascii="楷体_GB2312" w:hAnsi="楷体_GB2312" w:eastAsia="楷体_GB2312" w:cs="楷体_GB2312"/>
          <w:b/>
          <w:color w:val="000000"/>
          <w:sz w:val="32"/>
          <w:szCs w:val="32"/>
        </w:rPr>
      </w:pPr>
      <w:bookmarkStart w:id="122" w:name="_Toc15377224"/>
      <w:r>
        <w:rPr>
          <w:rFonts w:hint="eastAsia" w:ascii="楷体_GB2312" w:hAnsi="楷体_GB2312" w:eastAsia="楷体_GB2312" w:cs="楷体_GB2312"/>
          <w:b/>
          <w:color w:val="000000"/>
          <w:sz w:val="32"/>
          <w:szCs w:val="32"/>
        </w:rPr>
        <w:t>（三）国有资产占有使用情况</w:t>
      </w:r>
      <w:bookmarkEnd w:id="122"/>
    </w:p>
    <w:p>
      <w:pPr>
        <w:pageBreakBefore w:val="0"/>
        <w:kinsoku/>
        <w:wordWrap/>
        <w:overflowPunct/>
        <w:topLinePunct w:val="0"/>
        <w:autoSpaceDE w:val="0"/>
        <w:autoSpaceDN w:val="0"/>
        <w:bidi w:val="0"/>
        <w:adjustRightInd w:val="0"/>
        <w:spacing w:line="64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日，四川商务职业学院共有车辆</w:t>
      </w:r>
      <w:r>
        <w:rPr>
          <w:rFonts w:ascii="仿宋_GB2312" w:eastAsia="仿宋_GB2312"/>
          <w:color w:val="000000"/>
          <w:sz w:val="32"/>
          <w:szCs w:val="32"/>
        </w:rPr>
        <w:t>9</w:t>
      </w:r>
      <w:r>
        <w:rPr>
          <w:rFonts w:hint="eastAsia" w:ascii="仿宋_GB2312" w:eastAsia="仿宋_GB2312"/>
          <w:color w:val="000000"/>
          <w:sz w:val="32"/>
          <w:szCs w:val="32"/>
        </w:rPr>
        <w:t>辆，其中：主要领导干部用车</w:t>
      </w:r>
      <w:r>
        <w:rPr>
          <w:rFonts w:ascii="仿宋_GB2312" w:eastAsia="仿宋_GB2312"/>
          <w:color w:val="000000"/>
          <w:sz w:val="32"/>
          <w:szCs w:val="32"/>
        </w:rPr>
        <w:t>0</w:t>
      </w:r>
      <w:r>
        <w:rPr>
          <w:rFonts w:hint="eastAsia" w:ascii="仿宋_GB2312" w:eastAsia="仿宋_GB2312"/>
          <w:color w:val="000000"/>
          <w:sz w:val="32"/>
          <w:szCs w:val="32"/>
        </w:rPr>
        <w:t>辆、机要通信用车</w:t>
      </w:r>
      <w:r>
        <w:rPr>
          <w:rFonts w:ascii="仿宋_GB2312" w:eastAsia="仿宋_GB2312"/>
          <w:color w:val="000000"/>
          <w:sz w:val="32"/>
          <w:szCs w:val="32"/>
        </w:rPr>
        <w:t>0</w:t>
      </w:r>
      <w:r>
        <w:rPr>
          <w:rFonts w:hint="eastAsia" w:ascii="仿宋_GB2312" w:eastAsia="仿宋_GB2312"/>
          <w:color w:val="000000"/>
          <w:sz w:val="32"/>
          <w:szCs w:val="32"/>
        </w:rPr>
        <w:t>辆、应急保障用车</w:t>
      </w:r>
      <w:r>
        <w:rPr>
          <w:rFonts w:ascii="仿宋_GB2312" w:eastAsia="仿宋_GB2312"/>
          <w:color w:val="000000"/>
          <w:sz w:val="32"/>
          <w:szCs w:val="32"/>
        </w:rPr>
        <w:t>1</w:t>
      </w:r>
      <w:r>
        <w:rPr>
          <w:rFonts w:hint="eastAsia" w:ascii="仿宋_GB2312" w:eastAsia="仿宋_GB2312"/>
          <w:color w:val="000000"/>
          <w:sz w:val="32"/>
          <w:szCs w:val="32"/>
        </w:rPr>
        <w:t>辆、其他用车</w:t>
      </w:r>
      <w:r>
        <w:rPr>
          <w:rFonts w:ascii="仿宋_GB2312" w:eastAsia="仿宋_GB2312"/>
          <w:color w:val="000000"/>
          <w:sz w:val="32"/>
          <w:szCs w:val="32"/>
        </w:rPr>
        <w:t>8</w:t>
      </w:r>
      <w:r>
        <w:rPr>
          <w:rFonts w:hint="eastAsia" w:ascii="仿宋_GB2312" w:eastAsia="仿宋_GB2312"/>
          <w:color w:val="000000"/>
          <w:sz w:val="32"/>
          <w:szCs w:val="32"/>
        </w:rPr>
        <w:t>辆。其他用车主要是用于教职工交通车及学生活动用车。单价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ascii="仿宋_GB2312" w:eastAsia="仿宋_GB2312"/>
          <w:color w:val="000000"/>
          <w:sz w:val="32"/>
          <w:szCs w:val="32"/>
        </w:rPr>
        <w:t>5</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ascii="仿宋_GB2312" w:eastAsia="仿宋_GB2312"/>
          <w:color w:val="000000"/>
          <w:sz w:val="32"/>
          <w:szCs w:val="32"/>
        </w:rPr>
        <w:t>0</w:t>
      </w:r>
      <w:r>
        <w:rPr>
          <w:rFonts w:hint="eastAsia" w:ascii="仿宋_GB2312" w:eastAsia="仿宋_GB2312"/>
          <w:color w:val="000000"/>
          <w:sz w:val="32"/>
          <w:szCs w:val="32"/>
        </w:rPr>
        <w:t>台（套）。</w:t>
      </w:r>
    </w:p>
    <w:p>
      <w:pPr>
        <w:pageBreakBefore w:val="0"/>
        <w:kinsoku/>
        <w:wordWrap/>
        <w:overflowPunct/>
        <w:topLinePunct w:val="0"/>
        <w:bidi w:val="0"/>
        <w:spacing w:line="640" w:lineRule="exact"/>
        <w:ind w:firstLine="640" w:firstLineChars="200"/>
        <w:outlineLvl w:val="2"/>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（四）预算绩效管理情况</w:t>
      </w:r>
    </w:p>
    <w:p>
      <w:pPr>
        <w:pageBreakBefore w:val="0"/>
        <w:kinsoku/>
        <w:wordWrap/>
        <w:overflowPunct/>
        <w:topLinePunct w:val="0"/>
        <w:bidi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年度预算编制阶段，组织对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年学生资助经费、运动场建设、设备购置经费三个项目开展了预算事前绩效评估，对</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个项目开展了绩效目标完成情况自评。</w:t>
      </w:r>
    </w:p>
    <w:p>
      <w:pPr>
        <w:pageBreakBefore w:val="0"/>
        <w:kinsoku/>
        <w:wordWrap/>
        <w:overflowPunct/>
        <w:topLinePunct w:val="0"/>
        <w:bidi w:val="0"/>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年部门整体支出开展绩效自评，从评价情况来看我单位</w:t>
      </w:r>
      <w:r>
        <w:rPr>
          <w:rFonts w:ascii="仿宋_GB2312" w:hAnsi="仿宋" w:eastAsia="仿宋_GB2312" w:cs="仿宋"/>
          <w:sz w:val="32"/>
          <w:szCs w:val="32"/>
        </w:rPr>
        <w:t>2020</w:t>
      </w:r>
      <w:r>
        <w:rPr>
          <w:rFonts w:hint="eastAsia" w:ascii="仿宋_GB2312" w:hAnsi="仿宋" w:eastAsia="仿宋_GB2312" w:cs="仿宋"/>
          <w:sz w:val="32"/>
          <w:szCs w:val="32"/>
        </w:rPr>
        <w:t>年严格按照财政厅预算绩效管理有关要求，按时、按质编制完成部门预算、科学设置绩效目标，一次性通过绩效目标审查，且按财政下达预算再编制各部门的二级预算并启用内控信息化对预算进行事前、事中及事后控制。及时按照财政厅要求进行绩效监控。节能降耗效果较好，严格执行“三公经费”、政府采购预算，资产管理规范，内控制度健全。及时公开预算和决算、依法接受财政监督，部门职责履行结果很好，服务对象较为满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sz w:val="32"/>
          <w:szCs w:val="32"/>
        </w:rPr>
        <w:t>本单位</w:t>
      </w:r>
      <w:r>
        <w:rPr>
          <w:rFonts w:hint="eastAsia" w:ascii="仿宋_GB2312" w:hAnsi="仿宋_GB2312" w:eastAsia="仿宋_GB2312" w:cs="仿宋_GB2312"/>
          <w:color w:val="auto"/>
          <w:sz w:val="32"/>
          <w:szCs w:val="32"/>
        </w:rPr>
        <w:t>还自行组织了</w:t>
      </w:r>
      <w:r>
        <w:rPr>
          <w:rFonts w:ascii="仿宋_GB2312" w:hAnsi="仿宋_GB2312" w:eastAsia="仿宋_GB2312" w:cs="仿宋_GB2312"/>
          <w:color w:val="auto"/>
          <w:sz w:val="32"/>
          <w:szCs w:val="32"/>
        </w:rPr>
        <w:t>15</w:t>
      </w:r>
      <w:r>
        <w:rPr>
          <w:rFonts w:hint="eastAsia" w:ascii="仿宋_GB2312" w:hAnsi="仿宋_GB2312" w:eastAsia="仿宋_GB2312" w:cs="仿宋_GB2312"/>
          <w:color w:val="auto"/>
          <w:sz w:val="32"/>
          <w:szCs w:val="32"/>
        </w:rPr>
        <w:t>个项目支出绩效评价，从</w:t>
      </w:r>
      <w:r>
        <w:rPr>
          <w:rFonts w:hint="eastAsia" w:ascii="仿宋_GB2312" w:hAnsi="仿宋_GB2312" w:eastAsia="仿宋_GB2312" w:cs="仿宋_GB2312"/>
          <w:sz w:val="32"/>
          <w:szCs w:val="32"/>
        </w:rPr>
        <w:t>评价情况来看项目资金使用基本符合规定，达到预定绩效目标。</w:t>
      </w:r>
    </w:p>
    <w:p>
      <w:pPr>
        <w:pageBreakBefore w:val="0"/>
        <w:kinsoku/>
        <w:wordWrap/>
        <w:overflowPunct/>
        <w:topLinePunct w:val="0"/>
        <w:bidi w:val="0"/>
        <w:spacing w:line="64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1.项目绩效目标完成情况。</w:t>
      </w:r>
    </w:p>
    <w:p>
      <w:pPr>
        <w:pageBreakBefore w:val="0"/>
        <w:kinsoku/>
        <w:wordWrap/>
        <w:overflowPunct/>
        <w:topLinePunct w:val="0"/>
        <w:bidi w:val="0"/>
        <w:spacing w:line="6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本单位在2020年度部门决算中反映“2020年学资助经费””两校区维修”“两校区消防工程”等5个项目绩效目标实际完成情况。</w:t>
      </w:r>
    </w:p>
    <w:p>
      <w:pPr>
        <w:pageBreakBefore w:val="0"/>
        <w:kinsoku/>
        <w:wordWrap/>
        <w:overflowPunct/>
        <w:topLinePunct w:val="0"/>
        <w:bidi w:val="0"/>
        <w:spacing w:line="640" w:lineRule="exact"/>
        <w:ind w:firstLine="640" w:firstLineChars="200"/>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sz w:val="32"/>
          <w:szCs w:val="32"/>
        </w:rPr>
        <w:t xml:space="preserve">2020年学生资助经费项目绩效目标完成情况综述。项目全年预算数1123万元，执行数为1123万元，完成预算的100%。通过项目实施，缓解了家庭经济困难学生的上学压力，确保困难学生可以正常完成学业。同时，通过奖学金的形式，对优秀学生进行奖励，在学生中树立榜样，有助于良好学风的形成。该项目在扶贫的同时通过诚信、感恩、励志等活动的开展，对学生进行扶志，实现了资助育人的目的。发现的主要问题：对大一新入校学生家庭经济困难认定时的精准度不够，资助的精准度有待进一步提高。下一步改进措施：通过采取对学生走访、谈话等形式，建立灵活评审机制，旨在科学、快速的了解学生家庭状况和生活情况；充分利用大数据，广泛收集学生生活、消费相关数据，提高认定对象的精准度。 </w:t>
      </w:r>
    </w:p>
    <w:p>
      <w:pPr>
        <w:pageBreakBefore w:val="0"/>
        <w:kinsoku/>
        <w:wordWrap/>
        <w:overflowPunct/>
        <w:topLinePunct w:val="0"/>
        <w:bidi w:val="0"/>
        <w:spacing w:line="64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sz w:val="32"/>
          <w:szCs w:val="32"/>
        </w:rPr>
        <w:t>两校区消防工程项目绩效目标完成情况综述。项目全年预算数150万元，执行数为145.13万元，完成预算的96.75%。通过项目实施，确保了校园消防的安全，同时保障了教学和生活秩序的安全运行。发现的主要问题：前期未考虑食堂无标准的通风和排气装置致使前期线路短路无法联动，经调整后才能正常使用。消防工程专业性较强，在布局上有不合理处，在工程实施中进行了调整，因此在计划工作和预算制定上还有不足之处。下一步改进措施：一是计划工作和预算需通过使用部门进行评估;二是请专业的消防人员参与前期计划；三是计划工作和预算评估后请专业的造价公司完成最终价格制定。</w:t>
      </w:r>
    </w:p>
    <w:p>
      <w:pPr>
        <w:pageBreakBefore w:val="0"/>
        <w:kinsoku/>
        <w:wordWrap/>
        <w:overflowPunct/>
        <w:topLinePunct w:val="0"/>
        <w:bidi w:val="0"/>
        <w:spacing w:line="64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3）两校区综合维修项目绩效目标完成情况综述。项目全年预算数100万元，执行数为75.8万元，完成预算的75.8%。通过项目实施，确保了校园环境的安全，同时保障了教学和生活秩序的正常运行。发现的主要问题：该项目在计划工作和预算制定上还有不足之处，在专业性较强的如沉降伸缩缝的计算方式，预算价格等处不够专业，计算方式需要改进等。下一步改进措施：一是计划工作和预算需通过使用部门进行评估;二是计划工作和预算评估后请专业的造价公司完成最终价格制定。</w:t>
      </w:r>
    </w:p>
    <w:p>
      <w:pPr>
        <w:pageBreakBefore w:val="0"/>
        <w:kinsoku/>
        <w:wordWrap/>
        <w:overflowPunct/>
        <w:topLinePunct w:val="0"/>
        <w:bidi w:val="0"/>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教育教学成本（学生管理成本）绩效目标完成情况综述项目全年预算数为128万，执行数为46.09，完成预算的36%。因新冠疫情影响，2020年上半年全体学生都不在校，食堂价格平抑金、差旅费和部分活动费用没有使用，因而预算费用没有用完。本项目主要开展的工作是上半年网上学生活动及下半年的校园活动及毕业生档案邮寄和心理健康教育工作。1.校园活动方面，学院以社团活动与专业学习相结合、社团活动与志愿服务相结合、社团活动与非遗文化传承相结合的三结合方式，在弘扬中华优秀传统文化方面持续开展“经典诵读”、“中国传统节日振兴工程”、“非遗文化进校园”、“高雅艺术进校园”、“商道论坛”和“商道文化节”等系列活动。建设书香校园，组织荐书、读书和优秀读者评选、“四阅见习声”等活动。着力打造“商道文化节”、“社团文化节”、“校园好声音”、“指尖非遗1+1”项目、“民族交流年”、“营销大赛”“厨神大赛”、“暑期三下乡”等具有商院特色的校园文化品牌。通过校园活动引导学生不断增强“四个意识”、坚定“四个自信”、做到“两个维护”，为学生铸魂立根打好底色。同时了丰富校园文化的内容,凝炼出学院特色,达到文化传承的目的。 2.邮寄学生档案方面，进一步完善了我院学生档案管理工作，有利于学生毕业后对档案的查阅和利用，方便学生今后的就业和生活。3.心理健康教育方面，通过“3·25”真爱我 、“5·25”我爱我、“10·10”世界精神卫生日等特殊含义的时间节点举办大型的大学生心理健康宣传教育品牌活动，充分发挥校园心理文化活动的重要作用，紧紧围绕学生的思想动态开展活动，培育学生积极心理品质，全方位促进大学生心理健康发展。发现的主要问题：1.在校园活动中部分学生的参与度不够。2.有些毕业生对档案邮寄去向模糊不清。3.心理健康教育经费投入不足。下一步改进措施：1.通过采取对各系团总支、各班团支部以及学生走访、谈话等形式，旨在了解学生对校园活动需求情况；充分利用新媒体，加强宣传使更多的学生了解和参与到学校的活动中。2.在档案邮寄前对档案取向要求学生认真核对，在邮寄过程中，通过短信通知或系统查询等方式告知档案邮寄具体情况。3.适当提高心理健康专项拨款。</w:t>
      </w:r>
    </w:p>
    <w:p>
      <w:pPr>
        <w:pageBreakBefore w:val="0"/>
        <w:kinsoku/>
        <w:wordWrap/>
        <w:overflowPunct/>
        <w:topLinePunct w:val="0"/>
        <w:bidi w:val="0"/>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教育教学成本（学生费用）绩效目标完成情况综述项目全年预算数为420万，执行数为216.57，完成预算的51.6%。因新冠疫情影响2020年未开展军训，2020年助贷风险金因国家政策不再收取，因而预算费用没有全部用完。本项目主要开展工作是学生校内奖助学金的发放。通过项目实施，不断完善并优化了学校资助工作体系，打通扶贫、扶志、扶智的全方位“服务链”，对品学兼优的学生进行了奖励，对家庭突发临时困难的学生及时给予帮助，教育学生通过自我劳动获取报酬，培养学生自立自强的品质，助力学校人才培养质量不断提升。发现的主要问题：对受助优秀学生典型事迹宣传力度有待加强。下一步改进措施：加大培树受助学生典型事迹的宣传力度，积极倡导正能量。创新受助学生典型事迹宣传方式，拓宽宣传途径。鼓励学生向在学习、实践、道德、公益等方面有突出表现的受助学生学习，强化优秀学生典型的引领示范作用，调动学生学习的积极性，在全校营造良好学习氛围。</w:t>
      </w:r>
    </w:p>
    <w:p>
      <w:pPr>
        <w:pStyle w:val="2"/>
        <w:pageBreakBefore w:val="0"/>
        <w:kinsoku/>
        <w:wordWrap/>
        <w:overflowPunct/>
        <w:topLinePunct w:val="0"/>
        <w:bidi w:val="0"/>
        <w:spacing w:line="640" w:lineRule="exact"/>
        <w:rPr>
          <w:rFonts w:hint="eastAsia" w:ascii="仿宋_GB2312" w:hAnsi="仿宋_GB2312" w:eastAsia="仿宋_GB2312" w:cs="仿宋_GB2312"/>
          <w:sz w:val="32"/>
          <w:szCs w:val="32"/>
        </w:rPr>
      </w:pPr>
    </w:p>
    <w:p>
      <w:pPr>
        <w:pStyle w:val="2"/>
        <w:pageBreakBefore w:val="0"/>
        <w:kinsoku/>
        <w:wordWrap/>
        <w:overflowPunct/>
        <w:topLinePunct w:val="0"/>
        <w:bidi w:val="0"/>
        <w:spacing w:line="640" w:lineRule="exact"/>
        <w:rPr>
          <w:rFonts w:hint="eastAsia" w:ascii="仿宋_GB2312" w:hAnsi="仿宋_GB2312" w:eastAsia="仿宋_GB2312" w:cs="仿宋_GB2312"/>
          <w:sz w:val="32"/>
          <w:szCs w:val="32"/>
        </w:rPr>
      </w:pPr>
    </w:p>
    <w:p>
      <w:pPr>
        <w:pStyle w:val="2"/>
        <w:pageBreakBefore w:val="0"/>
        <w:kinsoku/>
        <w:wordWrap/>
        <w:overflowPunct/>
        <w:topLinePunct w:val="0"/>
        <w:bidi w:val="0"/>
        <w:spacing w:line="640" w:lineRule="exact"/>
        <w:rPr>
          <w:rFonts w:hint="eastAsia" w:ascii="仿宋_GB2312" w:hAnsi="仿宋_GB2312" w:eastAsia="仿宋_GB2312" w:cs="仿宋_GB2312"/>
          <w:sz w:val="32"/>
          <w:szCs w:val="32"/>
        </w:rPr>
      </w:pPr>
    </w:p>
    <w:p>
      <w:pPr>
        <w:pStyle w:val="2"/>
        <w:pageBreakBefore w:val="0"/>
        <w:kinsoku/>
        <w:wordWrap/>
        <w:overflowPunct/>
        <w:topLinePunct w:val="0"/>
        <w:bidi w:val="0"/>
        <w:spacing w:line="640" w:lineRule="exact"/>
        <w:rPr>
          <w:rFonts w:hint="eastAsia" w:ascii="仿宋_GB2312" w:hAnsi="仿宋_GB2312" w:eastAsia="仿宋_GB2312" w:cs="仿宋_GB2312"/>
          <w:sz w:val="32"/>
          <w:szCs w:val="32"/>
        </w:rPr>
      </w:pPr>
    </w:p>
    <w:p>
      <w:pPr>
        <w:pStyle w:val="2"/>
        <w:pageBreakBefore w:val="0"/>
        <w:kinsoku/>
        <w:wordWrap/>
        <w:overflowPunct/>
        <w:topLinePunct w:val="0"/>
        <w:bidi w:val="0"/>
        <w:spacing w:line="640" w:lineRule="exact"/>
        <w:rPr>
          <w:rFonts w:hint="eastAsia" w:ascii="仿宋_GB2312" w:hAnsi="仿宋_GB2312" w:eastAsia="仿宋_GB2312" w:cs="仿宋_GB2312"/>
          <w:sz w:val="32"/>
          <w:szCs w:val="32"/>
        </w:rPr>
      </w:pPr>
    </w:p>
    <w:p>
      <w:pPr>
        <w:pStyle w:val="2"/>
        <w:pageBreakBefore w:val="0"/>
        <w:kinsoku/>
        <w:wordWrap/>
        <w:overflowPunct/>
        <w:topLinePunct w:val="0"/>
        <w:bidi w:val="0"/>
        <w:spacing w:line="640" w:lineRule="exact"/>
        <w:rPr>
          <w:rFonts w:hint="eastAsia" w:ascii="仿宋_GB2312" w:hAnsi="仿宋_GB2312" w:eastAsia="仿宋_GB2312" w:cs="仿宋_GB2312"/>
          <w:sz w:val="32"/>
          <w:szCs w:val="32"/>
        </w:rPr>
      </w:pPr>
    </w:p>
    <w:p>
      <w:pPr>
        <w:pStyle w:val="2"/>
        <w:pageBreakBefore w:val="0"/>
        <w:kinsoku/>
        <w:wordWrap/>
        <w:overflowPunct/>
        <w:topLinePunct w:val="0"/>
        <w:bidi w:val="0"/>
        <w:spacing w:line="640" w:lineRule="exact"/>
        <w:rPr>
          <w:rFonts w:hint="eastAsia" w:ascii="仿宋_GB2312" w:hAnsi="仿宋_GB2312" w:eastAsia="仿宋_GB2312" w:cs="仿宋_GB2312"/>
          <w:sz w:val="32"/>
          <w:szCs w:val="32"/>
        </w:rPr>
      </w:pPr>
    </w:p>
    <w:p>
      <w:pPr>
        <w:pStyle w:val="2"/>
        <w:pageBreakBefore w:val="0"/>
        <w:kinsoku/>
        <w:wordWrap/>
        <w:overflowPunct/>
        <w:topLinePunct w:val="0"/>
        <w:bidi w:val="0"/>
        <w:spacing w:line="640" w:lineRule="exact"/>
        <w:rPr>
          <w:rFonts w:hint="eastAsia" w:ascii="仿宋_GB2312" w:hAnsi="仿宋_GB2312" w:eastAsia="仿宋_GB2312" w:cs="仿宋_GB2312"/>
          <w:sz w:val="32"/>
          <w:szCs w:val="32"/>
        </w:rPr>
      </w:pPr>
    </w:p>
    <w:p>
      <w:pPr>
        <w:pStyle w:val="2"/>
        <w:pageBreakBefore w:val="0"/>
        <w:kinsoku/>
        <w:wordWrap/>
        <w:overflowPunct/>
        <w:topLinePunct w:val="0"/>
        <w:bidi w:val="0"/>
        <w:spacing w:line="640" w:lineRule="exact"/>
        <w:rPr>
          <w:rFonts w:hint="eastAsia" w:ascii="仿宋_GB2312" w:hAnsi="仿宋_GB2312" w:eastAsia="仿宋_GB2312" w:cs="仿宋_GB2312"/>
          <w:sz w:val="32"/>
          <w:szCs w:val="32"/>
        </w:rPr>
      </w:pPr>
    </w:p>
    <w:p>
      <w:pPr>
        <w:pStyle w:val="2"/>
        <w:pageBreakBefore w:val="0"/>
        <w:kinsoku/>
        <w:wordWrap/>
        <w:overflowPunct/>
        <w:topLinePunct w:val="0"/>
        <w:bidi w:val="0"/>
        <w:spacing w:line="640" w:lineRule="exact"/>
        <w:rPr>
          <w:rFonts w:hint="eastAsia" w:ascii="仿宋_GB2312" w:hAnsi="仿宋_GB2312" w:eastAsia="仿宋_GB2312" w:cs="仿宋_GB2312"/>
          <w:sz w:val="32"/>
          <w:szCs w:val="32"/>
        </w:rPr>
      </w:pPr>
    </w:p>
    <w:p>
      <w:pPr>
        <w:pStyle w:val="2"/>
        <w:pageBreakBefore w:val="0"/>
        <w:kinsoku/>
        <w:wordWrap/>
        <w:overflowPunct/>
        <w:topLinePunct w:val="0"/>
        <w:bidi w:val="0"/>
        <w:spacing w:line="640" w:lineRule="exact"/>
        <w:rPr>
          <w:rFonts w:hint="eastAsia" w:ascii="仿宋_GB2312" w:hAnsi="仿宋_GB2312" w:eastAsia="仿宋_GB2312" w:cs="仿宋_GB2312"/>
          <w:sz w:val="32"/>
          <w:szCs w:val="32"/>
        </w:rPr>
      </w:pPr>
    </w:p>
    <w:p>
      <w:pPr>
        <w:pStyle w:val="2"/>
        <w:pageBreakBefore w:val="0"/>
        <w:kinsoku/>
        <w:wordWrap/>
        <w:overflowPunct/>
        <w:topLinePunct w:val="0"/>
        <w:bidi w:val="0"/>
        <w:spacing w:line="640" w:lineRule="exact"/>
        <w:rPr>
          <w:rFonts w:hint="eastAsia" w:ascii="仿宋_GB2312" w:hAnsi="仿宋_GB2312" w:eastAsia="仿宋_GB2312" w:cs="仿宋_GB2312"/>
          <w:sz w:val="32"/>
          <w:szCs w:val="32"/>
        </w:rPr>
      </w:pPr>
    </w:p>
    <w:tbl>
      <w:tblPr>
        <w:tblStyle w:val="14"/>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hint="eastAsia" w:ascii="宋体" w:hAnsi="宋体" w:eastAsia="宋体" w:cs="宋体"/>
                <w:b/>
                <w:bCs/>
                <w:kern w:val="0"/>
                <w:sz w:val="36"/>
                <w:szCs w:val="36"/>
                <w:lang w:eastAsia="zh-CN"/>
              </w:rPr>
            </w:pPr>
            <w:r>
              <w:rPr>
                <w:rFonts w:hint="eastAsia" w:ascii="宋体" w:hAnsi="宋体" w:cs="宋体"/>
                <w:b/>
                <w:bCs/>
                <w:kern w:val="0"/>
                <w:sz w:val="36"/>
                <w:szCs w:val="36"/>
              </w:rPr>
              <w:t>项目绩效目标完成情况表</w:t>
            </w:r>
          </w:p>
          <w:p>
            <w:pPr>
              <w:pageBreakBefore w:val="0"/>
              <w:widowControl/>
              <w:kinsoku/>
              <w:wordWrap/>
              <w:overflowPunct/>
              <w:topLinePunct w:val="0"/>
              <w:bidi w:val="0"/>
              <w:spacing w:line="640" w:lineRule="exact"/>
              <w:jc w:val="center"/>
              <w:textAlignment w:val="center"/>
              <w:rPr>
                <w:rFonts w:ascii="宋体" w:cs="宋体"/>
                <w:sz w:val="36"/>
                <w:szCs w:val="36"/>
              </w:rPr>
            </w:pPr>
            <w:r>
              <w:rPr>
                <w:rFonts w:ascii="宋体" w:hAnsi="宋体" w:cs="宋体"/>
                <w:kern w:val="0"/>
                <w:sz w:val="36"/>
                <w:szCs w:val="36"/>
              </w:rPr>
              <w:t>(2020</w:t>
            </w:r>
            <w:r>
              <w:rPr>
                <w:rFonts w:hint="eastAsia" w:ascii="宋体" w:hAnsi="宋体" w:cs="宋体"/>
                <w:kern w:val="0"/>
                <w:sz w:val="36"/>
                <w:szCs w:val="36"/>
              </w:rPr>
              <w:t>年度</w:t>
            </w:r>
            <w:r>
              <w:rPr>
                <w:rFonts w:ascii="宋体" w:hAnsi="宋体" w:cs="宋体"/>
                <w:kern w:val="0"/>
                <w:sz w:val="36"/>
                <w:szCs w:val="36"/>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2020</w:t>
            </w:r>
            <w:r>
              <w:rPr>
                <w:rFonts w:hint="eastAsia" w:ascii="宋体" w:hAnsi="宋体" w:cs="宋体"/>
                <w:sz w:val="24"/>
              </w:rPr>
              <w:t>年学生资助经费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四川商务职业学院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预算执行情况</w:t>
            </w:r>
            <w:r>
              <w:rPr>
                <w:rFonts w:ascii="宋体" w:hAnsi="宋体" w:cs="宋体"/>
                <w:kern w:val="0"/>
                <w:sz w:val="24"/>
              </w:rPr>
              <w:t>(</w:t>
            </w:r>
            <w:r>
              <w:rPr>
                <w:rFonts w:hint="eastAsia" w:ascii="宋体" w:hAnsi="宋体" w:cs="宋体"/>
                <w:kern w:val="0"/>
                <w:sz w:val="24"/>
              </w:rPr>
              <w:t>万元</w:t>
            </w:r>
            <w:r>
              <w:rPr>
                <w:rFonts w:ascii="宋体" w:hAnsi="宋体" w:cs="宋体"/>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预算数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1123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执行数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1123</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640" w:lineRule="exact"/>
              <w:jc w:val="center"/>
              <w:rPr>
                <w:rFonts w:asci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1123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1123</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640" w:lineRule="exact"/>
              <w:jc w:val="center"/>
              <w:rPr>
                <w:rFonts w:asci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其它资金</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cs="宋体"/>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其它资金</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640" w:lineRule="exact"/>
              <w:jc w:val="center"/>
              <w:rPr>
                <w:rFonts w:ascii="宋体" w:cs="宋体"/>
                <w:sz w:val="24"/>
              </w:rPr>
            </w:pPr>
            <w:r>
              <w:rPr>
                <w:rFonts w:ascii="宋体" w:cs="宋体"/>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369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640" w:lineRule="exact"/>
              <w:jc w:val="center"/>
              <w:rPr>
                <w:rFonts w:asci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left"/>
              <w:textAlignment w:val="center"/>
              <w:rPr>
                <w:rFonts w:ascii="宋体" w:cs="宋体"/>
                <w:sz w:val="24"/>
              </w:rPr>
            </w:pPr>
            <w:r>
              <w:rPr>
                <w:rFonts w:hint="eastAsia" w:ascii="宋体" w:hAnsi="宋体" w:cs="宋体"/>
                <w:sz w:val="24"/>
              </w:rPr>
              <w:t>解决学院大约</w:t>
            </w:r>
            <w:r>
              <w:rPr>
                <w:rFonts w:ascii="宋体" w:hAnsi="宋体" w:cs="宋体"/>
                <w:sz w:val="24"/>
              </w:rPr>
              <w:t>4000</w:t>
            </w:r>
            <w:r>
              <w:rPr>
                <w:rFonts w:hint="eastAsia" w:ascii="宋体" w:hAnsi="宋体" w:cs="宋体"/>
                <w:sz w:val="24"/>
              </w:rPr>
              <w:t>多人</w:t>
            </w:r>
            <w:r>
              <w:rPr>
                <w:rFonts w:ascii="宋体" w:hAnsi="宋体" w:cs="宋体"/>
                <w:sz w:val="24"/>
              </w:rPr>
              <w:t>*2500</w:t>
            </w:r>
            <w:r>
              <w:rPr>
                <w:rFonts w:hint="eastAsia" w:ascii="宋体" w:hAnsi="宋体" w:cs="宋体"/>
                <w:sz w:val="24"/>
              </w:rPr>
              <w:t>元、我贫困助学生的生活费，极大地缓解了农村贫困学生的困难，体现了党和国家对贫困大学生的关心。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left"/>
              <w:textAlignment w:val="center"/>
              <w:rPr>
                <w:rFonts w:ascii="宋体" w:cs="宋体"/>
                <w:sz w:val="24"/>
              </w:rPr>
            </w:pPr>
            <w:r>
              <w:rPr>
                <w:rFonts w:hint="eastAsia" w:ascii="宋体" w:hAnsi="宋体" w:cs="宋体"/>
                <w:sz w:val="24"/>
              </w:rPr>
              <w:t>已按国家政策完成了</w:t>
            </w:r>
            <w:r>
              <w:rPr>
                <w:rFonts w:ascii="宋体" w:hAnsi="宋体" w:cs="宋体"/>
                <w:sz w:val="24"/>
              </w:rPr>
              <w:t>2020</w:t>
            </w:r>
            <w:r>
              <w:rPr>
                <w:rFonts w:hint="eastAsia" w:ascii="宋体" w:hAnsi="宋体" w:cs="宋体"/>
                <w:sz w:val="24"/>
              </w:rPr>
              <w:t>年国家助学金的发放，</w:t>
            </w:r>
            <w:r>
              <w:rPr>
                <w:rFonts w:ascii="宋体" w:hAnsi="宋体" w:cs="宋体"/>
                <w:sz w:val="24"/>
              </w:rPr>
              <w:t>2020</w:t>
            </w:r>
            <w:r>
              <w:rPr>
                <w:rFonts w:hint="eastAsia" w:ascii="宋体" w:hAnsi="宋体" w:cs="宋体"/>
                <w:sz w:val="24"/>
              </w:rPr>
              <w:t>年春季助学金按月发放，每月发放学生人数</w:t>
            </w:r>
            <w:r>
              <w:rPr>
                <w:rFonts w:ascii="宋体" w:hAnsi="宋体" w:cs="宋体"/>
                <w:sz w:val="24"/>
              </w:rPr>
              <w:t>3419</w:t>
            </w:r>
            <w:r>
              <w:rPr>
                <w:rFonts w:hint="eastAsia" w:ascii="宋体" w:hAnsi="宋体" w:cs="宋体"/>
                <w:sz w:val="24"/>
              </w:rPr>
              <w:t>人，秋季按学期发放，发放学生人数</w:t>
            </w:r>
            <w:r>
              <w:rPr>
                <w:rFonts w:ascii="宋体" w:hAnsi="宋体" w:cs="宋体"/>
                <w:sz w:val="24"/>
              </w:rPr>
              <w:t>2797</w:t>
            </w:r>
            <w:r>
              <w:rPr>
                <w:rFonts w:hint="eastAsia" w:ascii="宋体" w:hAnsi="宋体" w:cs="宋体"/>
                <w:sz w:val="24"/>
              </w:rPr>
              <w:t>人。发放国家励志奖学金</w:t>
            </w:r>
            <w:r>
              <w:rPr>
                <w:rFonts w:ascii="宋体" w:hAnsi="宋体" w:cs="宋体"/>
                <w:sz w:val="24"/>
              </w:rPr>
              <w:t>279</w:t>
            </w:r>
            <w:r>
              <w:rPr>
                <w:rFonts w:hint="eastAsia" w:ascii="宋体" w:hAnsi="宋体" w:cs="宋体"/>
                <w:sz w:val="24"/>
              </w:rPr>
              <w:t>人，国家奖学金</w:t>
            </w:r>
            <w:r>
              <w:rPr>
                <w:rFonts w:ascii="宋体" w:hAnsi="宋体" w:cs="宋体"/>
                <w:sz w:val="24"/>
              </w:rPr>
              <w:t>8</w:t>
            </w:r>
            <w:r>
              <w:rPr>
                <w:rFonts w:hint="eastAsia" w:ascii="宋体" w:hAnsi="宋体" w:cs="宋体"/>
                <w:sz w:val="24"/>
              </w:rPr>
              <w:t>人，缓解了困难学生的学习和生活上的经济压力。</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预期指标值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实际完成指标值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pPr>
          </w:p>
          <w:p>
            <w:pPr>
              <w:pageBreakBefore w:val="0"/>
              <w:kinsoku/>
              <w:wordWrap/>
              <w:overflowPunct/>
              <w:topLinePunct w:val="0"/>
              <w:bidi w:val="0"/>
              <w:spacing w:line="640" w:lineRule="exact"/>
              <w:jc w:val="center"/>
              <w:rPr>
                <w:rFonts w:ascii="Calibri" w:hAnsi="Calibri"/>
              </w:rPr>
            </w:pPr>
            <w:r>
              <w:rPr>
                <w:rFonts w:hint="eastAsia" w:ascii="宋体" w:hAnsi="宋体" w:cs="宋体"/>
                <w:sz w:val="24"/>
              </w:rPr>
              <w:t>　　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受惠学生人次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w:t>
            </w:r>
            <w:r>
              <w:rPr>
                <w:rFonts w:ascii="宋体" w:hAnsi="宋体" w:cs="宋体"/>
                <w:sz w:val="24"/>
              </w:rPr>
              <w:t>4000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6503</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按时发放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12</w:t>
            </w:r>
            <w:r>
              <w:rPr>
                <w:rFonts w:hint="eastAsia" w:ascii="宋体" w:hAnsi="宋体" w:cs="宋体"/>
                <w:sz w:val="24"/>
              </w:rPr>
              <w:t>月之前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已在</w:t>
            </w:r>
            <w:r>
              <w:rPr>
                <w:rFonts w:ascii="宋体" w:hAnsi="宋体" w:cs="宋体"/>
                <w:sz w:val="24"/>
              </w:rPr>
              <w:t>12</w:t>
            </w:r>
            <w:r>
              <w:rPr>
                <w:rFonts w:hint="eastAsia" w:ascii="宋体" w:hAnsi="宋体" w:cs="宋体"/>
                <w:sz w:val="24"/>
              </w:rPr>
              <w:t>月前发放完成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社会</w:t>
            </w:r>
            <w:r>
              <w:rPr>
                <w:rFonts w:hint="eastAsia" w:ascii="宋体" w:hAnsi="宋体" w:cs="宋体"/>
                <w:kern w:val="0"/>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学生认可度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良好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良好</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评审期间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一学年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一学年</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kern w:val="0"/>
                <w:sz w:val="24"/>
              </w:rPr>
            </w:pPr>
            <w:r>
              <w:rPr>
                <w:rFonts w:hint="eastAsia" w:ascii="宋体" w:hAnsi="宋体"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师生满意度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w:t>
            </w:r>
            <w:r>
              <w:rPr>
                <w:rFonts w:ascii="宋体" w:hAnsi="宋体" w:cs="宋体"/>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w:t>
            </w:r>
            <w:r>
              <w:rPr>
                <w:rFonts w:ascii="宋体" w:hAnsi="宋体" w:cs="宋体"/>
                <w:sz w:val="24"/>
              </w:rPr>
              <w:t>=95%</w:t>
            </w:r>
          </w:p>
        </w:tc>
      </w:tr>
    </w:tbl>
    <w:p>
      <w:pPr>
        <w:pStyle w:val="2"/>
        <w:pageBreakBefore w:val="0"/>
        <w:kinsoku/>
        <w:wordWrap/>
        <w:overflowPunct/>
        <w:topLinePunct w:val="0"/>
        <w:bidi w:val="0"/>
        <w:spacing w:before="93" w:line="640" w:lineRule="exact"/>
        <w:jc w:val="center"/>
      </w:pPr>
    </w:p>
    <w:p>
      <w:pPr>
        <w:pStyle w:val="2"/>
        <w:pageBreakBefore w:val="0"/>
        <w:kinsoku/>
        <w:wordWrap/>
        <w:overflowPunct/>
        <w:topLinePunct w:val="0"/>
        <w:bidi w:val="0"/>
        <w:spacing w:before="93" w:line="640" w:lineRule="exact"/>
        <w:jc w:val="both"/>
        <w:rPr>
          <w:rFonts w:hint="eastAsia"/>
          <w:lang w:val="en-US" w:eastAsia="zh-CN"/>
        </w:rPr>
      </w:pPr>
      <w:r>
        <w:rPr>
          <w:rFonts w:hint="eastAsia"/>
          <w:lang w:val="en-US" w:eastAsia="zh-CN"/>
        </w:rPr>
        <w:t xml:space="preserve">   </w:t>
      </w:r>
    </w:p>
    <w:p>
      <w:pPr>
        <w:pStyle w:val="2"/>
        <w:pageBreakBefore w:val="0"/>
        <w:kinsoku/>
        <w:wordWrap/>
        <w:overflowPunct/>
        <w:topLinePunct w:val="0"/>
        <w:bidi w:val="0"/>
        <w:spacing w:before="93" w:line="640" w:lineRule="exact"/>
        <w:jc w:val="both"/>
        <w:rPr>
          <w:rFonts w:hint="eastAsia"/>
          <w:lang w:val="en-US" w:eastAsia="zh-CN"/>
        </w:rPr>
      </w:pPr>
    </w:p>
    <w:p>
      <w:pPr>
        <w:pStyle w:val="2"/>
        <w:pageBreakBefore w:val="0"/>
        <w:kinsoku/>
        <w:wordWrap/>
        <w:overflowPunct/>
        <w:topLinePunct w:val="0"/>
        <w:bidi w:val="0"/>
        <w:spacing w:before="93" w:line="640" w:lineRule="exact"/>
        <w:jc w:val="both"/>
        <w:rPr>
          <w:rFonts w:hint="default"/>
          <w:lang w:val="en-US" w:eastAsia="zh-CN"/>
        </w:rPr>
      </w:pPr>
    </w:p>
    <w:p>
      <w:pPr>
        <w:pStyle w:val="2"/>
        <w:pageBreakBefore w:val="0"/>
        <w:kinsoku/>
        <w:wordWrap/>
        <w:overflowPunct/>
        <w:topLinePunct w:val="0"/>
        <w:bidi w:val="0"/>
        <w:spacing w:before="93" w:line="640" w:lineRule="exact"/>
        <w:jc w:val="both"/>
        <w:rPr>
          <w:rFonts w:hint="default"/>
          <w:lang w:val="en-US" w:eastAsia="zh-CN"/>
        </w:rPr>
      </w:pPr>
    </w:p>
    <w:p>
      <w:pPr>
        <w:pStyle w:val="2"/>
        <w:pageBreakBefore w:val="0"/>
        <w:kinsoku/>
        <w:wordWrap/>
        <w:overflowPunct/>
        <w:topLinePunct w:val="0"/>
        <w:bidi w:val="0"/>
        <w:spacing w:before="93" w:line="640" w:lineRule="exact"/>
        <w:jc w:val="both"/>
        <w:rPr>
          <w:rFonts w:hint="default"/>
          <w:lang w:val="en-US" w:eastAsia="zh-CN"/>
        </w:rPr>
      </w:pPr>
    </w:p>
    <w:p>
      <w:pPr>
        <w:pStyle w:val="2"/>
        <w:pageBreakBefore w:val="0"/>
        <w:kinsoku/>
        <w:wordWrap/>
        <w:overflowPunct/>
        <w:topLinePunct w:val="0"/>
        <w:bidi w:val="0"/>
        <w:spacing w:before="93" w:line="640" w:lineRule="exact"/>
        <w:jc w:val="both"/>
        <w:rPr>
          <w:rFonts w:hint="default"/>
          <w:lang w:val="en-US" w:eastAsia="zh-CN"/>
        </w:rPr>
      </w:pPr>
    </w:p>
    <w:tbl>
      <w:tblPr>
        <w:tblStyle w:val="14"/>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hint="eastAsia" w:ascii="宋体" w:hAnsi="宋体" w:eastAsia="宋体" w:cs="宋体"/>
                <w:b/>
                <w:bCs/>
                <w:kern w:val="0"/>
                <w:sz w:val="36"/>
                <w:szCs w:val="36"/>
                <w:lang w:eastAsia="zh-CN"/>
              </w:rPr>
            </w:pPr>
            <w:r>
              <w:br w:type="page"/>
            </w:r>
            <w:r>
              <w:rPr>
                <w:rFonts w:hint="eastAsia" w:ascii="宋体" w:hAnsi="宋体" w:cs="宋体"/>
                <w:b/>
                <w:bCs/>
                <w:kern w:val="0"/>
                <w:sz w:val="36"/>
                <w:szCs w:val="36"/>
              </w:rPr>
              <w:t>项目绩效目标完成情况表</w:t>
            </w:r>
          </w:p>
          <w:p>
            <w:pPr>
              <w:pageBreakBefore w:val="0"/>
              <w:widowControl/>
              <w:kinsoku/>
              <w:wordWrap/>
              <w:overflowPunct/>
              <w:topLinePunct w:val="0"/>
              <w:bidi w:val="0"/>
              <w:spacing w:line="640" w:lineRule="exact"/>
              <w:jc w:val="center"/>
              <w:textAlignment w:val="center"/>
              <w:rPr>
                <w:rFonts w:ascii="宋体" w:cs="宋体"/>
                <w:sz w:val="36"/>
                <w:szCs w:val="36"/>
              </w:rPr>
            </w:pPr>
            <w:r>
              <w:rPr>
                <w:rFonts w:ascii="宋体" w:hAnsi="宋体" w:cs="宋体"/>
                <w:kern w:val="0"/>
                <w:sz w:val="36"/>
                <w:szCs w:val="36"/>
              </w:rPr>
              <w:t>(2020</w:t>
            </w:r>
            <w:r>
              <w:rPr>
                <w:rFonts w:hint="eastAsia" w:ascii="宋体" w:hAnsi="宋体" w:cs="宋体"/>
                <w:kern w:val="0"/>
                <w:sz w:val="36"/>
                <w:szCs w:val="36"/>
              </w:rPr>
              <w:t>年度</w:t>
            </w:r>
            <w:r>
              <w:rPr>
                <w:rFonts w:ascii="宋体" w:hAnsi="宋体" w:cs="宋体"/>
                <w:kern w:val="0"/>
                <w:sz w:val="36"/>
                <w:szCs w:val="36"/>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两校区消防工程</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四川商务职业学院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预算执行情况</w:t>
            </w:r>
            <w:r>
              <w:rPr>
                <w:rFonts w:ascii="宋体" w:hAnsi="宋体" w:cs="宋体"/>
                <w:kern w:val="0"/>
                <w:sz w:val="24"/>
              </w:rPr>
              <w:t>(</w:t>
            </w:r>
            <w:r>
              <w:rPr>
                <w:rFonts w:hint="eastAsia" w:ascii="宋体" w:hAnsi="宋体" w:cs="宋体"/>
                <w:kern w:val="0"/>
                <w:sz w:val="24"/>
              </w:rPr>
              <w:t>万元</w:t>
            </w:r>
            <w:r>
              <w:rPr>
                <w:rFonts w:ascii="宋体" w:hAnsi="宋体" w:cs="宋体"/>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预算数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150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执行数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145.13</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640" w:lineRule="exact"/>
              <w:jc w:val="center"/>
              <w:rPr>
                <w:rFonts w:asci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130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130</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640" w:lineRule="exact"/>
              <w:jc w:val="center"/>
              <w:rPr>
                <w:rFonts w:asci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其它资金</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20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其它资金</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640" w:lineRule="exact"/>
              <w:jc w:val="center"/>
              <w:rPr>
                <w:rFonts w:ascii="宋体" w:cs="宋体"/>
                <w:sz w:val="24"/>
              </w:rPr>
            </w:pPr>
            <w:r>
              <w:rPr>
                <w:rFonts w:ascii="宋体" w:hAnsi="宋体" w:cs="宋体"/>
                <w:sz w:val="24"/>
              </w:rPr>
              <w:t>15.13</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640" w:lineRule="exact"/>
              <w:jc w:val="center"/>
              <w:rPr>
                <w:rFonts w:asci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left"/>
              <w:textAlignment w:val="center"/>
              <w:rPr>
                <w:rFonts w:ascii="宋体" w:cs="宋体"/>
                <w:sz w:val="24"/>
              </w:rPr>
            </w:pPr>
            <w:r>
              <w:rPr>
                <w:rFonts w:hint="eastAsia" w:ascii="宋体" w:hAnsi="宋体" w:cs="宋体"/>
                <w:sz w:val="24"/>
              </w:rPr>
              <w:t>改善现有消防条件，消除安全隐患，安装消防智能控制系统及配套设备，提高校区消防预警能力，一旦发生火警，降低人员死伤率，增加人员逃生时间，降低人员密集区域危险程度，防患于未然，确保校区近</w:t>
            </w:r>
            <w:r>
              <w:rPr>
                <w:rFonts w:ascii="宋体" w:hAnsi="宋体" w:cs="宋体"/>
                <w:sz w:val="24"/>
              </w:rPr>
              <w:t>6000</w:t>
            </w:r>
            <w:r>
              <w:rPr>
                <w:rFonts w:hint="eastAsia" w:ascii="宋体" w:hAnsi="宋体" w:cs="宋体"/>
                <w:sz w:val="24"/>
              </w:rPr>
              <w:t>名师生的人身安全、财产安全。</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left"/>
              <w:textAlignment w:val="center"/>
              <w:rPr>
                <w:rFonts w:ascii="宋体" w:cs="宋体"/>
                <w:sz w:val="24"/>
              </w:rPr>
            </w:pPr>
            <w:r>
              <w:rPr>
                <w:rFonts w:hint="eastAsia" w:ascii="宋体" w:hAnsi="宋体" w:cs="宋体"/>
                <w:sz w:val="24"/>
              </w:rPr>
              <w:t>所有项目在规定时间全部完成质量合格，保证了两校区</w:t>
            </w:r>
            <w:r>
              <w:rPr>
                <w:rFonts w:ascii="宋体" w:hAnsi="宋体" w:cs="宋体"/>
                <w:sz w:val="24"/>
              </w:rPr>
              <w:t>6000</w:t>
            </w:r>
            <w:r>
              <w:rPr>
                <w:rFonts w:hint="eastAsia" w:ascii="宋体" w:hAnsi="宋体" w:cs="宋体"/>
                <w:sz w:val="24"/>
              </w:rPr>
              <w:t>多师生食堂消防安全，师生满意度达到</w:t>
            </w:r>
            <w:r>
              <w:rPr>
                <w:rFonts w:ascii="宋体" w:hAnsi="宋体" w:cs="宋体"/>
                <w:sz w:val="24"/>
              </w:rPr>
              <w:t>85%</w:t>
            </w:r>
            <w:r>
              <w:rPr>
                <w:rFonts w:hint="eastAsia" w:ascii="宋体" w:hAnsi="宋体" w:cs="宋体"/>
                <w:sz w:val="24"/>
              </w:rPr>
              <w:t>。</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预期指标值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实际完成指标值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pPr>
          </w:p>
          <w:p>
            <w:pPr>
              <w:pageBreakBefore w:val="0"/>
              <w:kinsoku/>
              <w:wordWrap/>
              <w:overflowPunct/>
              <w:topLinePunct w:val="0"/>
              <w:bidi w:val="0"/>
              <w:spacing w:line="640" w:lineRule="exact"/>
              <w:jc w:val="center"/>
              <w:rPr>
                <w:rFonts w:ascii="Calibri" w:hAnsi="Calibri"/>
              </w:rPr>
            </w:pPr>
            <w:r>
              <w:rPr>
                <w:rFonts w:hint="eastAsia"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智能疏散系统主机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1</w:t>
            </w:r>
          </w:p>
        </w:tc>
        <w:tc>
          <w:tcPr>
            <w:tcW w:w="23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textAlignment w:val="center"/>
              <w:rPr>
                <w:rFonts w:ascii="宋体" w:cs="宋体"/>
                <w:sz w:val="24"/>
              </w:rPr>
            </w:pPr>
            <w:r>
              <w:rPr>
                <w:rFonts w:hint="eastAsia" w:ascii="宋体" w:hAnsi="宋体" w:cs="宋体"/>
                <w:sz w:val="24"/>
              </w:rPr>
              <w:t>完成了两校区食堂灶台灭火设备</w:t>
            </w:r>
            <w:r>
              <w:rPr>
                <w:rFonts w:ascii="宋体" w:hAnsi="宋体" w:cs="宋体"/>
                <w:sz w:val="24"/>
              </w:rPr>
              <w:t>17</w:t>
            </w:r>
            <w:r>
              <w:rPr>
                <w:rFonts w:hint="eastAsia" w:ascii="宋体" w:hAnsi="宋体" w:cs="宋体"/>
                <w:sz w:val="24"/>
              </w:rPr>
              <w:t>套、雾化喷嘴</w:t>
            </w:r>
            <w:r>
              <w:rPr>
                <w:rFonts w:ascii="宋体" w:hAnsi="宋体" w:cs="宋体"/>
                <w:sz w:val="24"/>
              </w:rPr>
              <w:t>112</w:t>
            </w:r>
            <w:r>
              <w:rPr>
                <w:rFonts w:hint="eastAsia" w:ascii="宋体" w:hAnsi="宋体" w:cs="宋体"/>
                <w:sz w:val="24"/>
              </w:rPr>
              <w:t>个、温度探测器</w:t>
            </w:r>
            <w:r>
              <w:rPr>
                <w:rFonts w:ascii="宋体" w:hAnsi="宋体" w:cs="宋体"/>
                <w:sz w:val="24"/>
              </w:rPr>
              <w:t>12</w:t>
            </w:r>
            <w:r>
              <w:rPr>
                <w:rFonts w:hint="eastAsia" w:ascii="宋体" w:hAnsi="宋体" w:cs="宋体"/>
                <w:sz w:val="24"/>
              </w:rPr>
              <w:t>个、不锈管（</w:t>
            </w:r>
            <w:r>
              <w:rPr>
                <w:rFonts w:ascii="宋体" w:hAnsi="宋体" w:cs="宋体"/>
                <w:sz w:val="24"/>
              </w:rPr>
              <w:t>16*0.8</w:t>
            </w:r>
            <w:r>
              <w:rPr>
                <w:rFonts w:hint="eastAsia" w:ascii="宋体" w:hAnsi="宋体" w:cs="宋体"/>
                <w:sz w:val="24"/>
              </w:rPr>
              <w:t>）</w:t>
            </w:r>
            <w:r>
              <w:rPr>
                <w:rFonts w:ascii="宋体" w:hAnsi="宋体" w:cs="宋体"/>
                <w:sz w:val="24"/>
              </w:rPr>
              <w:t>680</w:t>
            </w:r>
            <w:r>
              <w:rPr>
                <w:rFonts w:hint="eastAsia" w:ascii="宋体" w:hAnsi="宋体" w:cs="宋体"/>
                <w:sz w:val="24"/>
              </w:rPr>
              <w:t>米、疏散指示灯</w:t>
            </w:r>
            <w:r>
              <w:rPr>
                <w:rFonts w:ascii="宋体" w:hAnsi="宋体" w:cs="宋体"/>
                <w:sz w:val="24"/>
              </w:rPr>
              <w:t>85</w:t>
            </w:r>
            <w:r>
              <w:rPr>
                <w:rFonts w:hint="eastAsia" w:ascii="宋体" w:hAnsi="宋体" w:cs="宋体"/>
                <w:sz w:val="24"/>
              </w:rPr>
              <w:t>套、线路</w:t>
            </w:r>
            <w:r>
              <w:rPr>
                <w:rFonts w:ascii="宋体" w:hAnsi="宋体" w:cs="宋体"/>
                <w:sz w:val="24"/>
              </w:rPr>
              <w:t>7449.8</w:t>
            </w:r>
            <w:r>
              <w:rPr>
                <w:rFonts w:hint="eastAsia" w:ascii="宋体" w:hAnsi="宋体" w:cs="宋体"/>
                <w:sz w:val="24"/>
              </w:rPr>
              <w:t>米、烟感</w:t>
            </w:r>
            <w:r>
              <w:rPr>
                <w:rFonts w:ascii="宋体" w:hAnsi="宋体" w:cs="宋体"/>
                <w:sz w:val="24"/>
              </w:rPr>
              <w:t>12</w:t>
            </w:r>
            <w:r>
              <w:rPr>
                <w:rFonts w:hint="eastAsia" w:ascii="宋体" w:hAnsi="宋体" w:cs="宋体"/>
                <w:sz w:val="24"/>
              </w:rPr>
              <w:t>套、温感</w:t>
            </w:r>
            <w:r>
              <w:rPr>
                <w:rFonts w:ascii="宋体" w:hAnsi="宋体" w:cs="宋体"/>
                <w:sz w:val="24"/>
              </w:rPr>
              <w:t>125</w:t>
            </w:r>
            <w:r>
              <w:rPr>
                <w:rFonts w:hint="eastAsia" w:ascii="宋体" w:hAnsi="宋体" w:cs="宋体"/>
                <w:sz w:val="24"/>
              </w:rPr>
              <w:t>套、手动报警器</w:t>
            </w:r>
            <w:r>
              <w:rPr>
                <w:rFonts w:ascii="宋体" w:hAnsi="宋体" w:cs="宋体"/>
                <w:sz w:val="24"/>
              </w:rPr>
              <w:t>17</w:t>
            </w:r>
            <w:r>
              <w:rPr>
                <w:rFonts w:hint="eastAsia" w:ascii="宋体" w:hAnsi="宋体" w:cs="宋体"/>
                <w:sz w:val="24"/>
              </w:rPr>
              <w:t>个、声光报警器</w:t>
            </w:r>
            <w:r>
              <w:rPr>
                <w:rFonts w:ascii="宋体" w:hAnsi="宋体" w:cs="宋体"/>
                <w:sz w:val="24"/>
              </w:rPr>
              <w:t>16</w:t>
            </w:r>
            <w:r>
              <w:rPr>
                <w:rFonts w:hint="eastAsia" w:ascii="宋体" w:hAnsi="宋体" w:cs="宋体"/>
                <w:sz w:val="24"/>
              </w:rPr>
              <w:t>个、消防广播</w:t>
            </w:r>
            <w:r>
              <w:rPr>
                <w:rFonts w:ascii="宋体" w:hAnsi="宋体" w:cs="宋体"/>
                <w:sz w:val="24"/>
              </w:rPr>
              <w:t>34</w:t>
            </w:r>
            <w:r>
              <w:rPr>
                <w:rFonts w:hint="eastAsia" w:ascii="宋体" w:hAnsi="宋体" w:cs="宋体"/>
                <w:sz w:val="24"/>
              </w:rPr>
              <w:t>个、应急灯</w:t>
            </w:r>
            <w:r>
              <w:rPr>
                <w:rFonts w:ascii="宋体" w:hAnsi="宋体" w:cs="宋体"/>
                <w:sz w:val="24"/>
              </w:rPr>
              <w:t>120</w:t>
            </w:r>
            <w:r>
              <w:rPr>
                <w:rFonts w:hint="eastAsia" w:ascii="宋体" w:hAnsi="宋体" w:cs="宋体"/>
                <w:sz w:val="24"/>
              </w:rPr>
              <w:t>套、主机联动设备</w:t>
            </w:r>
            <w:r>
              <w:rPr>
                <w:rFonts w:ascii="宋体" w:hAnsi="宋体" w:cs="宋体"/>
                <w:sz w:val="24"/>
              </w:rPr>
              <w:t>1</w:t>
            </w:r>
            <w:r>
              <w:rPr>
                <w:rFonts w:hint="eastAsia" w:ascii="宋体" w:hAnsi="宋体" w:cs="宋体"/>
                <w:sz w:val="24"/>
              </w:rPr>
              <w:t>套等</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tabs>
                <w:tab w:val="left" w:pos="351"/>
              </w:tabs>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应急照明灯具</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1500</w:t>
            </w:r>
          </w:p>
        </w:tc>
        <w:tc>
          <w:tcPr>
            <w:tcW w:w="2392"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配套电源柜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16</w:t>
            </w:r>
          </w:p>
        </w:tc>
        <w:tc>
          <w:tcPr>
            <w:tcW w:w="2392"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kern w:val="0"/>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配套配电箱</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83</w:t>
            </w:r>
          </w:p>
        </w:tc>
        <w:tc>
          <w:tcPr>
            <w:tcW w:w="23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达到国家消防验收标准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合格</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合格</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2020</w:t>
            </w:r>
            <w:r>
              <w:rPr>
                <w:rFonts w:hint="eastAsia" w:ascii="宋体" w:hAnsi="宋体" w:cs="宋体"/>
                <w:sz w:val="24"/>
              </w:rPr>
              <w:t>年</w:t>
            </w:r>
            <w:r>
              <w:rPr>
                <w:rFonts w:ascii="宋体" w:hAnsi="宋体" w:cs="宋体"/>
                <w:sz w:val="24"/>
              </w:rPr>
              <w:t>11</w:t>
            </w:r>
            <w:r>
              <w:rPr>
                <w:rFonts w:hint="eastAsia" w:ascii="宋体" w:hAnsi="宋体" w:cs="宋体"/>
                <w:sz w:val="24"/>
              </w:rPr>
              <w:t>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2020</w:t>
            </w:r>
            <w:r>
              <w:rPr>
                <w:rFonts w:hint="eastAsia" w:ascii="宋体" w:hAnsi="宋体" w:cs="宋体"/>
                <w:sz w:val="24"/>
              </w:rPr>
              <w:t>年</w:t>
            </w:r>
            <w:r>
              <w:rPr>
                <w:rFonts w:ascii="宋体" w:hAnsi="宋体" w:cs="宋体"/>
                <w:sz w:val="24"/>
              </w:rPr>
              <w:t>11</w:t>
            </w:r>
            <w:r>
              <w:rPr>
                <w:rFonts w:hint="eastAsia" w:ascii="宋体" w:hAnsi="宋体" w:cs="宋体"/>
                <w:sz w:val="24"/>
              </w:rPr>
              <w:t>月</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改造后可使用时间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10</w:t>
            </w:r>
            <w:r>
              <w:rPr>
                <w:rFonts w:hint="eastAsia" w:ascii="宋体" w:hAnsi="宋体" w:cs="宋体"/>
                <w:sz w:val="24"/>
              </w:rPr>
              <w:t>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10</w:t>
            </w:r>
            <w:r>
              <w:rPr>
                <w:rFonts w:hint="eastAsia" w:ascii="宋体" w:hAnsi="宋体" w:cs="宋体"/>
                <w:sz w:val="24"/>
              </w:rPr>
              <w:t>年</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师生满意度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w:t>
            </w:r>
            <w:r>
              <w:rPr>
                <w:rFonts w:ascii="宋体" w:hAnsi="宋体" w:cs="宋体"/>
                <w:sz w:val="24"/>
              </w:rPr>
              <w:t>85%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w:t>
            </w:r>
            <w:r>
              <w:rPr>
                <w:rFonts w:ascii="宋体" w:hAnsi="宋体" w:cs="宋体"/>
                <w:sz w:val="24"/>
              </w:rPr>
              <w:t>85%</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r>
    </w:tbl>
    <w:p>
      <w:pPr>
        <w:pStyle w:val="2"/>
        <w:pageBreakBefore w:val="0"/>
        <w:kinsoku/>
        <w:wordWrap/>
        <w:overflowPunct/>
        <w:topLinePunct w:val="0"/>
        <w:bidi w:val="0"/>
        <w:spacing w:before="93" w:line="640" w:lineRule="exact"/>
        <w:jc w:val="both"/>
        <w:sectPr>
          <w:footerReference r:id="rId5" w:type="default"/>
          <w:pgSz w:w="11906" w:h="16838"/>
          <w:pgMar w:top="1440" w:right="1797" w:bottom="1440" w:left="1797" w:header="851" w:footer="992" w:gutter="0"/>
          <w:pgNumType w:fmt="decimal" w:start="1"/>
          <w:cols w:space="425" w:num="1"/>
          <w:docGrid w:type="linesAndChars" w:linePitch="312" w:charSpace="0"/>
        </w:sectPr>
      </w:pPr>
    </w:p>
    <w:p>
      <w:pPr>
        <w:pStyle w:val="2"/>
        <w:pageBreakBefore w:val="0"/>
        <w:kinsoku/>
        <w:wordWrap/>
        <w:overflowPunct/>
        <w:topLinePunct w:val="0"/>
        <w:bidi w:val="0"/>
        <w:spacing w:before="93" w:line="640" w:lineRule="exact"/>
        <w:jc w:val="both"/>
      </w:pPr>
    </w:p>
    <w:tbl>
      <w:tblPr>
        <w:tblStyle w:val="14"/>
        <w:tblW w:w="9960" w:type="dxa"/>
        <w:jc w:val="center"/>
        <w:tblLayout w:type="fixed"/>
        <w:tblCellMar>
          <w:top w:w="0" w:type="dxa"/>
          <w:left w:w="0" w:type="dxa"/>
          <w:bottom w:w="0" w:type="dxa"/>
          <w:right w:w="0" w:type="dxa"/>
        </w:tblCellMar>
      </w:tblPr>
      <w:tblGrid>
        <w:gridCol w:w="390"/>
        <w:gridCol w:w="1310"/>
        <w:gridCol w:w="1082"/>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hint="eastAsia" w:ascii="宋体" w:hAnsi="宋体" w:eastAsia="宋体" w:cs="宋体"/>
                <w:b/>
                <w:bCs/>
                <w:kern w:val="0"/>
                <w:sz w:val="36"/>
                <w:szCs w:val="36"/>
                <w:lang w:eastAsia="zh-CN"/>
              </w:rPr>
            </w:pPr>
            <w:r>
              <w:rPr>
                <w:rFonts w:hint="eastAsia" w:ascii="宋体" w:hAnsi="宋体" w:cs="宋体"/>
                <w:b/>
                <w:bCs/>
                <w:kern w:val="0"/>
                <w:sz w:val="36"/>
                <w:szCs w:val="36"/>
              </w:rPr>
              <w:t>项目绩效目标完成情况表</w:t>
            </w:r>
          </w:p>
          <w:p>
            <w:pPr>
              <w:pageBreakBefore w:val="0"/>
              <w:widowControl/>
              <w:kinsoku/>
              <w:wordWrap/>
              <w:overflowPunct/>
              <w:topLinePunct w:val="0"/>
              <w:bidi w:val="0"/>
              <w:spacing w:line="640" w:lineRule="exact"/>
              <w:jc w:val="center"/>
              <w:textAlignment w:val="center"/>
              <w:rPr>
                <w:rFonts w:ascii="宋体" w:cs="宋体"/>
                <w:sz w:val="36"/>
                <w:szCs w:val="36"/>
              </w:rPr>
            </w:pPr>
            <w:r>
              <w:rPr>
                <w:rFonts w:ascii="宋体" w:hAnsi="宋体" w:cs="宋体"/>
                <w:kern w:val="0"/>
                <w:sz w:val="36"/>
                <w:szCs w:val="36"/>
              </w:rPr>
              <w:t>(2020</w:t>
            </w:r>
            <w:r>
              <w:rPr>
                <w:rFonts w:hint="eastAsia" w:ascii="宋体" w:hAnsi="宋体" w:cs="宋体"/>
                <w:kern w:val="0"/>
                <w:sz w:val="36"/>
                <w:szCs w:val="36"/>
              </w:rPr>
              <w:t>年度</w:t>
            </w:r>
            <w:r>
              <w:rPr>
                <w:rFonts w:ascii="宋体" w:hAnsi="宋体" w:cs="宋体"/>
                <w:kern w:val="0"/>
                <w:sz w:val="36"/>
                <w:szCs w:val="36"/>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教育教学成本（学生管理成本）</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四川商务职业学院</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预算执行情况</w:t>
            </w:r>
            <w:r>
              <w:rPr>
                <w:rFonts w:ascii="宋体" w:hAnsi="宋体" w:cs="宋体"/>
                <w:kern w:val="0"/>
                <w:sz w:val="24"/>
              </w:rPr>
              <w:t>(</w:t>
            </w:r>
            <w:r>
              <w:rPr>
                <w:rFonts w:hint="eastAsia" w:ascii="宋体" w:hAnsi="宋体" w:cs="宋体"/>
                <w:kern w:val="0"/>
                <w:sz w:val="24"/>
              </w:rPr>
              <w:t>万元</w:t>
            </w:r>
            <w:r>
              <w:rPr>
                <w:rFonts w:ascii="宋体" w:hAnsi="宋体" w:cs="宋体"/>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预算数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128.0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执行数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46.09</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640" w:lineRule="exact"/>
              <w:jc w:val="center"/>
              <w:rPr>
                <w:rFonts w:asci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58.0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46.09</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640" w:lineRule="exact"/>
              <w:jc w:val="center"/>
              <w:rPr>
                <w:rFonts w:asci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其它资金</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70.0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其它资金</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640" w:lineRule="exact"/>
              <w:jc w:val="center"/>
              <w:rPr>
                <w:rFonts w:ascii="宋体" w:cs="宋体"/>
                <w:sz w:val="24"/>
              </w:rPr>
            </w:pPr>
            <w:r>
              <w:rPr>
                <w:rFonts w:ascii="宋体" w:cs="宋体"/>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640" w:lineRule="exact"/>
              <w:jc w:val="center"/>
              <w:rPr>
                <w:rFonts w:asci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left"/>
              <w:textAlignment w:val="center"/>
              <w:rPr>
                <w:rFonts w:ascii="宋体" w:cs="宋体"/>
                <w:sz w:val="24"/>
              </w:rPr>
            </w:pPr>
            <w:r>
              <w:rPr>
                <w:rFonts w:hint="eastAsia" w:ascii="宋体" w:hAnsi="宋体" w:cs="宋体"/>
                <w:sz w:val="24"/>
              </w:rPr>
              <w:t>通过举办商道艺术节等特色校园活动，丰富校园文化的内容</w:t>
            </w:r>
            <w:r>
              <w:rPr>
                <w:rFonts w:ascii="宋体" w:cs="宋体"/>
                <w:sz w:val="24"/>
              </w:rPr>
              <w:t>,</w:t>
            </w:r>
            <w:r>
              <w:rPr>
                <w:rFonts w:hint="eastAsia" w:ascii="宋体" w:hAnsi="宋体" w:cs="宋体"/>
                <w:sz w:val="24"/>
              </w:rPr>
              <w:t>凝炼出特色</w:t>
            </w:r>
            <w:r>
              <w:rPr>
                <w:rFonts w:ascii="宋体" w:cs="宋体"/>
                <w:sz w:val="24"/>
              </w:rPr>
              <w:t>,</w:t>
            </w:r>
            <w:r>
              <w:rPr>
                <w:rFonts w:hint="eastAsia" w:ascii="宋体" w:hAnsi="宋体" w:cs="宋体"/>
                <w:sz w:val="24"/>
              </w:rPr>
              <w:t>达到文化传承的目的，完成国家层面对的主题庆祝活动。为推动学院校园文化建设，丰富学生课外活动，充实青年教师的文化生活，让广大学生、青年教师的活动更多样化。</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left"/>
              <w:textAlignment w:val="center"/>
              <w:rPr>
                <w:rFonts w:ascii="宋体" w:cs="宋体"/>
                <w:sz w:val="24"/>
              </w:rPr>
            </w:pPr>
            <w:r>
              <w:rPr>
                <w:rFonts w:ascii="宋体" w:hAnsi="宋体" w:cs="宋体"/>
                <w:sz w:val="24"/>
              </w:rPr>
              <w:t>1.</w:t>
            </w:r>
            <w:r>
              <w:rPr>
                <w:rFonts w:hint="eastAsia" w:ascii="宋体" w:hAnsi="宋体" w:cs="宋体"/>
                <w:sz w:val="24"/>
              </w:rPr>
              <w:t>校园活动：①第</w:t>
            </w:r>
            <w:r>
              <w:rPr>
                <w:rFonts w:ascii="宋体" w:hAnsi="宋体" w:cs="宋体"/>
                <w:sz w:val="24"/>
              </w:rPr>
              <w:t>14</w:t>
            </w:r>
            <w:r>
              <w:rPr>
                <w:rFonts w:hint="eastAsia" w:ascii="宋体" w:hAnsi="宋体" w:cs="宋体"/>
                <w:sz w:val="24"/>
              </w:rPr>
              <w:t>届商道文化节闭幕式暨喜迎党代会</w:t>
            </w:r>
            <w:r>
              <w:rPr>
                <w:rFonts w:ascii="宋体" w:hAnsi="宋体" w:cs="宋体"/>
                <w:sz w:val="24"/>
              </w:rPr>
              <w:t xml:space="preserve"> </w:t>
            </w:r>
            <w:r>
              <w:rPr>
                <w:rFonts w:hint="eastAsia" w:ascii="宋体" w:hAnsi="宋体" w:cs="宋体"/>
                <w:sz w:val="24"/>
              </w:rPr>
              <w:t>传承商文化</w:t>
            </w:r>
            <w:r>
              <w:rPr>
                <w:rFonts w:ascii="宋体" w:hAnsi="宋体" w:cs="宋体"/>
                <w:sz w:val="24"/>
              </w:rPr>
              <w:t xml:space="preserve"> </w:t>
            </w:r>
            <w:r>
              <w:rPr>
                <w:rFonts w:hint="eastAsia" w:ascii="宋体" w:hAnsi="宋体" w:cs="宋体"/>
                <w:sz w:val="24"/>
              </w:rPr>
              <w:t>奋进新时代”文艺晚会在和盛校区隆重举行晚会，包含育人成果汇报颁奖仪式以及学院艺术团、各系部艺术团、教师代表选送的精彩节目为我院</w:t>
            </w:r>
            <w:r>
              <w:rPr>
                <w:rFonts w:ascii="宋体" w:hAnsi="宋体" w:cs="宋体"/>
                <w:sz w:val="24"/>
              </w:rPr>
              <w:t>2020</w:t>
            </w:r>
            <w:r>
              <w:rPr>
                <w:rFonts w:hint="eastAsia" w:ascii="宋体" w:hAnsi="宋体" w:cs="宋体"/>
                <w:sz w:val="24"/>
              </w:rPr>
              <w:t>年商道文化节圆满闭幕画上句号。②</w:t>
            </w:r>
            <w:r>
              <w:rPr>
                <w:rFonts w:ascii="宋体" w:hAnsi="宋体" w:cs="宋体"/>
                <w:sz w:val="24"/>
              </w:rPr>
              <w:t>2020</w:t>
            </w:r>
            <w:r>
              <w:rPr>
                <w:rFonts w:hint="eastAsia" w:ascii="宋体" w:hAnsi="宋体" w:cs="宋体"/>
                <w:sz w:val="24"/>
              </w:rPr>
              <w:t>年我院社团经费主要用于两校区社联组织的正常运营、学院大型社团活动的开展、优秀社团活动的支持，具体如下：完成两校区社联常规运行及内部月度、学期、年度优秀的评选和奖励；完成七项大型社团活动：线上社团文化节（</w:t>
            </w:r>
            <w:r>
              <w:rPr>
                <w:rFonts w:ascii="宋体" w:hAnsi="宋体" w:cs="宋体"/>
                <w:sz w:val="24"/>
              </w:rPr>
              <w:t>3</w:t>
            </w:r>
            <w:r>
              <w:rPr>
                <w:rFonts w:hint="eastAsia" w:ascii="宋体" w:hAnsi="宋体" w:cs="宋体"/>
                <w:sz w:val="24"/>
              </w:rPr>
              <w:t>项主题活动</w:t>
            </w:r>
            <w:r>
              <w:rPr>
                <w:rFonts w:ascii="宋体" w:hAnsi="宋体" w:cs="宋体"/>
                <w:sz w:val="24"/>
              </w:rPr>
              <w:t>4</w:t>
            </w:r>
            <w:r>
              <w:rPr>
                <w:rFonts w:hint="eastAsia" w:ascii="宋体" w:hAnsi="宋体" w:cs="宋体"/>
                <w:sz w:val="24"/>
              </w:rPr>
              <w:t>个竞赛项目）、两校区社联干部</w:t>
            </w:r>
            <w:r>
              <w:rPr>
                <w:rFonts w:ascii="宋体" w:hAnsi="宋体" w:cs="宋体"/>
                <w:sz w:val="24"/>
              </w:rPr>
              <w:t>6</w:t>
            </w:r>
            <w:r>
              <w:rPr>
                <w:rFonts w:hint="eastAsia" w:ascii="宋体" w:hAnsi="宋体" w:cs="宋体"/>
                <w:sz w:val="24"/>
              </w:rPr>
              <w:t>月换届、</w:t>
            </w:r>
            <w:r>
              <w:rPr>
                <w:rFonts w:ascii="宋体" w:hAnsi="宋体" w:cs="宋体"/>
                <w:sz w:val="24"/>
              </w:rPr>
              <w:t>9</w:t>
            </w:r>
            <w:r>
              <w:rPr>
                <w:rFonts w:hint="eastAsia" w:ascii="宋体" w:hAnsi="宋体" w:cs="宋体"/>
                <w:sz w:val="24"/>
              </w:rPr>
              <w:t>月两校区社团社联换届、趣味运动会、禁毒文化周、民族文化节、经典诵读视频大赛；完成</w:t>
            </w:r>
            <w:r>
              <w:rPr>
                <w:rFonts w:ascii="宋体" w:hAnsi="宋体" w:cs="宋体"/>
                <w:sz w:val="24"/>
              </w:rPr>
              <w:t>71</w:t>
            </w:r>
            <w:r>
              <w:rPr>
                <w:rFonts w:hint="eastAsia" w:ascii="宋体" w:hAnsi="宋体" w:cs="宋体"/>
                <w:sz w:val="24"/>
              </w:rPr>
              <w:t>个社团中资金不足社团活动奖品支持，重点帮扶</w:t>
            </w:r>
            <w:r>
              <w:rPr>
                <w:rFonts w:ascii="宋体" w:hAnsi="宋体" w:cs="宋体"/>
                <w:sz w:val="24"/>
              </w:rPr>
              <w:t>3</w:t>
            </w:r>
            <w:r>
              <w:rPr>
                <w:rFonts w:hint="eastAsia" w:ascii="宋体" w:hAnsi="宋体" w:cs="宋体"/>
                <w:sz w:val="24"/>
              </w:rPr>
              <w:t>次社团大型活动。</w:t>
            </w:r>
          </w:p>
          <w:p>
            <w:pPr>
              <w:pageBreakBefore w:val="0"/>
              <w:widowControl/>
              <w:kinsoku/>
              <w:wordWrap/>
              <w:overflowPunct/>
              <w:topLinePunct w:val="0"/>
              <w:bidi w:val="0"/>
              <w:spacing w:line="640" w:lineRule="exact"/>
              <w:jc w:val="left"/>
              <w:textAlignment w:val="center"/>
              <w:rPr>
                <w:rFonts w:ascii="宋体" w:cs="宋体"/>
                <w:sz w:val="24"/>
              </w:rPr>
            </w:pPr>
            <w:r>
              <w:rPr>
                <w:rFonts w:ascii="宋体" w:hAnsi="宋体" w:cs="宋体"/>
                <w:sz w:val="24"/>
              </w:rPr>
              <w:t>2.</w:t>
            </w:r>
            <w:r>
              <w:rPr>
                <w:rFonts w:hint="eastAsia" w:ascii="宋体" w:hAnsi="宋体" w:cs="宋体"/>
                <w:sz w:val="24"/>
              </w:rPr>
              <w:t>邮寄学生档案：</w:t>
            </w:r>
            <w:r>
              <w:rPr>
                <w:rFonts w:ascii="宋体" w:hAnsi="宋体" w:cs="宋体"/>
                <w:sz w:val="24"/>
              </w:rPr>
              <w:t>2020</w:t>
            </w:r>
            <w:r>
              <w:rPr>
                <w:rFonts w:hint="eastAsia" w:ascii="宋体" w:hAnsi="宋体" w:cs="宋体"/>
                <w:sz w:val="24"/>
              </w:rPr>
              <w:t>届毕业生档案共邮寄包裹</w:t>
            </w:r>
            <w:r>
              <w:rPr>
                <w:rFonts w:ascii="宋体" w:hAnsi="宋体" w:cs="宋体"/>
                <w:sz w:val="24"/>
              </w:rPr>
              <w:t>2469</w:t>
            </w:r>
            <w:r>
              <w:rPr>
                <w:rFonts w:hint="eastAsia" w:ascii="宋体" w:hAnsi="宋体" w:cs="宋体"/>
                <w:sz w:val="24"/>
              </w:rPr>
              <w:t>件，其中转生本学生档案，按升本学校要求统一打包邮寄。</w:t>
            </w:r>
          </w:p>
          <w:p>
            <w:pPr>
              <w:pageBreakBefore w:val="0"/>
              <w:widowControl/>
              <w:kinsoku/>
              <w:wordWrap/>
              <w:overflowPunct/>
              <w:topLinePunct w:val="0"/>
              <w:bidi w:val="0"/>
              <w:spacing w:line="640" w:lineRule="exact"/>
              <w:jc w:val="left"/>
              <w:textAlignment w:val="center"/>
              <w:rPr>
                <w:rFonts w:ascii="宋体" w:cs="宋体"/>
                <w:sz w:val="24"/>
              </w:rPr>
            </w:pPr>
            <w:r>
              <w:rPr>
                <w:rFonts w:ascii="宋体" w:hAnsi="宋体" w:cs="宋体"/>
                <w:sz w:val="24"/>
              </w:rPr>
              <w:t>3.</w:t>
            </w:r>
            <w:r>
              <w:rPr>
                <w:rFonts w:hint="eastAsia" w:ascii="宋体" w:hAnsi="宋体" w:cs="宋体"/>
                <w:sz w:val="24"/>
              </w:rPr>
              <w:t>心理健康工作：①居家学习期间，对</w:t>
            </w:r>
            <w:r>
              <w:rPr>
                <w:rFonts w:ascii="宋体" w:hAnsi="宋体" w:cs="宋体"/>
                <w:sz w:val="24"/>
              </w:rPr>
              <w:t>18</w:t>
            </w:r>
            <w:r>
              <w:rPr>
                <w:rFonts w:hint="eastAsia" w:ascii="宋体" w:hAnsi="宋体" w:cs="宋体"/>
                <w:sz w:val="24"/>
              </w:rPr>
              <w:t>、</w:t>
            </w:r>
            <w:r>
              <w:rPr>
                <w:rFonts w:ascii="宋体" w:hAnsi="宋体" w:cs="宋体"/>
                <w:sz w:val="24"/>
              </w:rPr>
              <w:t>19</w:t>
            </w:r>
            <w:r>
              <w:rPr>
                <w:rFonts w:hint="eastAsia" w:ascii="宋体" w:hAnsi="宋体" w:cs="宋体"/>
                <w:sz w:val="24"/>
              </w:rPr>
              <w:t>级</w:t>
            </w:r>
            <w:r>
              <w:rPr>
                <w:rFonts w:ascii="宋体" w:hAnsi="宋体" w:cs="宋体"/>
                <w:sz w:val="24"/>
              </w:rPr>
              <w:t>4925</w:t>
            </w:r>
            <w:r>
              <w:rPr>
                <w:rFonts w:hint="eastAsia" w:ascii="宋体" w:hAnsi="宋体" w:cs="宋体"/>
                <w:sz w:val="24"/>
              </w:rPr>
              <w:t>名学生开展网上心理普查，全面掌握疫情期间学生心理状态及完善心理健康档案。②进行</w:t>
            </w:r>
            <w:r>
              <w:rPr>
                <w:rFonts w:ascii="宋体" w:hAnsi="宋体" w:cs="宋体"/>
                <w:sz w:val="24"/>
              </w:rPr>
              <w:t>19</w:t>
            </w:r>
            <w:r>
              <w:rPr>
                <w:rFonts w:hint="eastAsia" w:ascii="宋体" w:hAnsi="宋体" w:cs="宋体"/>
                <w:sz w:val="24"/>
              </w:rPr>
              <w:t>级学生</w:t>
            </w:r>
            <w:r>
              <w:rPr>
                <w:rFonts w:ascii="宋体" w:hAnsi="宋体" w:cs="宋体"/>
                <w:sz w:val="24"/>
              </w:rPr>
              <w:t>2020-2021</w:t>
            </w:r>
            <w:r>
              <w:rPr>
                <w:rFonts w:hint="eastAsia" w:ascii="宋体" w:hAnsi="宋体" w:cs="宋体"/>
                <w:sz w:val="24"/>
              </w:rPr>
              <w:t>第一学期开学心理普查工作。③开展三项健康教育宣传活动：开展“聚力同心，战役同行”第</w:t>
            </w:r>
            <w:r>
              <w:rPr>
                <w:rFonts w:ascii="宋体" w:hAnsi="宋体" w:cs="宋体"/>
                <w:sz w:val="24"/>
              </w:rPr>
              <w:t>16</w:t>
            </w:r>
            <w:r>
              <w:rPr>
                <w:rFonts w:hint="eastAsia" w:ascii="宋体" w:hAnsi="宋体" w:cs="宋体"/>
                <w:sz w:val="24"/>
              </w:rPr>
              <w:t>届</w:t>
            </w:r>
            <w:r>
              <w:rPr>
                <w:rFonts w:ascii="宋体" w:hAnsi="宋体" w:cs="宋体"/>
                <w:sz w:val="24"/>
              </w:rPr>
              <w:t>5</w:t>
            </w:r>
            <w:r>
              <w:rPr>
                <w:rFonts w:hint="eastAsia" w:ascii="宋体" w:hAnsi="宋体" w:cs="宋体"/>
                <w:sz w:val="24"/>
              </w:rPr>
              <w:t>·</w:t>
            </w:r>
            <w:r>
              <w:rPr>
                <w:rFonts w:ascii="宋体" w:hAnsi="宋体" w:cs="宋体"/>
                <w:sz w:val="24"/>
              </w:rPr>
              <w:t>25</w:t>
            </w:r>
            <w:r>
              <w:rPr>
                <w:rFonts w:hint="eastAsia" w:ascii="宋体" w:hAnsi="宋体" w:cs="宋体"/>
                <w:sz w:val="24"/>
              </w:rPr>
              <w:t>大学生心理健康教育宣传月；</w:t>
            </w:r>
            <w:r>
              <w:rPr>
                <w:rFonts w:ascii="宋体" w:hAnsi="宋体" w:cs="宋体"/>
                <w:sz w:val="24"/>
              </w:rPr>
              <w:t>325</w:t>
            </w:r>
            <w:r>
              <w:rPr>
                <w:rFonts w:hint="eastAsia" w:ascii="宋体" w:hAnsi="宋体" w:cs="宋体"/>
                <w:sz w:val="24"/>
              </w:rPr>
              <w:t>“真爱我”为题的小视频大赛，“以你之眼发现生命之美”</w:t>
            </w:r>
            <w:r>
              <w:rPr>
                <w:rFonts w:ascii="宋体" w:hAnsi="宋体" w:cs="宋体"/>
                <w:sz w:val="24"/>
              </w:rPr>
              <w:t xml:space="preserve"> </w:t>
            </w:r>
            <w:r>
              <w:rPr>
                <w:rFonts w:hint="eastAsia" w:ascii="宋体" w:hAnsi="宋体" w:cs="宋体"/>
                <w:sz w:val="24"/>
              </w:rPr>
              <w:t>摄影比赛；</w:t>
            </w:r>
            <w:r>
              <w:rPr>
                <w:rFonts w:ascii="宋体" w:hAnsi="宋体" w:cs="宋体"/>
                <w:sz w:val="24"/>
              </w:rPr>
              <w:t>10</w:t>
            </w:r>
            <w:r>
              <w:rPr>
                <w:rFonts w:hint="eastAsia" w:ascii="宋体" w:hAnsi="宋体" w:cs="宋体"/>
                <w:sz w:val="24"/>
              </w:rPr>
              <w:t>月</w:t>
            </w:r>
            <w:r>
              <w:rPr>
                <w:rFonts w:ascii="宋体" w:hAnsi="宋体" w:cs="宋体"/>
                <w:sz w:val="24"/>
              </w:rPr>
              <w:t>10</w:t>
            </w:r>
            <w:r>
              <w:rPr>
                <w:rFonts w:hint="eastAsia" w:ascii="宋体" w:hAnsi="宋体" w:cs="宋体"/>
                <w:sz w:val="24"/>
              </w:rPr>
              <w:t>日世界精神卫生日，策划组织了“</w:t>
            </w:r>
            <w:r>
              <w:rPr>
                <w:rFonts w:ascii="宋体" w:hAnsi="宋体" w:cs="宋体"/>
                <w:sz w:val="24"/>
              </w:rPr>
              <w:t>we show</w:t>
            </w:r>
            <w:r>
              <w:rPr>
                <w:rFonts w:hint="eastAsia" w:ascii="宋体" w:hAnsi="宋体" w:cs="宋体"/>
                <w:sz w:val="24"/>
              </w:rPr>
              <w:t>”</w:t>
            </w:r>
            <w:r>
              <w:rPr>
                <w:rFonts w:ascii="宋体" w:hAnsi="宋体" w:cs="宋体"/>
                <w:sz w:val="24"/>
              </w:rPr>
              <w:t>——</w:t>
            </w:r>
            <w:r>
              <w:rPr>
                <w:rFonts w:hint="eastAsia" w:ascii="宋体" w:hAnsi="宋体" w:cs="宋体"/>
                <w:sz w:val="24"/>
              </w:rPr>
              <w:t>我院首届寝室音乐视频大赛；开展“防艾知识知多少，竞技抢答全知道”</w:t>
            </w:r>
            <w:r>
              <w:rPr>
                <w:rFonts w:ascii="宋体" w:hAnsi="宋体" w:cs="宋体"/>
                <w:sz w:val="24"/>
              </w:rPr>
              <w:t>12.1</w:t>
            </w:r>
            <w:r>
              <w:rPr>
                <w:rFonts w:hint="eastAsia" w:ascii="宋体" w:hAnsi="宋体" w:cs="宋体"/>
                <w:sz w:val="24"/>
              </w:rPr>
              <w:t>世界艾滋病日宣传教育活动。④为学生工作系统的全体工作人员就《心理辅导中的基本会谈技术》和《疫情环境下辅导员的自我情绪关照》做专题培训；</w:t>
            </w:r>
            <w:r>
              <w:rPr>
                <w:rFonts w:ascii="宋体" w:hAnsi="宋体" w:cs="宋体"/>
                <w:sz w:val="24"/>
              </w:rPr>
              <w:t>10</w:t>
            </w:r>
            <w:r>
              <w:rPr>
                <w:rFonts w:hint="eastAsia" w:ascii="宋体" w:hAnsi="宋体" w:cs="宋体"/>
                <w:sz w:val="24"/>
              </w:rPr>
              <w:t>月</w:t>
            </w:r>
            <w:r>
              <w:rPr>
                <w:rFonts w:ascii="宋体" w:hAnsi="宋体" w:cs="宋体"/>
                <w:sz w:val="24"/>
              </w:rPr>
              <w:t>10</w:t>
            </w:r>
            <w:r>
              <w:rPr>
                <w:rFonts w:hint="eastAsia" w:ascii="宋体" w:hAnsi="宋体" w:cs="宋体"/>
                <w:sz w:val="24"/>
              </w:rPr>
              <w:t>日世界精神卫生日宣传教育周期间，对</w:t>
            </w:r>
            <w:r>
              <w:rPr>
                <w:rFonts w:ascii="宋体" w:hAnsi="宋体" w:cs="宋体"/>
                <w:sz w:val="24"/>
              </w:rPr>
              <w:t>19</w:t>
            </w:r>
            <w:r>
              <w:rPr>
                <w:rFonts w:hint="eastAsia" w:ascii="宋体" w:hAnsi="宋体" w:cs="宋体"/>
                <w:sz w:val="24"/>
              </w:rPr>
              <w:t>级</w:t>
            </w:r>
            <w:r>
              <w:rPr>
                <w:rFonts w:ascii="宋体" w:hAnsi="宋体" w:cs="宋体"/>
                <w:sz w:val="24"/>
              </w:rPr>
              <w:t>3000</w:t>
            </w:r>
            <w:r>
              <w:rPr>
                <w:rFonts w:hint="eastAsia" w:ascii="宋体" w:hAnsi="宋体" w:cs="宋体"/>
                <w:sz w:val="24"/>
              </w:rPr>
              <w:t>多名大学生开展了“生命健康教育”专题讲座；</w:t>
            </w:r>
            <w:r>
              <w:rPr>
                <w:rFonts w:ascii="宋体" w:hAnsi="宋体" w:cs="宋体"/>
                <w:sz w:val="24"/>
              </w:rPr>
              <w:t>20</w:t>
            </w:r>
            <w:r>
              <w:rPr>
                <w:rFonts w:hint="eastAsia" w:ascii="宋体" w:hAnsi="宋体" w:cs="宋体"/>
                <w:sz w:val="24"/>
              </w:rPr>
              <w:t>级新生全面开展入学适应的专题讲座；对寝室室长和心理委员开展“同伴危机识别”培训。</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绩效指标完成情况</w:t>
            </w: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一级指标</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预期指标值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实际完成指标值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项目完成指标</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pPr>
          </w:p>
          <w:p>
            <w:pPr>
              <w:pageBreakBefore w:val="0"/>
              <w:kinsoku/>
              <w:wordWrap/>
              <w:overflowPunct/>
              <w:topLinePunct w:val="0"/>
              <w:bidi w:val="0"/>
              <w:spacing w:line="640" w:lineRule="exact"/>
              <w:jc w:val="center"/>
              <w:rPr>
                <w:rFonts w:ascii="Calibri" w:hAnsi="Calibri"/>
              </w:rPr>
            </w:pPr>
            <w:r>
              <w:rPr>
                <w:rFonts w:hint="eastAsia"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学生社团个数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71</w:t>
            </w:r>
            <w:r>
              <w:rPr>
                <w:rFonts w:hint="eastAsia" w:ascii="宋体" w:hAnsi="宋体" w:cs="宋体"/>
                <w:sz w:val="24"/>
              </w:rPr>
              <w:t>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65</w:t>
            </w:r>
            <w:r>
              <w:rPr>
                <w:rFonts w:hint="eastAsia" w:ascii="宋体" w:hAnsi="宋体" w:cs="宋体"/>
                <w:sz w:val="24"/>
              </w:rPr>
              <w:t>个</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项目完成指标</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pPr>
          </w:p>
          <w:p>
            <w:pPr>
              <w:pageBreakBefore w:val="0"/>
              <w:kinsoku/>
              <w:wordWrap/>
              <w:overflowPunct/>
              <w:topLinePunct w:val="0"/>
              <w:bidi w:val="0"/>
              <w:spacing w:line="640" w:lineRule="exact"/>
              <w:jc w:val="center"/>
              <w:rPr>
                <w:rFonts w:ascii="宋体" w:cs="宋体"/>
                <w:sz w:val="24"/>
              </w:rPr>
            </w:pPr>
            <w:r>
              <w:rPr>
                <w:rFonts w:hint="eastAsia"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邮寄学生档案份数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3500</w:t>
            </w:r>
            <w:r>
              <w:rPr>
                <w:rFonts w:hint="eastAsia" w:ascii="宋体" w:hAnsi="宋体" w:cs="宋体"/>
                <w:sz w:val="24"/>
              </w:rPr>
              <w:t>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2469</w:t>
            </w:r>
            <w:r>
              <w:rPr>
                <w:rFonts w:hint="eastAsia" w:ascii="宋体" w:hAnsi="宋体" w:cs="宋体"/>
                <w:sz w:val="24"/>
              </w:rPr>
              <w:t>份</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项目完成指标</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pPr>
          </w:p>
          <w:p>
            <w:pPr>
              <w:pageBreakBefore w:val="0"/>
              <w:kinsoku/>
              <w:wordWrap/>
              <w:overflowPunct/>
              <w:topLinePunct w:val="0"/>
              <w:bidi w:val="0"/>
              <w:spacing w:line="640" w:lineRule="exact"/>
              <w:jc w:val="center"/>
              <w:rPr>
                <w:rFonts w:ascii="宋体" w:cs="宋体"/>
                <w:sz w:val="24"/>
              </w:rPr>
            </w:pPr>
            <w:r>
              <w:rPr>
                <w:rFonts w:hint="eastAsia"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全院心理健康活动场次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2</w:t>
            </w:r>
            <w:r>
              <w:rPr>
                <w:rFonts w:hint="eastAsia" w:ascii="宋体" w:hAnsi="宋体" w:cs="宋体"/>
                <w:sz w:val="24"/>
              </w:rPr>
              <w:t>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4</w:t>
            </w:r>
            <w:r>
              <w:rPr>
                <w:rFonts w:hint="eastAsia" w:ascii="宋体" w:hAnsi="宋体" w:cs="宋体"/>
                <w:sz w:val="24"/>
              </w:rPr>
              <w:t>场</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效益指标</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对师生身心健康</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良好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良好</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满意度指标</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师生满意度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w:t>
            </w:r>
            <w:r>
              <w:rPr>
                <w:rFonts w:ascii="宋体" w:hAnsi="宋体" w:cs="宋体"/>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w:t>
            </w:r>
            <w:r>
              <w:rPr>
                <w:rFonts w:ascii="宋体" w:hAnsi="宋体" w:cs="宋体"/>
                <w:sz w:val="24"/>
              </w:rPr>
              <w:t>=95%</w:t>
            </w:r>
          </w:p>
        </w:tc>
      </w:tr>
    </w:tbl>
    <w:p>
      <w:pPr>
        <w:pageBreakBefore w:val="0"/>
        <w:kinsoku/>
        <w:wordWrap/>
        <w:overflowPunct/>
        <w:topLinePunct w:val="0"/>
        <w:bidi w:val="0"/>
        <w:spacing w:line="640" w:lineRule="exact"/>
        <w:rPr>
          <w:rFonts w:ascii="仿宋_GB2312" w:hAnsi="仿宋_GB2312" w:eastAsia="仿宋_GB2312" w:cs="仿宋_GB2312"/>
          <w:sz w:val="32"/>
          <w:szCs w:val="32"/>
        </w:rPr>
      </w:pPr>
    </w:p>
    <w:p>
      <w:pPr>
        <w:pageBreakBefore w:val="0"/>
        <w:kinsoku/>
        <w:wordWrap/>
        <w:overflowPunct/>
        <w:topLinePunct w:val="0"/>
        <w:bidi w:val="0"/>
        <w:spacing w:line="640" w:lineRule="exact"/>
        <w:rPr>
          <w:rFonts w:ascii="仿宋_GB2312" w:hAnsi="仿宋_GB2312" w:eastAsia="仿宋_GB2312" w:cs="仿宋_GB2312"/>
          <w:sz w:val="32"/>
          <w:szCs w:val="32"/>
        </w:rPr>
      </w:pPr>
      <w:r>
        <w:rPr>
          <w:rFonts w:ascii="仿宋_GB2312" w:hAnsi="仿宋_GB2312" w:eastAsia="仿宋_GB2312" w:cs="仿宋_GB2312"/>
          <w:sz w:val="32"/>
          <w:szCs w:val="32"/>
        </w:rPr>
        <w:br w:type="page"/>
      </w:r>
    </w:p>
    <w:tbl>
      <w:tblPr>
        <w:tblStyle w:val="14"/>
        <w:tblpPr w:leftFromText="180" w:rightFromText="180" w:vertAnchor="text" w:horzAnchor="page" w:tblpX="1201" w:tblpY="78"/>
        <w:tblOverlap w:val="never"/>
        <w:tblW w:w="9960" w:type="dxa"/>
        <w:tblInd w:w="0" w:type="dxa"/>
        <w:tblLayout w:type="fixed"/>
        <w:tblCellMar>
          <w:top w:w="0" w:type="dxa"/>
          <w:left w:w="0" w:type="dxa"/>
          <w:bottom w:w="0" w:type="dxa"/>
          <w:right w:w="0" w:type="dxa"/>
        </w:tblCellMar>
      </w:tblPr>
      <w:tblGrid>
        <w:gridCol w:w="390"/>
        <w:gridCol w:w="1310"/>
        <w:gridCol w:w="1082"/>
        <w:gridCol w:w="2392"/>
        <w:gridCol w:w="2394"/>
        <w:gridCol w:w="2392"/>
      </w:tblGrid>
      <w:tr>
        <w:tblPrEx>
          <w:tblCellMar>
            <w:top w:w="0" w:type="dxa"/>
            <w:left w:w="0" w:type="dxa"/>
            <w:bottom w:w="0" w:type="dxa"/>
            <w:right w:w="0" w:type="dxa"/>
          </w:tblCellMar>
        </w:tblPrEx>
        <w:trPr>
          <w:trHeight w:val="1034" w:hRule="atLeast"/>
        </w:trPr>
        <w:tc>
          <w:tcPr>
            <w:tcW w:w="9960" w:type="dxa"/>
            <w:gridSpan w:val="6"/>
            <w:tcBorders>
              <w:top w:val="nil"/>
              <w:left w:val="nil"/>
              <w:bottom w:val="nil"/>
              <w:right w:val="nil"/>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hint="eastAsia" w:ascii="宋体" w:hAnsi="宋体" w:eastAsia="宋体" w:cs="宋体"/>
                <w:b/>
                <w:bCs/>
                <w:kern w:val="0"/>
                <w:sz w:val="36"/>
                <w:szCs w:val="36"/>
                <w:lang w:eastAsia="zh-CN"/>
              </w:rPr>
            </w:pPr>
            <w:r>
              <w:rPr>
                <w:rFonts w:hint="eastAsia" w:ascii="宋体" w:hAnsi="宋体" w:cs="宋体"/>
                <w:b/>
                <w:bCs/>
                <w:kern w:val="0"/>
                <w:sz w:val="36"/>
                <w:szCs w:val="36"/>
              </w:rPr>
              <w:t>项目绩效目标完成情况表</w:t>
            </w:r>
          </w:p>
          <w:p>
            <w:pPr>
              <w:pageBreakBefore w:val="0"/>
              <w:widowControl/>
              <w:kinsoku/>
              <w:wordWrap/>
              <w:overflowPunct/>
              <w:topLinePunct w:val="0"/>
              <w:bidi w:val="0"/>
              <w:spacing w:line="640" w:lineRule="exact"/>
              <w:jc w:val="center"/>
              <w:textAlignment w:val="center"/>
              <w:rPr>
                <w:rFonts w:ascii="宋体" w:cs="宋体"/>
                <w:sz w:val="36"/>
                <w:szCs w:val="36"/>
              </w:rPr>
            </w:pPr>
            <w:r>
              <w:rPr>
                <w:rFonts w:ascii="宋体" w:hAnsi="宋体" w:cs="宋体"/>
                <w:kern w:val="0"/>
                <w:sz w:val="36"/>
                <w:szCs w:val="36"/>
              </w:rPr>
              <w:t>(2020</w:t>
            </w:r>
            <w:r>
              <w:rPr>
                <w:rFonts w:hint="eastAsia" w:ascii="宋体" w:hAnsi="宋体" w:cs="宋体"/>
                <w:kern w:val="0"/>
                <w:sz w:val="36"/>
                <w:szCs w:val="36"/>
              </w:rPr>
              <w:t>年度</w:t>
            </w:r>
            <w:r>
              <w:rPr>
                <w:rFonts w:ascii="宋体" w:hAnsi="宋体" w:cs="宋体"/>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教育教学成本（学生费用）</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四川商务职业学院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预算执行情况</w:t>
            </w:r>
            <w:r>
              <w:rPr>
                <w:rFonts w:ascii="宋体" w:hAnsi="宋体" w:cs="宋体"/>
                <w:kern w:val="0"/>
                <w:sz w:val="24"/>
              </w:rPr>
              <w:t>(</w:t>
            </w:r>
            <w:r>
              <w:rPr>
                <w:rFonts w:hint="eastAsia" w:ascii="宋体" w:hAnsi="宋体" w:cs="宋体"/>
                <w:kern w:val="0"/>
                <w:sz w:val="24"/>
              </w:rPr>
              <w:t>万元</w:t>
            </w:r>
            <w:r>
              <w:rPr>
                <w:rFonts w:ascii="宋体" w:hAnsi="宋体" w:cs="宋体"/>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预算数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420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执行数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216.57</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640" w:lineRule="exact"/>
              <w:jc w:val="center"/>
              <w:rPr>
                <w:rFonts w:asci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290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195.08</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640" w:lineRule="exact"/>
              <w:jc w:val="center"/>
              <w:rPr>
                <w:rFonts w:asci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其它资金</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130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其它资金</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640" w:lineRule="exact"/>
              <w:jc w:val="center"/>
              <w:rPr>
                <w:rFonts w:ascii="宋体" w:cs="宋体"/>
                <w:sz w:val="24"/>
              </w:rPr>
            </w:pPr>
            <w:r>
              <w:rPr>
                <w:rFonts w:ascii="宋体" w:hAnsi="宋体" w:cs="宋体"/>
                <w:sz w:val="24"/>
              </w:rPr>
              <w:t>21.48</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640" w:lineRule="exact"/>
              <w:jc w:val="center"/>
              <w:rPr>
                <w:rFonts w:asci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left"/>
              <w:textAlignment w:val="center"/>
              <w:rPr>
                <w:rFonts w:ascii="宋体" w:cs="宋体"/>
                <w:sz w:val="24"/>
              </w:rPr>
            </w:pPr>
            <w:r>
              <w:rPr>
                <w:rFonts w:hint="eastAsia" w:ascii="宋体" w:hAnsi="宋体" w:cs="宋体"/>
                <w:sz w:val="24"/>
              </w:rPr>
              <w:t>确保每个学生顺利完成军训，获得</w:t>
            </w:r>
            <w:r>
              <w:rPr>
                <w:rFonts w:ascii="宋体" w:hAnsi="宋体" w:cs="宋体"/>
                <w:sz w:val="24"/>
              </w:rPr>
              <w:t>2</w:t>
            </w:r>
            <w:r>
              <w:rPr>
                <w:rFonts w:hint="eastAsia" w:ascii="宋体" w:hAnsi="宋体" w:cs="宋体"/>
                <w:sz w:val="24"/>
              </w:rPr>
              <w:t>个学分的军训学分，达到增强学生国防意识与锻炼身体素质的目的；风险补偿金项目促进了助学贷款工作健康持续的开展，为贫寒学子学业顺利完成提供了有力保障。校方责任险及实习责任险能有效的规避了教育管理的风险，降低了学校办学成本，化解了由意外伤害事故引发的“家校”矛盾，有利于和谐、平安校园的建设。</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left"/>
              <w:textAlignment w:val="center"/>
              <w:rPr>
                <w:rFonts w:ascii="宋体" w:cs="宋体"/>
                <w:sz w:val="24"/>
              </w:rPr>
            </w:pPr>
            <w:r>
              <w:rPr>
                <w:rFonts w:ascii="宋体" w:hAnsi="宋体" w:cs="宋体"/>
                <w:sz w:val="24"/>
              </w:rPr>
              <w:t>2020</w:t>
            </w:r>
            <w:r>
              <w:rPr>
                <w:rFonts w:hint="eastAsia" w:ascii="宋体" w:hAnsi="宋体" w:cs="宋体"/>
                <w:sz w:val="24"/>
              </w:rPr>
              <w:t>年发放校内奖学金</w:t>
            </w:r>
            <w:r>
              <w:rPr>
                <w:rFonts w:ascii="宋体" w:hAnsi="宋体" w:cs="宋体"/>
                <w:sz w:val="24"/>
              </w:rPr>
              <w:t>844</w:t>
            </w:r>
            <w:r>
              <w:rPr>
                <w:rFonts w:hint="eastAsia" w:ascii="宋体" w:hAnsi="宋体" w:cs="宋体"/>
                <w:sz w:val="24"/>
              </w:rPr>
              <w:t>人、临时困难补助</w:t>
            </w:r>
            <w:r>
              <w:rPr>
                <w:rFonts w:ascii="宋体" w:hAnsi="宋体" w:cs="宋体"/>
                <w:sz w:val="24"/>
              </w:rPr>
              <w:t>37</w:t>
            </w:r>
            <w:r>
              <w:rPr>
                <w:rFonts w:hint="eastAsia" w:ascii="宋体" w:hAnsi="宋体" w:cs="宋体"/>
                <w:sz w:val="24"/>
              </w:rPr>
              <w:t>人、勤工助学</w:t>
            </w:r>
            <w:r>
              <w:rPr>
                <w:rFonts w:ascii="宋体" w:hAnsi="宋体" w:cs="宋体"/>
                <w:sz w:val="24"/>
              </w:rPr>
              <w:t>407</w:t>
            </w:r>
            <w:r>
              <w:rPr>
                <w:rFonts w:hint="eastAsia" w:ascii="宋体" w:hAnsi="宋体" w:cs="宋体"/>
                <w:sz w:val="24"/>
              </w:rPr>
              <w:t>人，达到了奖优助困的目的。因新冠疫情影响，</w:t>
            </w:r>
            <w:r>
              <w:rPr>
                <w:rFonts w:ascii="宋体" w:hAnsi="宋体" w:cs="宋体"/>
                <w:sz w:val="24"/>
              </w:rPr>
              <w:t>2020</w:t>
            </w:r>
            <w:r>
              <w:rPr>
                <w:rFonts w:hint="eastAsia" w:ascii="宋体" w:hAnsi="宋体" w:cs="宋体"/>
                <w:sz w:val="24"/>
              </w:rPr>
              <w:t>年未开展军训。</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绩效指标完成情况</w:t>
            </w: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一级指标</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预期指标值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实际完成指标值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r>
      <w:tr>
        <w:tblPrEx>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项目完成指标</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pPr>
          </w:p>
          <w:p>
            <w:pPr>
              <w:pageBreakBefore w:val="0"/>
              <w:kinsoku/>
              <w:wordWrap/>
              <w:overflowPunct/>
              <w:topLinePunct w:val="0"/>
              <w:bidi w:val="0"/>
              <w:spacing w:line="640" w:lineRule="exact"/>
              <w:jc w:val="center"/>
              <w:rPr>
                <w:rFonts w:ascii="Calibri" w:hAnsi="Calibri"/>
              </w:rPr>
            </w:pPr>
            <w:r>
              <w:rPr>
                <w:rFonts w:hint="eastAsia"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贫困生人数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4500</w:t>
            </w:r>
            <w:r>
              <w:rPr>
                <w:rFonts w:hint="eastAsia" w:ascii="宋体" w:hAnsi="宋体" w:cs="宋体"/>
                <w:sz w:val="24"/>
              </w:rPr>
              <w:t>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881</w:t>
            </w:r>
            <w:r>
              <w:rPr>
                <w:rFonts w:hint="eastAsia" w:ascii="宋体" w:hAnsi="宋体" w:cs="宋体"/>
                <w:sz w:val="24"/>
              </w:rPr>
              <w:t>人</w:t>
            </w:r>
          </w:p>
        </w:tc>
      </w:tr>
      <w:tr>
        <w:tblPrEx>
          <w:tblCellMar>
            <w:top w:w="0" w:type="dxa"/>
            <w:left w:w="0" w:type="dxa"/>
            <w:bottom w:w="0" w:type="dxa"/>
            <w:right w:w="0" w:type="dxa"/>
          </w:tblCellMar>
        </w:tblPrEx>
        <w:trPr>
          <w:trHeight w:val="1297"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项目完成指标</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pPr>
          </w:p>
          <w:p>
            <w:pPr>
              <w:pageBreakBefore w:val="0"/>
              <w:kinsoku/>
              <w:wordWrap/>
              <w:overflowPunct/>
              <w:topLinePunct w:val="0"/>
              <w:bidi w:val="0"/>
              <w:spacing w:line="640" w:lineRule="exact"/>
              <w:jc w:val="center"/>
              <w:rPr>
                <w:rFonts w:ascii="宋体" w:cs="宋体"/>
                <w:sz w:val="24"/>
              </w:rPr>
            </w:pPr>
            <w:r>
              <w:rPr>
                <w:rFonts w:hint="eastAsia"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军训人数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3500</w:t>
            </w:r>
            <w:r>
              <w:rPr>
                <w:rFonts w:hint="eastAsia" w:ascii="宋体" w:hAnsi="宋体" w:cs="宋体"/>
                <w:sz w:val="24"/>
              </w:rPr>
              <w:t>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cs="宋体"/>
                <w:sz w:val="24"/>
              </w:rPr>
              <w:t>0</w:t>
            </w:r>
            <w:r>
              <w:rPr>
                <w:rFonts w:hint="eastAsia" w:ascii="宋体" w:hAnsi="宋体" w:cs="宋体"/>
                <w:sz w:val="24"/>
              </w:rPr>
              <w:t>人</w:t>
            </w:r>
          </w:p>
        </w:tc>
      </w:tr>
      <w:tr>
        <w:tblPrEx>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项目完成指标</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pPr>
          </w:p>
          <w:p>
            <w:pPr>
              <w:pageBreakBefore w:val="0"/>
              <w:kinsoku/>
              <w:wordWrap/>
              <w:overflowPunct/>
              <w:topLinePunct w:val="0"/>
              <w:bidi w:val="0"/>
              <w:spacing w:line="640" w:lineRule="exact"/>
              <w:jc w:val="center"/>
              <w:rPr>
                <w:rFonts w:ascii="宋体" w:cs="宋体"/>
                <w:sz w:val="24"/>
              </w:rPr>
            </w:pPr>
            <w:r>
              <w:rPr>
                <w:rFonts w:hint="eastAsia"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勤工助学人次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2000</w:t>
            </w:r>
            <w:r>
              <w:rPr>
                <w:rFonts w:hint="eastAsia" w:ascii="宋体" w:hAnsi="宋体" w:cs="宋体"/>
                <w:sz w:val="24"/>
              </w:rPr>
              <w:t>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407</w:t>
            </w:r>
            <w:r>
              <w:rPr>
                <w:rFonts w:hint="eastAsia" w:ascii="宋体" w:hAnsi="宋体" w:cs="宋体"/>
                <w:sz w:val="24"/>
              </w:rPr>
              <w:t>人</w:t>
            </w:r>
          </w:p>
        </w:tc>
      </w:tr>
      <w:tr>
        <w:tblPrEx>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效益指标</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社会影响力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良好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良好</w:t>
            </w:r>
          </w:p>
        </w:tc>
      </w:tr>
      <w:tr>
        <w:tblPrEx>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满意度指标</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师生满意度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w:t>
            </w:r>
            <w:r>
              <w:rPr>
                <w:rFonts w:ascii="宋体" w:hAnsi="宋体" w:cs="宋体"/>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w:t>
            </w:r>
            <w:r>
              <w:rPr>
                <w:rFonts w:ascii="宋体" w:hAnsi="宋体" w:cs="宋体"/>
                <w:sz w:val="24"/>
              </w:rPr>
              <w:t>=95%</w:t>
            </w:r>
          </w:p>
        </w:tc>
      </w:tr>
      <w:tr>
        <w:tblPrEx>
          <w:tblCellMar>
            <w:top w:w="0" w:type="dxa"/>
            <w:left w:w="0" w:type="dxa"/>
            <w:bottom w:w="0" w:type="dxa"/>
            <w:right w:w="0" w:type="dxa"/>
          </w:tblCellMar>
        </w:tblPrEx>
        <w:trPr>
          <w:trHeight w:val="1034" w:hRule="atLeast"/>
        </w:trPr>
        <w:tc>
          <w:tcPr>
            <w:tcW w:w="9960" w:type="dxa"/>
            <w:gridSpan w:val="6"/>
            <w:tcBorders>
              <w:top w:val="nil"/>
              <w:left w:val="nil"/>
              <w:bottom w:val="nil"/>
              <w:right w:val="nil"/>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hint="eastAsia" w:ascii="宋体" w:hAnsi="宋体" w:eastAsia="宋体" w:cs="宋体"/>
                <w:b/>
                <w:bCs/>
                <w:kern w:val="0"/>
                <w:sz w:val="36"/>
                <w:szCs w:val="36"/>
                <w:lang w:eastAsia="zh-CN"/>
              </w:rPr>
            </w:pPr>
            <w:r>
              <w:rPr>
                <w:rFonts w:hint="eastAsia" w:ascii="宋体" w:hAnsi="宋体" w:cs="宋体"/>
                <w:b/>
                <w:bCs/>
                <w:kern w:val="0"/>
                <w:sz w:val="36"/>
                <w:szCs w:val="36"/>
              </w:rPr>
              <w:t>项目绩效目标完成情况表</w:t>
            </w:r>
          </w:p>
          <w:p>
            <w:pPr>
              <w:pageBreakBefore w:val="0"/>
              <w:widowControl/>
              <w:kinsoku/>
              <w:wordWrap/>
              <w:overflowPunct/>
              <w:topLinePunct w:val="0"/>
              <w:bidi w:val="0"/>
              <w:spacing w:line="640" w:lineRule="exact"/>
              <w:jc w:val="center"/>
              <w:textAlignment w:val="center"/>
              <w:rPr>
                <w:rFonts w:ascii="宋体" w:cs="宋体"/>
                <w:sz w:val="36"/>
                <w:szCs w:val="36"/>
              </w:rPr>
            </w:pPr>
            <w:r>
              <w:rPr>
                <w:rFonts w:ascii="宋体" w:hAnsi="宋体" w:cs="宋体"/>
                <w:kern w:val="0"/>
                <w:sz w:val="36"/>
                <w:szCs w:val="36"/>
              </w:rPr>
              <w:t>(2020</w:t>
            </w:r>
            <w:r>
              <w:rPr>
                <w:rFonts w:hint="eastAsia" w:ascii="宋体" w:hAnsi="宋体" w:cs="宋体"/>
                <w:kern w:val="0"/>
                <w:sz w:val="36"/>
                <w:szCs w:val="36"/>
              </w:rPr>
              <w:t>年度</w:t>
            </w:r>
            <w:r>
              <w:rPr>
                <w:rFonts w:ascii="宋体" w:hAnsi="宋体" w:cs="宋体"/>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两校区综合维修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四川商务职业学院</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预算执行情况</w:t>
            </w:r>
            <w:r>
              <w:rPr>
                <w:rFonts w:ascii="宋体" w:hAnsi="宋体" w:cs="宋体"/>
                <w:kern w:val="0"/>
                <w:sz w:val="24"/>
              </w:rPr>
              <w:t>(</w:t>
            </w:r>
            <w:r>
              <w:rPr>
                <w:rFonts w:hint="eastAsia" w:ascii="宋体" w:hAnsi="宋体" w:cs="宋体"/>
                <w:kern w:val="0"/>
                <w:sz w:val="24"/>
              </w:rPr>
              <w:t>万元</w:t>
            </w:r>
            <w:r>
              <w:rPr>
                <w:rFonts w:ascii="宋体" w:hAnsi="宋体" w:cs="宋体"/>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预算数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执行数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75.8</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640" w:lineRule="exact"/>
              <w:jc w:val="center"/>
              <w:rPr>
                <w:rFonts w:asci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80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75.8</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640" w:lineRule="exact"/>
              <w:jc w:val="center"/>
              <w:rPr>
                <w:rFonts w:asci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其它资金</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20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其它资金</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640" w:lineRule="exact"/>
              <w:jc w:val="center"/>
              <w:rPr>
                <w:rFonts w:ascii="宋体" w:cs="宋体"/>
                <w:sz w:val="24"/>
              </w:rPr>
            </w:pPr>
            <w:r>
              <w:rPr>
                <w:rFonts w:ascii="宋体" w:cs="宋体"/>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kinsoku/>
              <w:wordWrap/>
              <w:overflowPunct/>
              <w:topLinePunct w:val="0"/>
              <w:bidi w:val="0"/>
              <w:spacing w:line="640" w:lineRule="exact"/>
              <w:jc w:val="center"/>
              <w:rPr>
                <w:rFonts w:asci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left"/>
              <w:textAlignment w:val="center"/>
              <w:rPr>
                <w:rFonts w:ascii="宋体" w:cs="宋体"/>
                <w:sz w:val="24"/>
              </w:rPr>
            </w:pPr>
            <w:r>
              <w:rPr>
                <w:rFonts w:hint="eastAsia" w:ascii="宋体" w:hAnsi="宋体" w:cs="宋体"/>
                <w:sz w:val="24"/>
              </w:rPr>
              <w:t>和盛校区教学楼实训楼等沉降缝整治，提高校园照明度，消除安全隐患，文家校区危险房屋修补，值班室改造，更换校区老化线路，学生公寓加装配电箱，恢复其功能性，消除安全隐患，确保全院师生人身安全。</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left"/>
              <w:textAlignment w:val="center"/>
              <w:rPr>
                <w:rFonts w:ascii="宋体" w:cs="宋体"/>
                <w:sz w:val="24"/>
              </w:rPr>
            </w:pPr>
            <w:r>
              <w:rPr>
                <w:rFonts w:hint="eastAsia" w:ascii="宋体" w:hAnsi="宋体" w:cs="宋体"/>
                <w:sz w:val="24"/>
              </w:rPr>
              <w:t>完成了文家校区</w:t>
            </w:r>
            <w:r>
              <w:rPr>
                <w:rFonts w:ascii="宋体" w:hAnsi="宋体" w:cs="宋体"/>
                <w:sz w:val="24"/>
              </w:rPr>
              <w:t>2000</w:t>
            </w:r>
            <w:r>
              <w:rPr>
                <w:rFonts w:hint="eastAsia" w:ascii="宋体" w:hAnsi="宋体" w:cs="宋体"/>
                <w:sz w:val="24"/>
              </w:rPr>
              <w:t>米的供电线路更换，新装配电柜一台，</w:t>
            </w:r>
            <w:r>
              <w:rPr>
                <w:rFonts w:ascii="宋体" w:hAnsi="宋体" w:cs="宋体"/>
                <w:sz w:val="24"/>
              </w:rPr>
              <w:t>10</w:t>
            </w:r>
            <w:r>
              <w:rPr>
                <w:rFonts w:hint="eastAsia" w:ascii="宋体" w:hAnsi="宋体" w:cs="宋体"/>
                <w:sz w:val="24"/>
              </w:rPr>
              <w:t>套值班室（隔离房）改造（粉刷面积</w:t>
            </w:r>
            <w:r>
              <w:rPr>
                <w:rFonts w:ascii="宋体" w:hAnsi="宋体" w:cs="宋体"/>
                <w:sz w:val="24"/>
              </w:rPr>
              <w:t>2600</w:t>
            </w:r>
            <w:r>
              <w:rPr>
                <w:rFonts w:hint="eastAsia" w:ascii="宋体" w:hAnsi="宋体" w:cs="宋体"/>
                <w:sz w:val="24"/>
              </w:rPr>
              <w:t>㎡）拆除了教学楼顶铁架、老木工房、东区食堂彩钢棚、东区锅炉房及设备等有严重安全隐患的建筑和设备，保证了文家校区供电线路安全运行，改善了值班人员和隔离室住宿条件。完成了和盛校区</w:t>
            </w:r>
            <w:r>
              <w:rPr>
                <w:rFonts w:ascii="宋体" w:hAnsi="宋体" w:cs="宋体"/>
                <w:sz w:val="24"/>
              </w:rPr>
              <w:t>4</w:t>
            </w:r>
            <w:r>
              <w:rPr>
                <w:rFonts w:hint="eastAsia" w:ascii="宋体" w:hAnsi="宋体" w:cs="宋体"/>
                <w:sz w:val="24"/>
              </w:rPr>
              <w:t>个多功能厅的天沟更换和部分改造，教学楼地面沉降伸缩缝的拆除、安装，消除了教学楼漏水现象，同时新装</w:t>
            </w:r>
            <w:r>
              <w:rPr>
                <w:rFonts w:ascii="宋体" w:hAnsi="宋体" w:cs="宋体"/>
                <w:sz w:val="24"/>
              </w:rPr>
              <w:t>6</w:t>
            </w:r>
            <w:r>
              <w:rPr>
                <w:rFonts w:hint="eastAsia" w:ascii="宋体" w:hAnsi="宋体" w:cs="宋体"/>
                <w:sz w:val="24"/>
              </w:rPr>
              <w:t>米单挑灯</w:t>
            </w:r>
            <w:r>
              <w:rPr>
                <w:rFonts w:ascii="宋体" w:hAnsi="宋体" w:cs="宋体"/>
                <w:sz w:val="24"/>
              </w:rPr>
              <w:t>25</w:t>
            </w:r>
            <w:r>
              <w:rPr>
                <w:rFonts w:hint="eastAsia" w:ascii="宋体" w:hAnsi="宋体" w:cs="宋体"/>
                <w:sz w:val="24"/>
              </w:rPr>
              <w:t>套。所有项目在规定时间全部完成质量合格。确保了全院</w:t>
            </w:r>
            <w:r>
              <w:rPr>
                <w:rFonts w:ascii="宋体" w:hAnsi="宋体" w:cs="宋体"/>
                <w:sz w:val="24"/>
              </w:rPr>
              <w:t>1</w:t>
            </w:r>
            <w:r>
              <w:rPr>
                <w:rFonts w:hint="eastAsia" w:ascii="宋体" w:hAnsi="宋体" w:cs="宋体"/>
                <w:sz w:val="24"/>
              </w:rPr>
              <w:t>万多师生的校园环境安全</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绩效指标完成情况</w:t>
            </w: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一级指标</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预期指标值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实际完成指标值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r>
      <w:tr>
        <w:tblPrEx>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项目完成指标</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pPr>
          </w:p>
          <w:p>
            <w:pPr>
              <w:pageBreakBefore w:val="0"/>
              <w:kinsoku/>
              <w:wordWrap/>
              <w:overflowPunct/>
              <w:topLinePunct w:val="0"/>
              <w:bidi w:val="0"/>
              <w:spacing w:line="640" w:lineRule="exact"/>
              <w:jc w:val="center"/>
              <w:rPr>
                <w:rFonts w:ascii="Calibri" w:hAnsi="Calibri"/>
              </w:rPr>
            </w:pPr>
            <w:r>
              <w:rPr>
                <w:rFonts w:hint="eastAsia"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维修校区沉降缝长度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685</w:t>
            </w:r>
          </w:p>
        </w:tc>
        <w:tc>
          <w:tcPr>
            <w:tcW w:w="239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完成了</w:t>
            </w:r>
            <w:r>
              <w:rPr>
                <w:rFonts w:ascii="宋体" w:hAnsi="宋体" w:cs="宋体"/>
                <w:sz w:val="24"/>
              </w:rPr>
              <w:t>2000</w:t>
            </w:r>
            <w:r>
              <w:rPr>
                <w:rFonts w:hint="eastAsia" w:ascii="宋体" w:hAnsi="宋体" w:cs="宋体"/>
                <w:sz w:val="24"/>
              </w:rPr>
              <w:t>米的供电线路更换，新装配电柜一台，</w:t>
            </w:r>
            <w:r>
              <w:rPr>
                <w:rFonts w:ascii="宋体" w:hAnsi="宋体" w:cs="宋体"/>
                <w:sz w:val="24"/>
              </w:rPr>
              <w:t>10</w:t>
            </w:r>
            <w:r>
              <w:rPr>
                <w:rFonts w:hint="eastAsia" w:ascii="宋体" w:hAnsi="宋体" w:cs="宋体"/>
                <w:sz w:val="24"/>
              </w:rPr>
              <w:t>套值班室（隔离房）改造（粉刷面积</w:t>
            </w:r>
            <w:r>
              <w:rPr>
                <w:rFonts w:ascii="宋体" w:hAnsi="宋体" w:cs="宋体"/>
                <w:sz w:val="24"/>
              </w:rPr>
              <w:t>2600</w:t>
            </w:r>
            <w:r>
              <w:rPr>
                <w:rFonts w:hint="eastAsia" w:ascii="宋体" w:hAnsi="宋体" w:cs="宋体"/>
                <w:sz w:val="24"/>
              </w:rPr>
              <w:t>㎡）拆除了教学楼顶铁架、老木工房、东区食堂彩钢棚、东区锅炉房及设备等。完成了和盛校区</w:t>
            </w:r>
            <w:r>
              <w:rPr>
                <w:rFonts w:ascii="宋体" w:hAnsi="宋体" w:cs="宋体"/>
                <w:sz w:val="24"/>
              </w:rPr>
              <w:t>4</w:t>
            </w:r>
            <w:r>
              <w:rPr>
                <w:rFonts w:hint="eastAsia" w:ascii="宋体" w:hAnsi="宋体" w:cs="宋体"/>
                <w:sz w:val="24"/>
              </w:rPr>
              <w:t>个多功能厅的天沟更换和部分改造，教学楼地面沉降伸缩缝的拆除、安装，新装</w:t>
            </w:r>
            <w:r>
              <w:rPr>
                <w:rFonts w:ascii="宋体" w:hAnsi="宋体" w:cs="宋体"/>
                <w:sz w:val="24"/>
              </w:rPr>
              <w:t>6</w:t>
            </w:r>
            <w:r>
              <w:rPr>
                <w:rFonts w:hint="eastAsia" w:ascii="宋体" w:hAnsi="宋体" w:cs="宋体"/>
                <w:sz w:val="24"/>
              </w:rPr>
              <w:t>米单挑灯</w:t>
            </w:r>
            <w:r>
              <w:rPr>
                <w:rFonts w:ascii="宋体" w:hAnsi="宋体" w:cs="宋体"/>
                <w:sz w:val="24"/>
              </w:rPr>
              <w:t>25</w:t>
            </w:r>
            <w:r>
              <w:rPr>
                <w:rFonts w:hint="eastAsia" w:ascii="宋体" w:hAnsi="宋体" w:cs="宋体"/>
                <w:sz w:val="24"/>
              </w:rPr>
              <w:t>套。</w:t>
            </w:r>
          </w:p>
        </w:tc>
      </w:tr>
      <w:tr>
        <w:tblPrEx>
          <w:tblCellMar>
            <w:top w:w="0" w:type="dxa"/>
            <w:left w:w="0" w:type="dxa"/>
            <w:bottom w:w="0" w:type="dxa"/>
            <w:right w:w="0" w:type="dxa"/>
          </w:tblCellMar>
        </w:tblPrEx>
        <w:trPr>
          <w:trHeight w:val="1297"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项目完成指标</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pPr>
          </w:p>
          <w:p>
            <w:pPr>
              <w:pageBreakBefore w:val="0"/>
              <w:kinsoku/>
              <w:wordWrap/>
              <w:overflowPunct/>
              <w:topLinePunct w:val="0"/>
              <w:bidi w:val="0"/>
              <w:spacing w:line="640" w:lineRule="exact"/>
              <w:jc w:val="center"/>
              <w:rPr>
                <w:rFonts w:ascii="宋体" w:cs="宋体"/>
                <w:sz w:val="24"/>
              </w:rPr>
            </w:pPr>
            <w:r>
              <w:rPr>
                <w:rFonts w:hint="eastAsia"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更换校区老化线路长度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2100</w:t>
            </w:r>
          </w:p>
        </w:tc>
        <w:tc>
          <w:tcPr>
            <w:tcW w:w="2392"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r>
      <w:tr>
        <w:tblPrEx>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项目完成指标</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pPr>
          </w:p>
          <w:p>
            <w:pPr>
              <w:pageBreakBefore w:val="0"/>
              <w:kinsoku/>
              <w:wordWrap/>
              <w:overflowPunct/>
              <w:topLinePunct w:val="0"/>
              <w:bidi w:val="0"/>
              <w:spacing w:line="640" w:lineRule="exact"/>
              <w:jc w:val="center"/>
              <w:rPr>
                <w:rFonts w:ascii="宋体" w:cs="宋体"/>
                <w:sz w:val="24"/>
              </w:rPr>
            </w:pPr>
            <w:r>
              <w:rPr>
                <w:rFonts w:hint="eastAsia"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学生公寓配电箱数量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638</w:t>
            </w:r>
          </w:p>
        </w:tc>
        <w:tc>
          <w:tcPr>
            <w:tcW w:w="2392"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r>
      <w:tr>
        <w:tblPrEx>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项目完成指标</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pPr>
          </w:p>
          <w:p>
            <w:pPr>
              <w:pageBreakBefore w:val="0"/>
              <w:kinsoku/>
              <w:wordWrap/>
              <w:overflowPunct/>
              <w:topLinePunct w:val="0"/>
              <w:bidi w:val="0"/>
              <w:spacing w:line="640" w:lineRule="exact"/>
              <w:jc w:val="center"/>
              <w:rPr>
                <w:rFonts w:ascii="宋体" w:cs="宋体"/>
                <w:sz w:val="24"/>
              </w:rPr>
            </w:pPr>
            <w:r>
              <w:rPr>
                <w:rFonts w:hint="eastAsia"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值班室改造数量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12</w:t>
            </w:r>
          </w:p>
        </w:tc>
        <w:tc>
          <w:tcPr>
            <w:tcW w:w="239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r>
      <w:tr>
        <w:tblPrEx>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项目完成指标</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坚固度和安全性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良好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rPr>
              <w:t>良好</w:t>
            </w:r>
          </w:p>
        </w:tc>
      </w:tr>
      <w:tr>
        <w:tblPrEx>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kern w:val="0"/>
                <w:sz w:val="24"/>
              </w:rPr>
            </w:pPr>
            <w:r>
              <w:rPr>
                <w:rFonts w:hint="eastAsia" w:ascii="宋体" w:hAnsi="宋体" w:cs="宋体"/>
                <w:kern w:val="0"/>
                <w:sz w:val="24"/>
              </w:rPr>
              <w:t>项目完成指标</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2020</w:t>
            </w:r>
            <w:r>
              <w:rPr>
                <w:rFonts w:hint="eastAsia" w:ascii="宋体" w:hAnsi="宋体" w:cs="宋体"/>
                <w:sz w:val="24"/>
              </w:rPr>
              <w:t>年</w:t>
            </w:r>
            <w:r>
              <w:rPr>
                <w:rFonts w:ascii="宋体" w:hAnsi="宋体" w:cs="宋体"/>
                <w:sz w:val="24"/>
              </w:rPr>
              <w:t>10</w:t>
            </w:r>
            <w:r>
              <w:rPr>
                <w:rFonts w:hint="eastAsia" w:ascii="宋体" w:hAnsi="宋体" w:cs="宋体"/>
                <w:sz w:val="24"/>
              </w:rPr>
              <w:t>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2020</w:t>
            </w:r>
            <w:r>
              <w:rPr>
                <w:rFonts w:hint="eastAsia" w:ascii="宋体" w:hAnsi="宋体" w:cs="宋体"/>
                <w:sz w:val="24"/>
              </w:rPr>
              <w:t>年</w:t>
            </w:r>
            <w:r>
              <w:rPr>
                <w:rFonts w:ascii="宋体" w:hAnsi="宋体" w:cs="宋体"/>
                <w:sz w:val="24"/>
              </w:rPr>
              <w:t>10</w:t>
            </w:r>
            <w:r>
              <w:rPr>
                <w:rFonts w:hint="eastAsia" w:ascii="宋体" w:hAnsi="宋体" w:cs="宋体"/>
                <w:sz w:val="24"/>
              </w:rPr>
              <w:t>月</w:t>
            </w:r>
          </w:p>
        </w:tc>
      </w:tr>
      <w:tr>
        <w:tblPrEx>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效益指标</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修缮后可使用时间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5</w:t>
            </w:r>
            <w:r>
              <w:rPr>
                <w:rFonts w:hint="eastAsia" w:ascii="宋体" w:hAnsi="宋体" w:cs="宋体"/>
                <w:sz w:val="24"/>
              </w:rPr>
              <w:t>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ascii="宋体" w:hAnsi="宋体" w:cs="宋体"/>
                <w:sz w:val="24"/>
              </w:rPr>
              <w:t>5</w:t>
            </w:r>
            <w:r>
              <w:rPr>
                <w:rFonts w:hint="eastAsia" w:ascii="宋体" w:hAnsi="宋体" w:cs="宋体"/>
                <w:sz w:val="24"/>
              </w:rPr>
              <w:t>年</w:t>
            </w:r>
          </w:p>
        </w:tc>
      </w:tr>
      <w:tr>
        <w:tblPrEx>
          <w:tblCellMar>
            <w:top w:w="0" w:type="dxa"/>
            <w:left w:w="0" w:type="dxa"/>
            <w:bottom w:w="0" w:type="dxa"/>
            <w:right w:w="0" w:type="dxa"/>
          </w:tblCellMar>
        </w:tblPrEx>
        <w:trPr>
          <w:trHeight w:val="1297"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kern w:val="0"/>
                <w:sz w:val="24"/>
              </w:rPr>
              <w:t>满意度指标</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师生满意度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w:t>
            </w:r>
            <w:r>
              <w:rPr>
                <w:rFonts w:ascii="宋体" w:hAnsi="宋体" w:cs="宋体"/>
                <w:sz w:val="24"/>
              </w:rPr>
              <w:t>=85%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r>
              <w:rPr>
                <w:rFonts w:hint="eastAsia" w:ascii="宋体" w:hAnsi="宋体" w:cs="宋体"/>
                <w:sz w:val="24"/>
              </w:rPr>
              <w:t>》</w:t>
            </w:r>
            <w:r>
              <w:rPr>
                <w:rFonts w:ascii="宋体" w:hAnsi="宋体" w:cs="宋体"/>
                <w:sz w:val="24"/>
              </w:rPr>
              <w:t>=85%</w:t>
            </w:r>
          </w:p>
        </w:tc>
      </w:tr>
      <w:tr>
        <w:tblPrEx>
          <w:tblCellMar>
            <w:top w:w="0" w:type="dxa"/>
            <w:left w:w="0" w:type="dxa"/>
            <w:bottom w:w="0" w:type="dxa"/>
            <w:right w:w="0" w:type="dxa"/>
          </w:tblCellMar>
        </w:tblPrEx>
        <w:trPr>
          <w:trHeight w:val="1297"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kern w:val="0"/>
                <w:sz w:val="24"/>
              </w:rPr>
            </w:pP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r>
      <w:tr>
        <w:tblPrEx>
          <w:tblCellMar>
            <w:top w:w="0" w:type="dxa"/>
            <w:left w:w="0" w:type="dxa"/>
            <w:bottom w:w="0" w:type="dxa"/>
            <w:right w:w="0" w:type="dxa"/>
          </w:tblCellMar>
        </w:tblPrEx>
        <w:trPr>
          <w:trHeight w:val="1050" w:hRule="atLeast"/>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1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640" w:lineRule="exact"/>
              <w:jc w:val="center"/>
              <w:textAlignment w:val="center"/>
              <w:rPr>
                <w:rFonts w:ascii="宋体" w:cs="宋体"/>
                <w:sz w:val="24"/>
              </w:rPr>
            </w:pPr>
          </w:p>
        </w:tc>
      </w:tr>
    </w:tbl>
    <w:p>
      <w:pPr>
        <w:pStyle w:val="2"/>
        <w:pageBreakBefore w:val="0"/>
        <w:kinsoku/>
        <w:wordWrap/>
        <w:overflowPunct/>
        <w:topLinePunct w:val="0"/>
        <w:bidi w:val="0"/>
        <w:spacing w:before="93" w:line="640" w:lineRule="exact"/>
        <w:rPr>
          <w:rFonts w:ascii="楷体_GB2312" w:hAnsi="楷体_GB2312" w:eastAsia="楷体_GB2312" w:cs="楷体_GB2312"/>
          <w:color w:val="0000FF"/>
          <w:sz w:val="32"/>
          <w:szCs w:val="32"/>
        </w:rPr>
      </w:pPr>
    </w:p>
    <w:p>
      <w:pPr>
        <w:pageBreakBefore w:val="0"/>
        <w:kinsoku/>
        <w:wordWrap/>
        <w:overflowPunct/>
        <w:topLinePunct w:val="0"/>
        <w:bidi w:val="0"/>
        <w:spacing w:line="640" w:lineRule="exact"/>
        <w:ind w:left="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2.单位绩效评价结果。</w:t>
      </w:r>
    </w:p>
    <w:p>
      <w:pPr>
        <w:pStyle w:val="2"/>
        <w:pageBreakBefore w:val="0"/>
        <w:kinsoku/>
        <w:wordWrap/>
        <w:overflowPunct/>
        <w:topLinePunct w:val="0"/>
        <w:bidi w:val="0"/>
        <w:spacing w:before="93" w:line="64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本单位自行组织对2020年学生资助经费、两校区消防工程、两校区维修等五个项目开展了绩效评价，</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2020年部门预算项目支出绩效自评报告</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见附件（第四部分）。</w:t>
      </w:r>
    </w:p>
    <w:p>
      <w:pPr>
        <w:pageBreakBefore w:val="0"/>
        <w:widowControl/>
        <w:kinsoku/>
        <w:wordWrap/>
        <w:overflowPunct/>
        <w:topLinePunct w:val="0"/>
        <w:bidi w:val="0"/>
        <w:spacing w:line="640" w:lineRule="exact"/>
        <w:jc w:val="left"/>
        <w:rPr>
          <w:rFonts w:ascii="仿宋_GB2312" w:eastAsia="仿宋_GB2312"/>
          <w:b/>
          <w:sz w:val="32"/>
          <w:szCs w:val="32"/>
        </w:rPr>
      </w:pPr>
      <w:r>
        <w:rPr>
          <w:rFonts w:ascii="仿宋_GB2312" w:eastAsia="仿宋_GB2312"/>
          <w:b/>
          <w:sz w:val="32"/>
          <w:szCs w:val="32"/>
        </w:rPr>
        <w:br w:type="page"/>
      </w:r>
    </w:p>
    <w:p>
      <w:pPr>
        <w:pageBreakBefore w:val="0"/>
        <w:widowControl/>
        <w:kinsoku/>
        <w:wordWrap/>
        <w:overflowPunct/>
        <w:topLinePunct w:val="0"/>
        <w:bidi w:val="0"/>
        <w:spacing w:line="640" w:lineRule="exact"/>
        <w:ind w:firstLine="1760" w:firstLineChars="400"/>
        <w:jc w:val="left"/>
        <w:outlineLvl w:val="0"/>
        <w:rPr>
          <w:rStyle w:val="19"/>
          <w:rFonts w:ascii="黑体" w:hAnsi="黑体" w:eastAsia="黑体"/>
          <w:b w:val="0"/>
        </w:rPr>
      </w:pPr>
      <w:bookmarkStart w:id="123" w:name="_Toc5139"/>
      <w:bookmarkStart w:id="124" w:name="_Toc33468285_WPSOffice_Level1"/>
      <w:bookmarkStart w:id="125" w:name="_Toc15396613"/>
      <w:bookmarkStart w:id="126" w:name="_Toc15377225"/>
      <w:bookmarkStart w:id="127" w:name="_Toc1121028690_WPSOffice_Level1"/>
      <w:r>
        <w:rPr>
          <w:rStyle w:val="19"/>
          <w:rFonts w:hint="eastAsia" w:ascii="黑体" w:hAnsi="黑体" w:eastAsia="黑体"/>
          <w:b w:val="0"/>
        </w:rPr>
        <w:t>第三部份</w:t>
      </w:r>
      <w:r>
        <w:rPr>
          <w:rStyle w:val="19"/>
          <w:rFonts w:ascii="黑体" w:hAnsi="黑体" w:eastAsia="黑体"/>
          <w:b w:val="0"/>
        </w:rPr>
        <w:t xml:space="preserve"> </w:t>
      </w:r>
      <w:r>
        <w:rPr>
          <w:rStyle w:val="19"/>
          <w:rFonts w:hint="eastAsia" w:ascii="黑体" w:hAnsi="黑体" w:eastAsia="黑体"/>
          <w:b w:val="0"/>
        </w:rPr>
        <w:t>名词解释</w:t>
      </w:r>
      <w:bookmarkEnd w:id="123"/>
      <w:bookmarkEnd w:id="124"/>
      <w:bookmarkEnd w:id="125"/>
      <w:bookmarkEnd w:id="126"/>
      <w:bookmarkEnd w:id="127"/>
    </w:p>
    <w:p>
      <w:pPr>
        <w:pageBreakBefore w:val="0"/>
        <w:kinsoku/>
        <w:wordWrap/>
        <w:overflowPunct/>
        <w:topLinePunct w:val="0"/>
        <w:bidi w:val="0"/>
        <w:spacing w:line="640" w:lineRule="exact"/>
        <w:jc w:val="left"/>
        <w:rPr>
          <w:rFonts w:ascii="宋体"/>
          <w:b/>
          <w:color w:val="000000"/>
          <w:sz w:val="44"/>
          <w:szCs w:val="44"/>
        </w:rPr>
      </w:pPr>
    </w:p>
    <w:p>
      <w:pPr>
        <w:pStyle w:val="27"/>
        <w:pageBreakBefore w:val="0"/>
        <w:kinsoku/>
        <w:wordWrap/>
        <w:overflowPunct/>
        <w:topLinePunct w:val="0"/>
        <w:bidi w:val="0"/>
        <w:spacing w:line="640" w:lineRule="exact"/>
        <w:ind w:firstLine="640" w:firstLineChars="200"/>
        <w:jc w:val="both"/>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7"/>
        <w:pageBreakBefore w:val="0"/>
        <w:kinsoku/>
        <w:wordWrap/>
        <w:overflowPunct/>
        <w:topLinePunct w:val="0"/>
        <w:bidi w:val="0"/>
        <w:spacing w:line="640" w:lineRule="exact"/>
        <w:ind w:firstLine="640" w:firstLineChars="200"/>
        <w:jc w:val="both"/>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事业收入：指单位学费及住宿费收入。</w:t>
      </w:r>
    </w:p>
    <w:p>
      <w:pPr>
        <w:pStyle w:val="27"/>
        <w:pageBreakBefore w:val="0"/>
        <w:kinsoku/>
        <w:wordWrap/>
        <w:overflowPunct/>
        <w:topLinePunct w:val="0"/>
        <w:bidi w:val="0"/>
        <w:spacing w:line="640" w:lineRule="exact"/>
        <w:ind w:firstLine="640" w:firstLineChars="200"/>
        <w:jc w:val="both"/>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7"/>
        <w:pageBreakBefore w:val="0"/>
        <w:kinsoku/>
        <w:wordWrap/>
        <w:overflowPunct/>
        <w:topLinePunct w:val="0"/>
        <w:bidi w:val="0"/>
        <w:spacing w:line="640" w:lineRule="exact"/>
        <w:ind w:firstLine="640" w:firstLineChars="200"/>
        <w:jc w:val="both"/>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其他收入：指单位取得的除上述收入以外的各项收入。主要是利息收入、捐赠收入、固定资产出租收入等。</w:t>
      </w:r>
      <w:r>
        <w:rPr>
          <w:rFonts w:ascii="仿宋_GB2312" w:eastAsia="仿宋_GB2312"/>
          <w:color w:val="auto"/>
          <w:sz w:val="32"/>
          <w:szCs w:val="32"/>
        </w:rPr>
        <w:t xml:space="preserve"> </w:t>
      </w:r>
    </w:p>
    <w:p>
      <w:pPr>
        <w:pStyle w:val="27"/>
        <w:pageBreakBefore w:val="0"/>
        <w:kinsoku/>
        <w:wordWrap/>
        <w:overflowPunct/>
        <w:topLinePunct w:val="0"/>
        <w:bidi w:val="0"/>
        <w:spacing w:line="640" w:lineRule="exact"/>
        <w:ind w:firstLine="640" w:firstLineChars="200"/>
        <w:jc w:val="both"/>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pPr>
        <w:pStyle w:val="27"/>
        <w:pageBreakBefore w:val="0"/>
        <w:kinsoku/>
        <w:wordWrap/>
        <w:overflowPunct/>
        <w:topLinePunct w:val="0"/>
        <w:bidi w:val="0"/>
        <w:spacing w:line="640" w:lineRule="exact"/>
        <w:ind w:firstLine="640" w:firstLineChars="200"/>
        <w:jc w:val="both"/>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7"/>
        <w:pageBreakBefore w:val="0"/>
        <w:kinsoku/>
        <w:wordWrap/>
        <w:overflowPunct/>
        <w:topLinePunct w:val="0"/>
        <w:bidi w:val="0"/>
        <w:spacing w:line="640" w:lineRule="exact"/>
        <w:ind w:firstLine="640" w:firstLineChars="200"/>
        <w:jc w:val="both"/>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7"/>
        <w:pageBreakBefore w:val="0"/>
        <w:kinsoku/>
        <w:wordWrap/>
        <w:overflowPunct/>
        <w:topLinePunct w:val="0"/>
        <w:bidi w:val="0"/>
        <w:spacing w:line="640" w:lineRule="exact"/>
        <w:ind w:firstLine="640" w:firstLineChars="200"/>
        <w:jc w:val="both"/>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pStyle w:val="27"/>
        <w:pageBreakBefore w:val="0"/>
        <w:kinsoku/>
        <w:wordWrap/>
        <w:overflowPunct/>
        <w:topLinePunct w:val="0"/>
        <w:bidi w:val="0"/>
        <w:spacing w:line="640" w:lineRule="exact"/>
        <w:ind w:firstLine="640" w:firstLineChars="200"/>
        <w:jc w:val="both"/>
        <w:rPr>
          <w:rFonts w:ascii="仿宋_GB2312" w:eastAsia="仿宋_GB2312"/>
          <w:color w:val="auto"/>
          <w:sz w:val="32"/>
          <w:szCs w:val="32"/>
        </w:rPr>
      </w:pPr>
      <w:r>
        <w:rPr>
          <w:rFonts w:ascii="仿宋_GB2312" w:eastAsia="仿宋_GB2312"/>
          <w:color w:val="auto"/>
          <w:sz w:val="32"/>
          <w:szCs w:val="32"/>
        </w:rPr>
        <w:t>9.</w:t>
      </w:r>
      <w:r>
        <w:rPr>
          <w:rFonts w:hint="eastAsia" w:ascii="仿宋_GB2312" w:eastAsia="仿宋_GB2312"/>
          <w:color w:val="auto"/>
          <w:sz w:val="32"/>
          <w:szCs w:val="32"/>
        </w:rPr>
        <w:t>教育支出（类）职业教育（款）高等职业教育（项）：指四川商务职业学院的基本支出及项目支出。</w:t>
      </w:r>
    </w:p>
    <w:p>
      <w:pPr>
        <w:pStyle w:val="27"/>
        <w:pageBreakBefore w:val="0"/>
        <w:kinsoku/>
        <w:wordWrap/>
        <w:overflowPunct/>
        <w:topLinePunct w:val="0"/>
        <w:bidi w:val="0"/>
        <w:spacing w:line="640" w:lineRule="exact"/>
        <w:ind w:firstLine="640" w:firstLineChars="200"/>
        <w:jc w:val="both"/>
        <w:rPr>
          <w:rFonts w:ascii="仿宋_GB2312" w:eastAsia="仿宋_GB2312"/>
          <w:color w:val="auto"/>
          <w:sz w:val="32"/>
          <w:szCs w:val="32"/>
        </w:rPr>
      </w:pPr>
      <w:r>
        <w:rPr>
          <w:rFonts w:ascii="仿宋_GB2312" w:eastAsia="仿宋_GB2312"/>
          <w:color w:val="auto"/>
          <w:sz w:val="32"/>
          <w:szCs w:val="32"/>
        </w:rPr>
        <w:t>10.</w:t>
      </w:r>
      <w:r>
        <w:rPr>
          <w:rFonts w:hint="eastAsia" w:ascii="仿宋_GB2312" w:eastAsia="仿宋_GB2312"/>
          <w:color w:val="auto"/>
          <w:sz w:val="32"/>
          <w:szCs w:val="32"/>
        </w:rPr>
        <w:t>社会保障和就业支出（类）行政事业单位养老支出（款）事业单位离退休（项）：单位开展的离退休经费支出。</w:t>
      </w:r>
    </w:p>
    <w:p>
      <w:pPr>
        <w:pageBreakBefore w:val="0"/>
        <w:kinsoku/>
        <w:wordWrap/>
        <w:overflowPunct/>
        <w:topLinePunct w:val="0"/>
        <w:bidi w:val="0"/>
        <w:spacing w:line="640" w:lineRule="exact"/>
        <w:ind w:firstLine="640"/>
        <w:rPr>
          <w:rFonts w:ascii="仿宋_GB2312" w:eastAsia="仿宋_GB2312"/>
          <w:color w:val="auto"/>
          <w:sz w:val="32"/>
          <w:szCs w:val="32"/>
        </w:rPr>
      </w:pPr>
      <w:r>
        <w:rPr>
          <w:rFonts w:ascii="仿宋_GB2312" w:hAnsi="Calibri" w:eastAsia="仿宋_GB2312" w:cs="仿宋"/>
          <w:color w:val="auto"/>
          <w:kern w:val="0"/>
          <w:sz w:val="32"/>
          <w:szCs w:val="32"/>
        </w:rPr>
        <w:t>11.</w:t>
      </w:r>
      <w:r>
        <w:rPr>
          <w:rFonts w:hint="eastAsia" w:ascii="仿宋_GB2312" w:hAnsi="Calibri" w:eastAsia="仿宋_GB2312" w:cs="仿宋"/>
          <w:color w:val="auto"/>
          <w:kern w:val="0"/>
          <w:sz w:val="32"/>
          <w:szCs w:val="32"/>
        </w:rPr>
        <w:t>商业服务业等支出（类）商业流通事务（款）其他商业流通事务支出（项）：</w:t>
      </w:r>
      <w:r>
        <w:rPr>
          <w:rFonts w:hint="eastAsia" w:ascii="仿宋_GB2312" w:eastAsia="仿宋_GB2312"/>
          <w:color w:val="auto"/>
          <w:sz w:val="32"/>
          <w:szCs w:val="32"/>
        </w:rPr>
        <w:t>指下达定向生经费。</w:t>
      </w:r>
    </w:p>
    <w:p>
      <w:pPr>
        <w:pageBreakBefore w:val="0"/>
        <w:kinsoku/>
        <w:wordWrap/>
        <w:overflowPunct/>
        <w:topLinePunct w:val="0"/>
        <w:bidi w:val="0"/>
        <w:spacing w:line="640" w:lineRule="exact"/>
        <w:ind w:firstLine="640" w:firstLineChars="200"/>
        <w:rPr>
          <w:rFonts w:ascii="仿宋_GB2312" w:eastAsia="仿宋_GB2312"/>
          <w:color w:val="auto"/>
          <w:sz w:val="32"/>
          <w:szCs w:val="32"/>
        </w:rPr>
      </w:pPr>
      <w:r>
        <w:rPr>
          <w:rFonts w:ascii="仿宋_GB2312" w:eastAsia="仿宋_GB2312"/>
          <w:color w:val="auto"/>
          <w:sz w:val="32"/>
          <w:szCs w:val="32"/>
        </w:rPr>
        <w:t>13.</w:t>
      </w:r>
      <w:r>
        <w:rPr>
          <w:rFonts w:hint="eastAsia" w:ascii="仿宋_GB2312" w:eastAsia="仿宋_GB2312"/>
          <w:color w:val="auto"/>
          <w:sz w:val="32"/>
          <w:szCs w:val="32"/>
        </w:rPr>
        <w:t>基本支出：指为保障机构正常运转、完成日常工作任务而发生的人员支出和公用支出。</w:t>
      </w:r>
    </w:p>
    <w:p>
      <w:pPr>
        <w:pageBreakBefore w:val="0"/>
        <w:kinsoku/>
        <w:wordWrap/>
        <w:overflowPunct/>
        <w:topLinePunct w:val="0"/>
        <w:bidi w:val="0"/>
        <w:spacing w:line="640" w:lineRule="exact"/>
        <w:ind w:firstLine="640" w:firstLineChars="200"/>
        <w:rPr>
          <w:rFonts w:ascii="仿宋_GB2312" w:eastAsia="仿宋_GB2312"/>
          <w:color w:val="auto"/>
          <w:sz w:val="32"/>
          <w:szCs w:val="32"/>
        </w:rPr>
      </w:pPr>
      <w:r>
        <w:rPr>
          <w:rFonts w:ascii="仿宋_GB2312" w:eastAsia="仿宋_GB2312"/>
          <w:color w:val="auto"/>
          <w:sz w:val="32"/>
          <w:szCs w:val="32"/>
        </w:rPr>
        <w:t>14.</w:t>
      </w:r>
      <w:r>
        <w:rPr>
          <w:rFonts w:hint="eastAsia" w:ascii="仿宋_GB2312" w:eastAsia="仿宋_GB2312"/>
          <w:color w:val="auto"/>
          <w:sz w:val="32"/>
          <w:szCs w:val="32"/>
        </w:rPr>
        <w:t>项目支出：指在基本支出之外为完成特定行政任务和事业发展目标所发生的支出。</w:t>
      </w:r>
      <w:r>
        <w:rPr>
          <w:rFonts w:ascii="仿宋_GB2312" w:eastAsia="仿宋_GB2312"/>
          <w:color w:val="auto"/>
          <w:sz w:val="32"/>
          <w:szCs w:val="32"/>
        </w:rPr>
        <w:t xml:space="preserve"> </w:t>
      </w:r>
    </w:p>
    <w:p>
      <w:pPr>
        <w:pageBreakBefore w:val="0"/>
        <w:kinsoku/>
        <w:wordWrap/>
        <w:overflowPunct/>
        <w:topLinePunct w:val="0"/>
        <w:bidi w:val="0"/>
        <w:spacing w:line="640" w:lineRule="exact"/>
        <w:ind w:firstLine="640" w:firstLineChars="200"/>
        <w:rPr>
          <w:rFonts w:ascii="仿宋_GB2312" w:eastAsia="仿宋_GB2312"/>
          <w:color w:val="auto"/>
          <w:sz w:val="32"/>
          <w:szCs w:val="32"/>
        </w:rPr>
      </w:pPr>
      <w:r>
        <w:rPr>
          <w:rFonts w:ascii="仿宋_GB2312" w:eastAsia="仿宋_GB2312"/>
          <w:color w:val="auto"/>
          <w:sz w:val="32"/>
          <w:szCs w:val="32"/>
        </w:rPr>
        <w:t>15.</w:t>
      </w:r>
      <w:r>
        <w:rPr>
          <w:rFonts w:hint="eastAsia" w:ascii="仿宋_GB2312" w:eastAsia="仿宋_GB2312"/>
          <w:color w:val="auto"/>
          <w:sz w:val="32"/>
          <w:szCs w:val="32"/>
        </w:rPr>
        <w:t>经营支出：指事业单位在专业业务活动及其辅助活动之外开展非独立核算经营活动发生的支出。</w:t>
      </w:r>
    </w:p>
    <w:p>
      <w:pPr>
        <w:pStyle w:val="27"/>
        <w:pageBreakBefore w:val="0"/>
        <w:kinsoku/>
        <w:wordWrap/>
        <w:overflowPunct/>
        <w:topLinePunct w:val="0"/>
        <w:bidi w:val="0"/>
        <w:spacing w:line="640" w:lineRule="exact"/>
        <w:ind w:firstLine="640" w:firstLineChars="200"/>
        <w:jc w:val="both"/>
        <w:rPr>
          <w:rFonts w:ascii="仿宋_GB2312" w:eastAsia="仿宋_GB2312"/>
          <w:sz w:val="32"/>
          <w:szCs w:val="32"/>
        </w:rPr>
      </w:pPr>
      <w:r>
        <w:rPr>
          <w:rFonts w:ascii="仿宋_GB2312" w:eastAsia="仿宋_GB2312"/>
          <w:color w:val="auto"/>
          <w:sz w:val="32"/>
          <w:szCs w:val="32"/>
        </w:rPr>
        <w:t>16.</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w:t>
      </w:r>
      <w:r>
        <w:rPr>
          <w:rFonts w:hint="eastAsia" w:ascii="仿宋_GB2312" w:eastAsia="仿宋_GB2312"/>
          <w:sz w:val="32"/>
          <w:szCs w:val="32"/>
        </w:rPr>
        <w:t>类公务接待（含外宾接待）支出。</w:t>
      </w:r>
    </w:p>
    <w:p>
      <w:pPr>
        <w:pageBreakBefore w:val="0"/>
        <w:kinsoku/>
        <w:wordWrap/>
        <w:overflowPunct/>
        <w:topLinePunct w:val="0"/>
        <w:bidi w:val="0"/>
        <w:spacing w:line="640" w:lineRule="exact"/>
        <w:jc w:val="center"/>
        <w:rPr>
          <w:rFonts w:ascii="黑体" w:hAnsi="黑体" w:eastAsia="黑体"/>
          <w:color w:val="000000"/>
          <w:sz w:val="44"/>
          <w:szCs w:val="44"/>
        </w:rPr>
      </w:pPr>
      <w:bookmarkStart w:id="128" w:name="_Toc15396614"/>
      <w:r>
        <w:rPr>
          <w:rFonts w:ascii="黑体" w:hAnsi="黑体" w:eastAsia="黑体"/>
          <w:color w:val="000000"/>
          <w:sz w:val="44"/>
          <w:szCs w:val="44"/>
        </w:rPr>
        <w:br w:type="page"/>
      </w:r>
    </w:p>
    <w:p>
      <w:pPr>
        <w:pageBreakBefore w:val="0"/>
        <w:kinsoku/>
        <w:wordWrap/>
        <w:overflowPunct/>
        <w:topLinePunct w:val="0"/>
        <w:bidi w:val="0"/>
        <w:spacing w:line="640" w:lineRule="exact"/>
        <w:jc w:val="center"/>
        <w:rPr>
          <w:rFonts w:ascii="黑体" w:hAnsi="黑体" w:eastAsia="黑体"/>
          <w:color w:val="000000"/>
          <w:sz w:val="44"/>
          <w:szCs w:val="44"/>
        </w:rPr>
      </w:pPr>
    </w:p>
    <w:p>
      <w:pPr>
        <w:pageBreakBefore w:val="0"/>
        <w:kinsoku/>
        <w:wordWrap/>
        <w:overflowPunct/>
        <w:topLinePunct w:val="0"/>
        <w:bidi w:val="0"/>
        <w:spacing w:line="640" w:lineRule="exact"/>
        <w:ind w:firstLine="2640" w:firstLineChars="600"/>
        <w:outlineLvl w:val="0"/>
        <w:rPr>
          <w:rStyle w:val="19"/>
          <w:rFonts w:ascii="黑体" w:hAnsi="黑体" w:eastAsia="黑体"/>
          <w:b w:val="0"/>
        </w:rPr>
      </w:pPr>
      <w:bookmarkStart w:id="129" w:name="_Toc24566"/>
      <w:bookmarkStart w:id="130" w:name="_Toc368987658_WPSOffice_Level1"/>
      <w:bookmarkStart w:id="131" w:name="_Toc1264174139_WPSOffice_Level1"/>
      <w:r>
        <w:rPr>
          <w:rFonts w:hint="eastAsia" w:ascii="黑体" w:hAnsi="黑体" w:eastAsia="黑体"/>
          <w:color w:val="000000"/>
          <w:sz w:val="44"/>
          <w:szCs w:val="44"/>
        </w:rPr>
        <w:t>第</w:t>
      </w:r>
      <w:r>
        <w:rPr>
          <w:rStyle w:val="19"/>
          <w:rFonts w:hint="eastAsia" w:ascii="黑体" w:hAnsi="黑体" w:eastAsia="黑体"/>
          <w:b w:val="0"/>
        </w:rPr>
        <w:t>四部分</w:t>
      </w:r>
      <w:r>
        <w:rPr>
          <w:rStyle w:val="19"/>
          <w:rFonts w:ascii="黑体" w:hAnsi="黑体" w:eastAsia="黑体"/>
          <w:b w:val="0"/>
        </w:rPr>
        <w:t xml:space="preserve"> </w:t>
      </w:r>
      <w:r>
        <w:rPr>
          <w:rStyle w:val="19"/>
          <w:rFonts w:hint="eastAsia" w:ascii="黑体" w:hAnsi="黑体" w:eastAsia="黑体"/>
          <w:b w:val="0"/>
        </w:rPr>
        <w:t>附件</w:t>
      </w:r>
      <w:bookmarkEnd w:id="128"/>
      <w:bookmarkEnd w:id="129"/>
      <w:bookmarkEnd w:id="130"/>
      <w:bookmarkEnd w:id="131"/>
    </w:p>
    <w:p>
      <w:pPr>
        <w:pageBreakBefore w:val="0"/>
        <w:kinsoku/>
        <w:wordWrap/>
        <w:overflowPunct/>
        <w:topLinePunct w:val="0"/>
        <w:bidi w:val="0"/>
        <w:spacing w:line="640" w:lineRule="exact"/>
        <w:rPr>
          <w:rFonts w:ascii="仿宋_GB2312" w:hAnsi="仿宋_GB2312" w:eastAsia="仿宋_GB2312" w:cs="仿宋_GB2312"/>
          <w:sz w:val="32"/>
          <w:szCs w:val="32"/>
        </w:rPr>
      </w:pPr>
    </w:p>
    <w:p>
      <w:pPr>
        <w:pageBreakBefore w:val="0"/>
        <w:kinsoku/>
        <w:wordWrap/>
        <w:overflowPunct/>
        <w:topLinePunct w:val="0"/>
        <w:bidi w:val="0"/>
        <w:snapToGrid w:val="0"/>
        <w:spacing w:line="640" w:lineRule="exact"/>
        <w:ind w:firstLine="440" w:firstLineChars="100"/>
        <w:rPr>
          <w:rFonts w:ascii="方正小标宋简体" w:hAnsi="宋体" w:eastAsia="方正小标宋简体"/>
          <w:sz w:val="44"/>
          <w:szCs w:val="44"/>
        </w:rPr>
      </w:pPr>
      <w:bookmarkStart w:id="132" w:name="_Toc1651494791_WPSOffice_Level2"/>
      <w:bookmarkStart w:id="133" w:name="_Toc1403920368_WPSOffice_Level2"/>
      <w:bookmarkStart w:id="134" w:name="_Toc2053044474_WPSOffice_Level2"/>
      <w:bookmarkStart w:id="135" w:name="_Toc1573808037_WPSOffice_Level2"/>
      <w:bookmarkStart w:id="136" w:name="_Toc675913152_WPSOffice_Level2"/>
      <w:bookmarkStart w:id="137" w:name="_Toc1226670875_WPSOffice_Level2"/>
      <w:bookmarkStart w:id="138" w:name="_Toc26104884_WPSOffice_Level2"/>
      <w:bookmarkStart w:id="139" w:name="_Toc931811752_WPSOffice_Level2"/>
      <w:bookmarkStart w:id="140" w:name="_Toc1409848406_WPSOffice_Level2"/>
      <w:bookmarkStart w:id="141" w:name="_Toc15377226"/>
      <w:r>
        <w:rPr>
          <w:rFonts w:ascii="方正小标宋简体" w:hAnsi="宋体" w:eastAsia="方正小标宋简体"/>
          <w:sz w:val="44"/>
          <w:szCs w:val="44"/>
        </w:rPr>
        <w:t>2020</w:t>
      </w:r>
      <w:r>
        <w:rPr>
          <w:rFonts w:hint="eastAsia" w:ascii="方正小标宋简体" w:hAnsi="宋体" w:eastAsia="方正小标宋简体"/>
          <w:sz w:val="44"/>
          <w:szCs w:val="44"/>
        </w:rPr>
        <w:t>年部门预算项目支出绩效自评报告</w:t>
      </w:r>
      <w:bookmarkEnd w:id="132"/>
      <w:bookmarkEnd w:id="133"/>
      <w:bookmarkEnd w:id="134"/>
      <w:bookmarkEnd w:id="135"/>
      <w:bookmarkEnd w:id="136"/>
      <w:bookmarkEnd w:id="137"/>
      <w:bookmarkEnd w:id="138"/>
      <w:bookmarkEnd w:id="139"/>
      <w:bookmarkEnd w:id="140"/>
    </w:p>
    <w:p>
      <w:pPr>
        <w:pageBreakBefore w:val="0"/>
        <w:tabs>
          <w:tab w:val="left" w:pos="3885"/>
        </w:tabs>
        <w:kinsoku/>
        <w:wordWrap/>
        <w:overflowPunct/>
        <w:topLinePunct w:val="0"/>
        <w:bidi w:val="0"/>
        <w:snapToGrid w:val="0"/>
        <w:spacing w:line="640" w:lineRule="exact"/>
        <w:jc w:val="center"/>
        <w:rPr>
          <w:rFonts w:hAnsi="宋体" w:eastAsia="仿宋_GB2312"/>
          <w:sz w:val="32"/>
          <w:szCs w:val="32"/>
        </w:rPr>
      </w:pPr>
      <w:r>
        <w:rPr>
          <w:rFonts w:hint="eastAsia" w:hAnsi="宋体" w:eastAsia="仿宋_GB2312"/>
          <w:sz w:val="32"/>
          <w:szCs w:val="32"/>
        </w:rPr>
        <w:t>（</w:t>
      </w:r>
      <w:r>
        <w:rPr>
          <w:rFonts w:hint="eastAsia" w:ascii="仿宋_GB2312" w:hAnsi="仿宋_GB2312" w:eastAsia="仿宋_GB2312" w:cs="仿宋_GB2312"/>
          <w:sz w:val="32"/>
          <w:szCs w:val="21"/>
        </w:rPr>
        <w:t>两校区消防工程项目</w:t>
      </w:r>
      <w:r>
        <w:rPr>
          <w:rFonts w:hint="eastAsia" w:hAnsi="宋体" w:eastAsia="仿宋_GB2312"/>
          <w:sz w:val="32"/>
          <w:szCs w:val="32"/>
        </w:rPr>
        <w:t>）</w:t>
      </w:r>
    </w:p>
    <w:p>
      <w:pPr>
        <w:pageBreakBefore w:val="0"/>
        <w:suppressAutoHyphens/>
        <w:kinsoku/>
        <w:wordWrap/>
        <w:overflowPunct/>
        <w:topLinePunct w:val="0"/>
        <w:bidi w:val="0"/>
        <w:spacing w:line="640" w:lineRule="exact"/>
        <w:ind w:firstLine="640" w:firstLineChars="200"/>
        <w:rPr>
          <w:rFonts w:ascii="黑体" w:hAnsi="黑体" w:eastAsia="黑体"/>
          <w:bCs/>
          <w:sz w:val="32"/>
          <w:szCs w:val="32"/>
        </w:rPr>
      </w:pPr>
      <w:bookmarkStart w:id="142" w:name="_Toc1645920883_WPSOffice_Level2"/>
      <w:bookmarkStart w:id="143" w:name="_Toc433658213_WPSOffice_Level2"/>
      <w:bookmarkStart w:id="144" w:name="_Toc2047934407_WPSOffice_Level2"/>
      <w:bookmarkStart w:id="145" w:name="_Toc554791914_WPSOffice_Level2"/>
      <w:bookmarkStart w:id="146" w:name="_Toc516097659_WPSOffice_Level2"/>
      <w:bookmarkStart w:id="147" w:name="_Toc434955388_WPSOffice_Level2"/>
      <w:bookmarkStart w:id="148" w:name="_Toc877801130_WPSOffice_Level2"/>
      <w:bookmarkStart w:id="149" w:name="_Toc1221523775_WPSOffice_Level2"/>
      <w:bookmarkStart w:id="150" w:name="_Toc745083991_WPSOffice_Level2"/>
      <w:r>
        <w:rPr>
          <w:rFonts w:hint="eastAsia" w:ascii="黑体" w:hAnsi="黑体" w:eastAsia="黑体"/>
          <w:bCs/>
          <w:sz w:val="32"/>
          <w:szCs w:val="32"/>
        </w:rPr>
        <w:t>一、基本情况</w:t>
      </w:r>
      <w:bookmarkEnd w:id="142"/>
      <w:bookmarkEnd w:id="143"/>
      <w:bookmarkEnd w:id="144"/>
      <w:bookmarkEnd w:id="145"/>
      <w:bookmarkEnd w:id="146"/>
      <w:bookmarkEnd w:id="147"/>
      <w:bookmarkEnd w:id="148"/>
      <w:bookmarkEnd w:id="149"/>
      <w:bookmarkEnd w:id="150"/>
    </w:p>
    <w:p>
      <w:pPr>
        <w:pageBreakBefore w:val="0"/>
        <w:suppressAutoHyphens/>
        <w:kinsoku/>
        <w:wordWrap/>
        <w:overflowPunct/>
        <w:topLinePunct w:val="0"/>
        <w:bidi w:val="0"/>
        <w:spacing w:line="640" w:lineRule="exact"/>
        <w:ind w:firstLine="642" w:firstLineChars="200"/>
        <w:rPr>
          <w:rFonts w:ascii="楷体_GB2312" w:eastAsia="楷体_GB2312"/>
          <w:b/>
          <w:sz w:val="32"/>
          <w:szCs w:val="32"/>
        </w:rPr>
      </w:pPr>
      <w:r>
        <w:rPr>
          <w:rFonts w:hint="eastAsia" w:ascii="楷体_GB2312" w:eastAsia="楷体_GB2312"/>
          <w:b/>
          <w:sz w:val="32"/>
          <w:szCs w:val="32"/>
        </w:rPr>
        <w:t>（一）项目概况</w:t>
      </w:r>
    </w:p>
    <w:p>
      <w:pPr>
        <w:pageBreakBefore w:val="0"/>
        <w:suppressAutoHyphens/>
        <w:kinsoku/>
        <w:wordWrap/>
        <w:overflowPunct/>
        <w:topLinePunct w:val="0"/>
        <w:bidi w:val="0"/>
        <w:spacing w:line="640" w:lineRule="exact"/>
        <w:ind w:firstLine="640" w:firstLineChars="200"/>
        <w:rPr>
          <w:rFonts w:ascii="仿宋_GB2312" w:eastAsia="仿宋_GB2312"/>
          <w:sz w:val="32"/>
          <w:szCs w:val="32"/>
        </w:rPr>
      </w:pPr>
      <w:r>
        <w:rPr>
          <w:rFonts w:hint="eastAsia" w:ascii="仿宋_GB2312" w:eastAsia="仿宋_GB2312"/>
          <w:sz w:val="32"/>
          <w:szCs w:val="32"/>
        </w:rPr>
        <w:t>四川商务职业学院前期未安装消防智能控制系统，和盛校区安装的应急照明和安全指示设施设备也长期、大量被人为损坏，两校区食堂也无烟道灭火装置，这既不符合消防要求也存在重大安全隐患，特此设立消防工程项目。</w:t>
      </w:r>
    </w:p>
    <w:p>
      <w:pPr>
        <w:pageBreakBefore w:val="0"/>
        <w:suppressAutoHyphens/>
        <w:kinsoku/>
        <w:wordWrap/>
        <w:overflowPunct/>
        <w:topLinePunct w:val="0"/>
        <w:bidi w:val="0"/>
        <w:spacing w:line="640" w:lineRule="exact"/>
        <w:ind w:firstLine="642" w:firstLineChars="200"/>
        <w:rPr>
          <w:rFonts w:ascii="楷体_GB2312" w:eastAsia="楷体_GB2312"/>
          <w:b/>
          <w:sz w:val="32"/>
          <w:szCs w:val="32"/>
        </w:rPr>
      </w:pPr>
      <w:r>
        <w:rPr>
          <w:rFonts w:hint="eastAsia" w:ascii="楷体_GB2312" w:eastAsia="楷体_GB2312"/>
          <w:b/>
          <w:sz w:val="32"/>
          <w:szCs w:val="32"/>
        </w:rPr>
        <w:t>（二）项目实施情况</w:t>
      </w:r>
    </w:p>
    <w:p>
      <w:pPr>
        <w:pageBreakBefore w:val="0"/>
        <w:suppressAutoHyphens/>
        <w:kinsoku/>
        <w:wordWrap/>
        <w:overflowPunct/>
        <w:topLinePunct w:val="0"/>
        <w:bidi w:val="0"/>
        <w:spacing w:line="640" w:lineRule="exact"/>
        <w:ind w:firstLine="640" w:firstLineChars="200"/>
        <w:rPr>
          <w:rFonts w:ascii="仿宋_GB2312" w:eastAsia="仿宋_GB2312"/>
          <w:sz w:val="32"/>
          <w:szCs w:val="32"/>
        </w:rPr>
      </w:pPr>
      <w:r>
        <w:rPr>
          <w:rFonts w:hint="eastAsia" w:ascii="仿宋_GB2312" w:eastAsia="仿宋_GB2312"/>
          <w:sz w:val="32"/>
          <w:szCs w:val="32"/>
        </w:rPr>
        <w:t>该项目的实施符合国家的现行政策，坚持“公平、公正、公开”的原则，专款专用，确保校园消防安全，同时保障了教学和生活秩序的正常运行。</w:t>
      </w:r>
    </w:p>
    <w:p>
      <w:pPr>
        <w:pageBreakBefore w:val="0"/>
        <w:suppressAutoHyphens/>
        <w:kinsoku/>
        <w:wordWrap/>
        <w:overflowPunct/>
        <w:topLinePunct w:val="0"/>
        <w:bidi w:val="0"/>
        <w:spacing w:line="640" w:lineRule="exact"/>
        <w:ind w:firstLine="642" w:firstLineChars="200"/>
        <w:rPr>
          <w:rFonts w:ascii="楷体_GB2312" w:eastAsia="楷体_GB2312"/>
          <w:b/>
          <w:sz w:val="32"/>
          <w:szCs w:val="32"/>
        </w:rPr>
      </w:pPr>
      <w:r>
        <w:rPr>
          <w:rFonts w:hint="eastAsia" w:ascii="楷体_GB2312" w:eastAsia="楷体_GB2312"/>
          <w:b/>
          <w:sz w:val="32"/>
          <w:szCs w:val="32"/>
        </w:rPr>
        <w:t>（三）资金投入使用情况</w:t>
      </w:r>
    </w:p>
    <w:p>
      <w:pPr>
        <w:pageBreakBefore w:val="0"/>
        <w:suppressAutoHyphens/>
        <w:kinsoku/>
        <w:wordWrap/>
        <w:overflowPunct/>
        <w:topLinePunct w:val="0"/>
        <w:bidi w:val="0"/>
        <w:spacing w:line="640" w:lineRule="exact"/>
        <w:ind w:firstLine="640" w:firstLineChars="200"/>
        <w:rPr>
          <w:rFonts w:ascii="仿宋_GB2312" w:eastAsia="仿宋_GB2312"/>
          <w:sz w:val="32"/>
          <w:szCs w:val="32"/>
        </w:rPr>
      </w:pPr>
      <w:r>
        <w:rPr>
          <w:rFonts w:ascii="仿宋_GB2312" w:eastAsia="仿宋_GB2312"/>
          <w:sz w:val="32"/>
          <w:szCs w:val="32"/>
        </w:rPr>
        <w:t>2020</w:t>
      </w:r>
      <w:r>
        <w:rPr>
          <w:rFonts w:hint="eastAsia" w:ascii="仿宋_GB2312" w:eastAsia="仿宋_GB2312"/>
          <w:sz w:val="32"/>
          <w:szCs w:val="32"/>
        </w:rPr>
        <w:t>年，我院食堂消防专项资金到位率</w:t>
      </w:r>
      <w:r>
        <w:rPr>
          <w:rFonts w:ascii="仿宋_GB2312" w:eastAsia="仿宋_GB2312"/>
          <w:sz w:val="32"/>
          <w:szCs w:val="32"/>
        </w:rPr>
        <w:t>100%</w:t>
      </w:r>
      <w:r>
        <w:rPr>
          <w:rFonts w:hint="eastAsia" w:ascii="仿宋_GB2312" w:eastAsia="仿宋_GB2312"/>
          <w:sz w:val="32"/>
          <w:szCs w:val="32"/>
        </w:rPr>
        <w:t>，预算金额</w:t>
      </w:r>
      <w:r>
        <w:rPr>
          <w:rFonts w:ascii="仿宋_GB2312" w:eastAsia="仿宋_GB2312"/>
          <w:sz w:val="32"/>
          <w:szCs w:val="32"/>
        </w:rPr>
        <w:t>150</w:t>
      </w:r>
      <w:r>
        <w:rPr>
          <w:rFonts w:hint="eastAsia" w:ascii="仿宋_GB2312" w:eastAsia="仿宋_GB2312"/>
          <w:sz w:val="32"/>
          <w:szCs w:val="32"/>
        </w:rPr>
        <w:t>万元</w:t>
      </w:r>
      <w:r>
        <w:rPr>
          <w:rFonts w:hint="eastAsia" w:ascii="仿宋_GB2312" w:eastAsia="仿宋_GB2312"/>
          <w:color w:val="auto"/>
          <w:sz w:val="32"/>
          <w:szCs w:val="32"/>
        </w:rPr>
        <w:t>，中标金额</w:t>
      </w:r>
      <w:r>
        <w:rPr>
          <w:rFonts w:ascii="仿宋_GB2312" w:eastAsia="仿宋_GB2312"/>
          <w:color w:val="auto"/>
          <w:sz w:val="32"/>
          <w:szCs w:val="32"/>
        </w:rPr>
        <w:t>149.71</w:t>
      </w:r>
      <w:r>
        <w:rPr>
          <w:rFonts w:hint="eastAsia" w:ascii="仿宋_GB2312" w:eastAsia="仿宋_GB2312"/>
          <w:color w:val="auto"/>
          <w:sz w:val="32"/>
          <w:szCs w:val="32"/>
        </w:rPr>
        <w:t>万元，送</w:t>
      </w:r>
      <w:r>
        <w:rPr>
          <w:rFonts w:hint="eastAsia" w:ascii="仿宋_GB2312" w:eastAsia="仿宋_GB2312"/>
          <w:sz w:val="32"/>
          <w:szCs w:val="32"/>
        </w:rPr>
        <w:t>审金额</w:t>
      </w:r>
      <w:r>
        <w:rPr>
          <w:rFonts w:ascii="仿宋_GB2312" w:eastAsia="仿宋_GB2312"/>
          <w:sz w:val="32"/>
          <w:szCs w:val="32"/>
        </w:rPr>
        <w:t>1608290.87</w:t>
      </w:r>
      <w:r>
        <w:rPr>
          <w:rFonts w:hint="eastAsia" w:ascii="仿宋_GB2312" w:eastAsia="仿宋_GB2312"/>
          <w:sz w:val="32"/>
          <w:szCs w:val="32"/>
        </w:rPr>
        <w:t>元，审定金额</w:t>
      </w:r>
      <w:r>
        <w:rPr>
          <w:rFonts w:ascii="仿宋_GB2312" w:eastAsia="仿宋_GB2312"/>
          <w:sz w:val="32"/>
          <w:szCs w:val="32"/>
        </w:rPr>
        <w:t>1451339.60</w:t>
      </w:r>
      <w:r>
        <w:rPr>
          <w:rFonts w:hint="eastAsia" w:ascii="仿宋_GB2312" w:eastAsia="仿宋_GB2312"/>
          <w:sz w:val="32"/>
          <w:szCs w:val="32"/>
        </w:rPr>
        <w:t>元。按照合同要求，在项目完工验收合格并通过审计后支付了</w:t>
      </w:r>
      <w:r>
        <w:rPr>
          <w:rFonts w:ascii="仿宋_GB2312" w:eastAsia="仿宋_GB2312"/>
          <w:sz w:val="32"/>
          <w:szCs w:val="32"/>
        </w:rPr>
        <w:t>1451339.60</w:t>
      </w:r>
      <w:r>
        <w:rPr>
          <w:rFonts w:hint="eastAsia" w:ascii="仿宋_GB2312" w:eastAsia="仿宋_GB2312"/>
          <w:sz w:val="32"/>
          <w:szCs w:val="32"/>
        </w:rPr>
        <w:t>元，剩余专项资金全额返还财政。</w:t>
      </w:r>
    </w:p>
    <w:p>
      <w:pPr>
        <w:pageBreakBefore w:val="0"/>
        <w:suppressAutoHyphens/>
        <w:kinsoku/>
        <w:wordWrap/>
        <w:overflowPunct/>
        <w:topLinePunct w:val="0"/>
        <w:bidi w:val="0"/>
        <w:spacing w:line="640" w:lineRule="exact"/>
        <w:ind w:firstLine="642" w:firstLineChars="200"/>
        <w:rPr>
          <w:rFonts w:ascii="楷体_GB2312" w:eastAsia="楷体_GB2312"/>
          <w:b/>
          <w:sz w:val="32"/>
          <w:szCs w:val="32"/>
        </w:rPr>
      </w:pPr>
      <w:r>
        <w:rPr>
          <w:rFonts w:hint="eastAsia" w:ascii="楷体_GB2312" w:eastAsia="楷体_GB2312"/>
          <w:b/>
          <w:sz w:val="32"/>
          <w:szCs w:val="32"/>
        </w:rPr>
        <w:t>（四）项目绩效目标</w:t>
      </w:r>
    </w:p>
    <w:p>
      <w:pPr>
        <w:pageBreakBefore w:val="0"/>
        <w:suppressAutoHyphens/>
        <w:kinsoku/>
        <w:wordWrap/>
        <w:overflowPunct/>
        <w:topLinePunct w:val="0"/>
        <w:bidi w:val="0"/>
        <w:spacing w:line="640" w:lineRule="exact"/>
        <w:ind w:firstLine="640" w:firstLineChars="200"/>
        <w:rPr>
          <w:rFonts w:ascii="仿宋_GB2312" w:eastAsia="仿宋_GB2312"/>
          <w:color w:val="000000"/>
          <w:sz w:val="32"/>
          <w:szCs w:val="32"/>
        </w:rPr>
      </w:pPr>
      <w:r>
        <w:rPr>
          <w:rFonts w:hint="eastAsia" w:ascii="仿宋_GB2312" w:eastAsia="仿宋_GB2312"/>
          <w:color w:val="auto"/>
          <w:sz w:val="32"/>
          <w:szCs w:val="32"/>
        </w:rPr>
        <w:t>完成了两校区食堂灶台灭火设备</w:t>
      </w:r>
      <w:r>
        <w:rPr>
          <w:rFonts w:ascii="仿宋_GB2312" w:eastAsia="仿宋_GB2312"/>
          <w:color w:val="auto"/>
          <w:sz w:val="32"/>
          <w:szCs w:val="32"/>
        </w:rPr>
        <w:t>17</w:t>
      </w:r>
      <w:r>
        <w:rPr>
          <w:rFonts w:hint="eastAsia" w:ascii="仿宋_GB2312" w:eastAsia="仿宋_GB2312"/>
          <w:color w:val="auto"/>
          <w:sz w:val="32"/>
          <w:szCs w:val="32"/>
        </w:rPr>
        <w:t>套、雾化喷嘴</w:t>
      </w:r>
      <w:r>
        <w:rPr>
          <w:rFonts w:ascii="仿宋_GB2312" w:eastAsia="仿宋_GB2312"/>
          <w:color w:val="auto"/>
          <w:sz w:val="32"/>
          <w:szCs w:val="32"/>
        </w:rPr>
        <w:t>112</w:t>
      </w:r>
      <w:r>
        <w:rPr>
          <w:rFonts w:hint="eastAsia" w:ascii="仿宋_GB2312" w:eastAsia="仿宋_GB2312"/>
          <w:color w:val="auto"/>
          <w:sz w:val="32"/>
          <w:szCs w:val="32"/>
        </w:rPr>
        <w:t>个、温度探测器</w:t>
      </w:r>
      <w:r>
        <w:rPr>
          <w:rFonts w:ascii="仿宋_GB2312" w:eastAsia="仿宋_GB2312"/>
          <w:color w:val="auto"/>
          <w:sz w:val="32"/>
          <w:szCs w:val="32"/>
        </w:rPr>
        <w:t>12</w:t>
      </w:r>
      <w:r>
        <w:rPr>
          <w:rFonts w:hint="eastAsia" w:ascii="仿宋_GB2312" w:eastAsia="仿宋_GB2312"/>
          <w:color w:val="auto"/>
          <w:sz w:val="32"/>
          <w:szCs w:val="32"/>
        </w:rPr>
        <w:t>个、</w:t>
      </w:r>
      <w:r>
        <w:rPr>
          <w:rFonts w:hint="eastAsia" w:ascii="仿宋_GB2312" w:eastAsia="仿宋_GB2312"/>
          <w:sz w:val="32"/>
          <w:szCs w:val="32"/>
        </w:rPr>
        <w:t>不锈管（</w:t>
      </w:r>
      <w:r>
        <w:rPr>
          <w:rFonts w:ascii="仿宋_GB2312" w:eastAsia="仿宋_GB2312"/>
          <w:sz w:val="32"/>
          <w:szCs w:val="32"/>
        </w:rPr>
        <w:t>16*0.8</w:t>
      </w:r>
      <w:r>
        <w:rPr>
          <w:rFonts w:hint="eastAsia" w:ascii="仿宋_GB2312" w:eastAsia="仿宋_GB2312"/>
          <w:sz w:val="32"/>
          <w:szCs w:val="32"/>
        </w:rPr>
        <w:t>）</w:t>
      </w:r>
      <w:r>
        <w:rPr>
          <w:rFonts w:ascii="仿宋_GB2312" w:eastAsia="仿宋_GB2312"/>
          <w:sz w:val="32"/>
          <w:szCs w:val="32"/>
        </w:rPr>
        <w:t>680</w:t>
      </w:r>
      <w:r>
        <w:rPr>
          <w:rFonts w:hint="eastAsia" w:ascii="仿宋_GB2312" w:eastAsia="仿宋_GB2312"/>
          <w:sz w:val="32"/>
          <w:szCs w:val="32"/>
        </w:rPr>
        <w:t>米、疏散指示灯</w:t>
      </w:r>
      <w:r>
        <w:rPr>
          <w:rFonts w:ascii="仿宋_GB2312" w:eastAsia="仿宋_GB2312"/>
          <w:sz w:val="32"/>
          <w:szCs w:val="32"/>
        </w:rPr>
        <w:t>85</w:t>
      </w:r>
      <w:r>
        <w:rPr>
          <w:rFonts w:hint="eastAsia" w:ascii="仿宋_GB2312" w:eastAsia="仿宋_GB2312"/>
          <w:sz w:val="32"/>
          <w:szCs w:val="32"/>
        </w:rPr>
        <w:t>套、线路</w:t>
      </w:r>
      <w:r>
        <w:rPr>
          <w:rFonts w:ascii="仿宋_GB2312" w:eastAsia="仿宋_GB2312"/>
          <w:sz w:val="32"/>
          <w:szCs w:val="32"/>
        </w:rPr>
        <w:t>7449.8</w:t>
      </w:r>
      <w:r>
        <w:rPr>
          <w:rFonts w:hint="eastAsia" w:ascii="仿宋_GB2312" w:eastAsia="仿宋_GB2312"/>
          <w:sz w:val="32"/>
          <w:szCs w:val="32"/>
        </w:rPr>
        <w:t>米、烟感</w:t>
      </w:r>
      <w:r>
        <w:rPr>
          <w:rFonts w:ascii="仿宋_GB2312" w:eastAsia="仿宋_GB2312"/>
          <w:sz w:val="32"/>
          <w:szCs w:val="32"/>
        </w:rPr>
        <w:t>12</w:t>
      </w:r>
      <w:r>
        <w:rPr>
          <w:rFonts w:hint="eastAsia" w:ascii="仿宋_GB2312" w:eastAsia="仿宋_GB2312"/>
          <w:sz w:val="32"/>
          <w:szCs w:val="32"/>
        </w:rPr>
        <w:t>套、温感</w:t>
      </w:r>
      <w:r>
        <w:rPr>
          <w:rFonts w:ascii="仿宋_GB2312" w:eastAsia="仿宋_GB2312"/>
          <w:sz w:val="32"/>
          <w:szCs w:val="32"/>
        </w:rPr>
        <w:t>125</w:t>
      </w:r>
      <w:r>
        <w:rPr>
          <w:rFonts w:hint="eastAsia" w:ascii="仿宋_GB2312" w:eastAsia="仿宋_GB2312"/>
          <w:sz w:val="32"/>
          <w:szCs w:val="32"/>
        </w:rPr>
        <w:t>套、手动报警器</w:t>
      </w:r>
      <w:r>
        <w:rPr>
          <w:rFonts w:ascii="仿宋_GB2312" w:eastAsia="仿宋_GB2312"/>
          <w:sz w:val="32"/>
          <w:szCs w:val="32"/>
        </w:rPr>
        <w:t>17</w:t>
      </w:r>
      <w:r>
        <w:rPr>
          <w:rFonts w:hint="eastAsia" w:ascii="仿宋_GB2312" w:eastAsia="仿宋_GB2312"/>
          <w:sz w:val="32"/>
          <w:szCs w:val="32"/>
        </w:rPr>
        <w:t>个、声光报警器</w:t>
      </w:r>
      <w:r>
        <w:rPr>
          <w:rFonts w:ascii="仿宋_GB2312" w:eastAsia="仿宋_GB2312"/>
          <w:sz w:val="32"/>
          <w:szCs w:val="32"/>
        </w:rPr>
        <w:t>16</w:t>
      </w:r>
      <w:r>
        <w:rPr>
          <w:rFonts w:hint="eastAsia" w:ascii="仿宋_GB2312" w:eastAsia="仿宋_GB2312"/>
          <w:sz w:val="32"/>
          <w:szCs w:val="32"/>
        </w:rPr>
        <w:t>个、消防广播</w:t>
      </w:r>
      <w:r>
        <w:rPr>
          <w:rFonts w:ascii="仿宋_GB2312" w:eastAsia="仿宋_GB2312"/>
          <w:sz w:val="32"/>
          <w:szCs w:val="32"/>
        </w:rPr>
        <w:t>34</w:t>
      </w:r>
      <w:r>
        <w:rPr>
          <w:rFonts w:hint="eastAsia" w:ascii="仿宋_GB2312" w:eastAsia="仿宋_GB2312"/>
          <w:sz w:val="32"/>
          <w:szCs w:val="32"/>
        </w:rPr>
        <w:t>个、应急灯</w:t>
      </w:r>
      <w:r>
        <w:rPr>
          <w:rFonts w:ascii="仿宋_GB2312" w:eastAsia="仿宋_GB2312"/>
          <w:sz w:val="32"/>
          <w:szCs w:val="32"/>
        </w:rPr>
        <w:t>120</w:t>
      </w:r>
      <w:r>
        <w:rPr>
          <w:rFonts w:hint="eastAsia" w:ascii="仿宋_GB2312" w:eastAsia="仿宋_GB2312"/>
          <w:sz w:val="32"/>
          <w:szCs w:val="32"/>
        </w:rPr>
        <w:t>套、主机联动设备</w:t>
      </w:r>
      <w:r>
        <w:rPr>
          <w:rFonts w:ascii="仿宋_GB2312" w:eastAsia="仿宋_GB2312"/>
          <w:sz w:val="32"/>
          <w:szCs w:val="32"/>
        </w:rPr>
        <w:t>1</w:t>
      </w:r>
      <w:r>
        <w:rPr>
          <w:rFonts w:hint="eastAsia" w:ascii="仿宋_GB2312" w:eastAsia="仿宋_GB2312"/>
          <w:sz w:val="32"/>
          <w:szCs w:val="32"/>
        </w:rPr>
        <w:t>套等</w:t>
      </w:r>
      <w:r>
        <w:rPr>
          <w:rFonts w:hint="eastAsia" w:ascii="仿宋_GB2312" w:eastAsia="仿宋_GB2312"/>
          <w:color w:val="000000"/>
          <w:sz w:val="32"/>
          <w:szCs w:val="32"/>
        </w:rPr>
        <w:t>。所有项目在规定时间全部完成质量合格，保证了两校区</w:t>
      </w:r>
      <w:r>
        <w:rPr>
          <w:rFonts w:ascii="仿宋_GB2312" w:eastAsia="仿宋_GB2312"/>
          <w:color w:val="000000"/>
          <w:sz w:val="32"/>
          <w:szCs w:val="32"/>
        </w:rPr>
        <w:t>1</w:t>
      </w:r>
      <w:r>
        <w:rPr>
          <w:rFonts w:hint="eastAsia" w:ascii="仿宋_GB2312" w:eastAsia="仿宋_GB2312"/>
          <w:color w:val="000000"/>
          <w:sz w:val="32"/>
          <w:szCs w:val="32"/>
        </w:rPr>
        <w:t>万多师生食堂消防安全，师生满意度达到</w:t>
      </w:r>
      <w:r>
        <w:rPr>
          <w:rFonts w:ascii="仿宋_GB2312" w:eastAsia="仿宋_GB2312"/>
          <w:color w:val="000000"/>
          <w:sz w:val="32"/>
          <w:szCs w:val="32"/>
        </w:rPr>
        <w:t>85%</w:t>
      </w:r>
      <w:r>
        <w:rPr>
          <w:rFonts w:hint="eastAsia" w:ascii="仿宋_GB2312" w:eastAsia="仿宋_GB2312"/>
          <w:color w:val="000000"/>
          <w:sz w:val="32"/>
          <w:szCs w:val="32"/>
        </w:rPr>
        <w:t>。</w:t>
      </w:r>
    </w:p>
    <w:p>
      <w:pPr>
        <w:pageBreakBefore w:val="0"/>
        <w:suppressAutoHyphens/>
        <w:kinsoku/>
        <w:wordWrap/>
        <w:overflowPunct/>
        <w:topLinePunct w:val="0"/>
        <w:bidi w:val="0"/>
        <w:spacing w:line="640" w:lineRule="exact"/>
        <w:ind w:firstLine="640" w:firstLineChars="200"/>
        <w:rPr>
          <w:rFonts w:ascii="黑体" w:hAnsi="黑体" w:eastAsia="黑体"/>
          <w:bCs/>
          <w:sz w:val="32"/>
          <w:szCs w:val="32"/>
        </w:rPr>
      </w:pPr>
      <w:bookmarkStart w:id="151" w:name="_Toc2085368604_WPSOffice_Level2"/>
      <w:bookmarkStart w:id="152" w:name="_Toc1465865630_WPSOffice_Level2"/>
      <w:bookmarkStart w:id="153" w:name="_Toc661097284_WPSOffice_Level2"/>
      <w:bookmarkStart w:id="154" w:name="_Toc1947400117_WPSOffice_Level2"/>
      <w:bookmarkStart w:id="155" w:name="_Toc954655118_WPSOffice_Level2"/>
      <w:bookmarkStart w:id="156" w:name="_Toc2023696373_WPSOffice_Level2"/>
      <w:bookmarkStart w:id="157" w:name="_Toc170511530_WPSOffice_Level2"/>
      <w:bookmarkStart w:id="158" w:name="_Toc48378262_WPSOffice_Level2"/>
      <w:bookmarkStart w:id="159" w:name="_Toc1090813696_WPSOffice_Level2"/>
      <w:r>
        <w:rPr>
          <w:rFonts w:hint="eastAsia" w:ascii="黑体" w:hAnsi="黑体" w:eastAsia="黑体"/>
          <w:bCs/>
          <w:sz w:val="32"/>
          <w:szCs w:val="32"/>
        </w:rPr>
        <w:t>二、评价工作开展情况</w:t>
      </w:r>
      <w:bookmarkEnd w:id="151"/>
      <w:bookmarkEnd w:id="152"/>
      <w:bookmarkEnd w:id="153"/>
      <w:bookmarkEnd w:id="154"/>
      <w:bookmarkEnd w:id="155"/>
      <w:bookmarkEnd w:id="156"/>
      <w:bookmarkEnd w:id="157"/>
      <w:bookmarkEnd w:id="158"/>
      <w:bookmarkEnd w:id="159"/>
    </w:p>
    <w:p>
      <w:pPr>
        <w:pageBreakBefore w:val="0"/>
        <w:suppressAutoHyphens/>
        <w:kinsoku/>
        <w:wordWrap/>
        <w:overflowPunct/>
        <w:topLinePunct w:val="0"/>
        <w:bidi w:val="0"/>
        <w:spacing w:line="640" w:lineRule="exact"/>
        <w:ind w:firstLine="642" w:firstLineChars="200"/>
        <w:rPr>
          <w:rFonts w:ascii="楷体_GB2312" w:eastAsia="楷体_GB2312"/>
          <w:b/>
          <w:sz w:val="32"/>
          <w:szCs w:val="32"/>
        </w:rPr>
      </w:pPr>
      <w:r>
        <w:rPr>
          <w:rFonts w:hint="eastAsia" w:ascii="楷体_GB2312" w:eastAsia="楷体_GB2312"/>
          <w:b/>
          <w:sz w:val="32"/>
          <w:szCs w:val="32"/>
        </w:rPr>
        <w:t>（一）评价组织情况</w:t>
      </w:r>
    </w:p>
    <w:p>
      <w:pPr>
        <w:pageBreakBefore w:val="0"/>
        <w:suppressAutoHyphens/>
        <w:kinsoku/>
        <w:wordWrap/>
        <w:overflowPunct/>
        <w:topLinePunct w:val="0"/>
        <w:bidi w:val="0"/>
        <w:spacing w:line="640" w:lineRule="exact"/>
        <w:ind w:firstLine="640" w:firstLineChars="200"/>
        <w:rPr>
          <w:rFonts w:ascii="仿宋_GB2312" w:eastAsia="仿宋_GB2312"/>
          <w:sz w:val="32"/>
          <w:szCs w:val="32"/>
        </w:rPr>
      </w:pPr>
      <w:r>
        <w:rPr>
          <w:rFonts w:hint="eastAsia" w:ascii="仿宋_GB2312" w:eastAsia="仿宋_GB2312"/>
          <w:sz w:val="32"/>
          <w:szCs w:val="32"/>
        </w:rPr>
        <w:t>本项目评价指标按照财政部门要求设置，并咨询相关评审专家，建立本项目的评价指标体系，对评价指标体系征求各部门意见，后形成本项目的评价指标体系，正式明确评价工作要求，自评评价指标和评分标准。</w:t>
      </w:r>
    </w:p>
    <w:p>
      <w:pPr>
        <w:pageBreakBefore w:val="0"/>
        <w:suppressAutoHyphens/>
        <w:kinsoku/>
        <w:wordWrap/>
        <w:overflowPunct/>
        <w:topLinePunct w:val="0"/>
        <w:bidi w:val="0"/>
        <w:spacing w:line="640" w:lineRule="exact"/>
        <w:ind w:firstLine="642" w:firstLineChars="200"/>
        <w:rPr>
          <w:rFonts w:ascii="楷体_GB2312" w:eastAsia="楷体_GB2312"/>
          <w:b/>
          <w:sz w:val="32"/>
          <w:szCs w:val="32"/>
        </w:rPr>
      </w:pPr>
      <w:r>
        <w:rPr>
          <w:rFonts w:hint="eastAsia" w:ascii="楷体_GB2312" w:eastAsia="楷体_GB2312"/>
          <w:b/>
          <w:sz w:val="32"/>
          <w:szCs w:val="32"/>
        </w:rPr>
        <w:t>（二）评价体系、评价方法和评价标准</w:t>
      </w:r>
    </w:p>
    <w:p>
      <w:pPr>
        <w:pageBreakBefore w:val="0"/>
        <w:suppressAutoHyphens/>
        <w:kinsoku/>
        <w:wordWrap/>
        <w:overflowPunct/>
        <w:topLinePunct w:val="0"/>
        <w:bidi w:val="0"/>
        <w:spacing w:line="640" w:lineRule="exact"/>
        <w:ind w:firstLine="640" w:firstLineChars="200"/>
        <w:rPr>
          <w:rFonts w:ascii="仿宋_GB2312" w:eastAsia="仿宋_GB2312"/>
          <w:sz w:val="32"/>
          <w:szCs w:val="32"/>
        </w:rPr>
      </w:pPr>
      <w:r>
        <w:rPr>
          <w:rFonts w:hint="eastAsia" w:ascii="仿宋_GB2312" w:eastAsia="仿宋_GB2312"/>
          <w:sz w:val="32"/>
          <w:szCs w:val="32"/>
        </w:rPr>
        <w:t>本次评价原则主要集中于合规性、效率和效果三大原则，采用案卷调查法，从数量指标、时效指标、社会效益指标、可持续影响指标、满意度指标进行评价。</w:t>
      </w:r>
    </w:p>
    <w:p>
      <w:pPr>
        <w:pageBreakBefore w:val="0"/>
        <w:suppressAutoHyphens/>
        <w:kinsoku/>
        <w:wordWrap/>
        <w:overflowPunct/>
        <w:topLinePunct w:val="0"/>
        <w:bidi w:val="0"/>
        <w:spacing w:line="640" w:lineRule="exact"/>
        <w:ind w:firstLine="640" w:firstLineChars="200"/>
        <w:rPr>
          <w:rFonts w:ascii="仿宋_GB2312" w:eastAsia="仿宋_GB2312"/>
          <w:sz w:val="32"/>
          <w:szCs w:val="32"/>
        </w:rPr>
      </w:pPr>
      <w:r>
        <w:rPr>
          <w:rFonts w:hint="eastAsia" w:ascii="仿宋_GB2312" w:eastAsia="仿宋_GB2312"/>
          <w:sz w:val="32"/>
          <w:szCs w:val="32"/>
        </w:rPr>
        <w:t>本项目的评价流程分为两个阶段，第一个阶段：学院财务处发放自评通知，并辅助设计指标；第二阶段：后勤处召开处务会，讨论推进自评工作开展，根据项目自评表进行自评，提交项目自评报告。</w:t>
      </w:r>
    </w:p>
    <w:p>
      <w:pPr>
        <w:pageBreakBefore w:val="0"/>
        <w:suppressAutoHyphens/>
        <w:kinsoku/>
        <w:wordWrap/>
        <w:overflowPunct/>
        <w:topLinePunct w:val="0"/>
        <w:bidi w:val="0"/>
        <w:spacing w:line="640" w:lineRule="exact"/>
        <w:ind w:firstLine="640" w:firstLineChars="200"/>
        <w:rPr>
          <w:rFonts w:ascii="黑体" w:hAnsi="黑体" w:eastAsia="黑体"/>
          <w:bCs/>
          <w:sz w:val="32"/>
          <w:szCs w:val="32"/>
        </w:rPr>
      </w:pPr>
      <w:bookmarkStart w:id="160" w:name="_Toc818550779_WPSOffice_Level2"/>
      <w:bookmarkStart w:id="161" w:name="_Toc404187842_WPSOffice_Level2"/>
      <w:bookmarkStart w:id="162" w:name="_Toc827073535_WPSOffice_Level2"/>
      <w:bookmarkStart w:id="163" w:name="_Toc1271045416_WPSOffice_Level2"/>
      <w:bookmarkStart w:id="164" w:name="_Toc1287972009_WPSOffice_Level2"/>
      <w:bookmarkStart w:id="165" w:name="_Toc2074735543_WPSOffice_Level2"/>
      <w:bookmarkStart w:id="166" w:name="_Toc364258849_WPSOffice_Level2"/>
      <w:bookmarkStart w:id="167" w:name="_Toc117537418_WPSOffice_Level2"/>
      <w:bookmarkStart w:id="168" w:name="_Toc419775741_WPSOffice_Level2"/>
      <w:r>
        <w:rPr>
          <w:rFonts w:hint="eastAsia" w:ascii="黑体" w:hAnsi="黑体" w:eastAsia="黑体"/>
          <w:bCs/>
          <w:sz w:val="32"/>
          <w:szCs w:val="32"/>
        </w:rPr>
        <w:t>三、综合评价结论</w:t>
      </w:r>
      <w:bookmarkEnd w:id="160"/>
      <w:bookmarkEnd w:id="161"/>
      <w:bookmarkEnd w:id="162"/>
      <w:bookmarkEnd w:id="163"/>
      <w:bookmarkEnd w:id="164"/>
      <w:bookmarkEnd w:id="165"/>
      <w:bookmarkEnd w:id="166"/>
      <w:bookmarkEnd w:id="167"/>
      <w:bookmarkEnd w:id="168"/>
    </w:p>
    <w:p>
      <w:pPr>
        <w:pageBreakBefore w:val="0"/>
        <w:suppressAutoHyphens/>
        <w:kinsoku/>
        <w:wordWrap/>
        <w:overflowPunct/>
        <w:topLinePunct w:val="0"/>
        <w:bidi w:val="0"/>
        <w:spacing w:line="640" w:lineRule="exact"/>
        <w:ind w:firstLine="640" w:firstLineChars="200"/>
        <w:rPr>
          <w:rFonts w:ascii="仿宋_GB2312" w:eastAsia="仿宋_GB2312"/>
          <w:sz w:val="32"/>
          <w:szCs w:val="32"/>
        </w:rPr>
      </w:pPr>
      <w:r>
        <w:rPr>
          <w:rFonts w:hint="eastAsia" w:ascii="仿宋_GB2312" w:eastAsia="仿宋_GB2312"/>
          <w:sz w:val="32"/>
          <w:szCs w:val="32"/>
        </w:rPr>
        <w:t>该项目资金按时落实到位，项目实施工作有序开展，业务管理制度健全，并能得到执行，能够完成绩效目标申报表的考核指标，但在质量和过程中仍有待提高，自评等级为良好。</w:t>
      </w:r>
    </w:p>
    <w:p>
      <w:pPr>
        <w:pageBreakBefore w:val="0"/>
        <w:suppressAutoHyphens/>
        <w:kinsoku/>
        <w:wordWrap/>
        <w:overflowPunct/>
        <w:topLinePunct w:val="0"/>
        <w:bidi w:val="0"/>
        <w:spacing w:line="640" w:lineRule="exact"/>
        <w:ind w:firstLine="640" w:firstLineChars="200"/>
        <w:rPr>
          <w:rFonts w:ascii="黑体" w:hAnsi="黑体" w:eastAsia="黑体"/>
          <w:bCs/>
          <w:sz w:val="32"/>
          <w:szCs w:val="32"/>
        </w:rPr>
      </w:pPr>
      <w:bookmarkStart w:id="169" w:name="_Toc1223835913_WPSOffice_Level2"/>
      <w:bookmarkStart w:id="170" w:name="_Toc1590673103_WPSOffice_Level2"/>
      <w:bookmarkStart w:id="171" w:name="_Toc1454779292_WPSOffice_Level2"/>
      <w:bookmarkStart w:id="172" w:name="_Toc1449341120_WPSOffice_Level2"/>
      <w:bookmarkStart w:id="173" w:name="_Toc2058218861_WPSOffice_Level2"/>
      <w:bookmarkStart w:id="174" w:name="_Toc1755869017_WPSOffice_Level2"/>
      <w:bookmarkStart w:id="175" w:name="_Toc862886500_WPSOffice_Level2"/>
      <w:bookmarkStart w:id="176" w:name="_Toc962801774_WPSOffice_Level2"/>
      <w:bookmarkStart w:id="177" w:name="_Toc639395233_WPSOffice_Level2"/>
      <w:r>
        <w:rPr>
          <w:rFonts w:hint="eastAsia" w:ascii="黑体" w:hAnsi="黑体" w:eastAsia="黑体"/>
          <w:bCs/>
          <w:sz w:val="32"/>
          <w:szCs w:val="32"/>
        </w:rPr>
        <w:t>四、绩效评价分析</w:t>
      </w:r>
      <w:bookmarkEnd w:id="169"/>
      <w:bookmarkEnd w:id="170"/>
      <w:bookmarkEnd w:id="171"/>
      <w:bookmarkEnd w:id="172"/>
      <w:bookmarkEnd w:id="173"/>
      <w:bookmarkEnd w:id="174"/>
      <w:bookmarkEnd w:id="175"/>
      <w:bookmarkEnd w:id="176"/>
      <w:bookmarkEnd w:id="177"/>
    </w:p>
    <w:p>
      <w:pPr>
        <w:pageBreakBefore w:val="0"/>
        <w:suppressAutoHyphens/>
        <w:kinsoku/>
        <w:wordWrap/>
        <w:overflowPunct/>
        <w:topLinePunct w:val="0"/>
        <w:bidi w:val="0"/>
        <w:spacing w:line="640" w:lineRule="exact"/>
        <w:ind w:firstLine="642" w:firstLineChars="200"/>
        <w:rPr>
          <w:rFonts w:ascii="楷体_GB2312" w:eastAsia="楷体_GB2312"/>
          <w:b/>
          <w:sz w:val="32"/>
          <w:szCs w:val="32"/>
        </w:rPr>
      </w:pPr>
      <w:r>
        <w:rPr>
          <w:rFonts w:hint="eastAsia" w:ascii="楷体_GB2312" w:eastAsia="楷体_GB2312"/>
          <w:b/>
          <w:sz w:val="32"/>
          <w:szCs w:val="32"/>
        </w:rPr>
        <w:t>（一）项目决策情况</w:t>
      </w:r>
    </w:p>
    <w:p>
      <w:pPr>
        <w:pageBreakBefore w:val="0"/>
        <w:suppressAutoHyphens/>
        <w:kinsoku/>
        <w:wordWrap/>
        <w:overflowPunct/>
        <w:topLinePunct w:val="0"/>
        <w:bidi w:val="0"/>
        <w:spacing w:line="640" w:lineRule="exact"/>
        <w:ind w:firstLine="640" w:firstLineChars="200"/>
        <w:rPr>
          <w:rFonts w:ascii="仿宋_GB2312"/>
          <w:color w:val="0000FF"/>
          <w:sz w:val="32"/>
          <w:szCs w:val="32"/>
        </w:rPr>
      </w:pPr>
      <w:r>
        <w:rPr>
          <w:rFonts w:hint="eastAsia" w:ascii="仿宋_GB2312" w:eastAsia="仿宋_GB2312"/>
          <w:sz w:val="32"/>
          <w:szCs w:val="32"/>
        </w:rPr>
        <w:t>项目立项程序合法。该项目根据学院各部门对消防需求项目上报后勤处，后勤处统计并组织相关人员评估后上报学院，通过学院预算委员会讨论通过后进行设立。项目执行过程中严格使用和管理经费，专款专用，根据工作研究内容、总体目标和计划进度</w:t>
      </w:r>
      <w:r>
        <w:rPr>
          <w:rFonts w:hint="eastAsia" w:ascii="仿宋_GB2312" w:eastAsia="仿宋_GB2312"/>
          <w:color w:val="auto"/>
          <w:sz w:val="32"/>
          <w:szCs w:val="32"/>
        </w:rPr>
        <w:t>，按照合同约定资金使用计划，确保各项工作按计划进度进行。</w:t>
      </w:r>
    </w:p>
    <w:p>
      <w:pPr>
        <w:pageBreakBefore w:val="0"/>
        <w:suppressAutoHyphens/>
        <w:kinsoku/>
        <w:wordWrap/>
        <w:overflowPunct/>
        <w:topLinePunct w:val="0"/>
        <w:bidi w:val="0"/>
        <w:spacing w:line="640" w:lineRule="exact"/>
        <w:ind w:firstLine="642" w:firstLineChars="200"/>
        <w:rPr>
          <w:rFonts w:ascii="楷体_GB2312" w:eastAsia="楷体_GB2312"/>
          <w:b/>
          <w:sz w:val="32"/>
          <w:szCs w:val="32"/>
        </w:rPr>
      </w:pPr>
      <w:r>
        <w:rPr>
          <w:rFonts w:hint="eastAsia" w:ascii="楷体_GB2312" w:eastAsia="楷体_GB2312"/>
          <w:b/>
          <w:sz w:val="32"/>
          <w:szCs w:val="32"/>
        </w:rPr>
        <w:t>（二）项目管理情况</w:t>
      </w:r>
    </w:p>
    <w:p>
      <w:pPr>
        <w:pageBreakBefore w:val="0"/>
        <w:suppressAutoHyphens/>
        <w:kinsoku/>
        <w:wordWrap/>
        <w:overflowPunct/>
        <w:topLinePunct w:val="0"/>
        <w:bidi w:val="0"/>
        <w:spacing w:line="640" w:lineRule="exact"/>
        <w:ind w:firstLine="640" w:firstLineChars="200"/>
        <w:rPr>
          <w:rFonts w:ascii="仿宋_GB2312" w:eastAsia="仿宋_GB2312"/>
          <w:sz w:val="32"/>
          <w:szCs w:val="32"/>
        </w:rPr>
      </w:pPr>
      <w:r>
        <w:rPr>
          <w:rFonts w:hint="eastAsia" w:ascii="仿宋_GB2312" w:eastAsia="仿宋_GB2312"/>
          <w:sz w:val="32"/>
          <w:szCs w:val="32"/>
        </w:rPr>
        <w:t>项目招标严格按照学院招投标程序进行，施工过程学院派出现场管理人员，同时由学院招的工程监理严格管理，达到了监理要求，工程完工后由学院组织相关部门验收并通过了审计后才支付工程款，同时通过了消防部门的消防检查。该项目资金使用合理，监督有效，不存在漏洞。</w:t>
      </w:r>
    </w:p>
    <w:p>
      <w:pPr>
        <w:pageBreakBefore w:val="0"/>
        <w:suppressAutoHyphens/>
        <w:kinsoku/>
        <w:wordWrap/>
        <w:overflowPunct/>
        <w:topLinePunct w:val="0"/>
        <w:bidi w:val="0"/>
        <w:spacing w:line="640" w:lineRule="exact"/>
        <w:ind w:firstLine="642" w:firstLineChars="200"/>
        <w:rPr>
          <w:rFonts w:ascii="楷体_GB2312" w:eastAsia="楷体_GB2312"/>
          <w:b/>
          <w:sz w:val="32"/>
          <w:szCs w:val="32"/>
        </w:rPr>
      </w:pPr>
      <w:r>
        <w:rPr>
          <w:rFonts w:hint="eastAsia" w:ascii="楷体_GB2312" w:eastAsia="楷体_GB2312"/>
          <w:b/>
          <w:sz w:val="32"/>
          <w:szCs w:val="32"/>
        </w:rPr>
        <w:t>（三）项目产出情况</w:t>
      </w:r>
    </w:p>
    <w:p>
      <w:pPr>
        <w:pageBreakBefore w:val="0"/>
        <w:suppressAutoHyphens/>
        <w:kinsoku/>
        <w:wordWrap/>
        <w:overflowPunct/>
        <w:topLinePunct w:val="0"/>
        <w:bidi w:val="0"/>
        <w:spacing w:line="640" w:lineRule="exact"/>
        <w:ind w:firstLine="640" w:firstLineChars="200"/>
        <w:rPr>
          <w:rFonts w:ascii="仿宋_GB2312" w:eastAsia="仿宋_GB2312"/>
          <w:sz w:val="32"/>
          <w:szCs w:val="32"/>
        </w:rPr>
      </w:pPr>
      <w:r>
        <w:rPr>
          <w:rFonts w:ascii="仿宋_GB2312" w:eastAsia="仿宋_GB2312"/>
          <w:sz w:val="32"/>
          <w:szCs w:val="32"/>
        </w:rPr>
        <w:t>2020</w:t>
      </w:r>
      <w:r>
        <w:rPr>
          <w:rFonts w:hint="eastAsia" w:ascii="仿宋_GB2312" w:eastAsia="仿宋_GB2312"/>
          <w:sz w:val="32"/>
          <w:szCs w:val="32"/>
        </w:rPr>
        <w:t>年消防工程按计划完成既定目标并达到了合格要求，通过了消防部门的检查。</w:t>
      </w:r>
    </w:p>
    <w:p>
      <w:pPr>
        <w:pageBreakBefore w:val="0"/>
        <w:suppressAutoHyphens/>
        <w:kinsoku/>
        <w:wordWrap/>
        <w:overflowPunct/>
        <w:topLinePunct w:val="0"/>
        <w:bidi w:val="0"/>
        <w:spacing w:line="640" w:lineRule="exact"/>
        <w:ind w:firstLine="642" w:firstLineChars="200"/>
        <w:rPr>
          <w:rFonts w:ascii="楷体_GB2312" w:eastAsia="楷体_GB2312"/>
          <w:b/>
          <w:sz w:val="32"/>
          <w:szCs w:val="32"/>
        </w:rPr>
      </w:pPr>
      <w:r>
        <w:rPr>
          <w:rFonts w:hint="eastAsia" w:ascii="楷体_GB2312" w:eastAsia="楷体_GB2312"/>
          <w:b/>
          <w:sz w:val="32"/>
          <w:szCs w:val="32"/>
        </w:rPr>
        <w:t>（四）项目效益情况</w:t>
      </w:r>
    </w:p>
    <w:p>
      <w:pPr>
        <w:pageBreakBefore w:val="0"/>
        <w:suppressAutoHyphens/>
        <w:kinsoku/>
        <w:wordWrap/>
        <w:overflowPunct/>
        <w:topLinePunct w:val="0"/>
        <w:bidi w:val="0"/>
        <w:spacing w:line="640" w:lineRule="exact"/>
        <w:ind w:firstLine="640" w:firstLineChars="200"/>
        <w:rPr>
          <w:rFonts w:ascii="仿宋_GB2312" w:eastAsia="仿宋_GB2312"/>
          <w:sz w:val="32"/>
          <w:szCs w:val="32"/>
        </w:rPr>
      </w:pPr>
      <w:r>
        <w:rPr>
          <w:rFonts w:hint="eastAsia" w:ascii="仿宋_GB2312" w:eastAsia="仿宋_GB2312"/>
          <w:sz w:val="32"/>
          <w:szCs w:val="32"/>
        </w:rPr>
        <w:t>完成了两校区食堂灶台灭火设备</w:t>
      </w:r>
      <w:r>
        <w:rPr>
          <w:rFonts w:ascii="仿宋_GB2312" w:eastAsia="仿宋_GB2312"/>
          <w:sz w:val="32"/>
          <w:szCs w:val="32"/>
        </w:rPr>
        <w:t>17</w:t>
      </w:r>
      <w:r>
        <w:rPr>
          <w:rFonts w:hint="eastAsia" w:ascii="仿宋_GB2312" w:eastAsia="仿宋_GB2312"/>
          <w:sz w:val="32"/>
          <w:szCs w:val="32"/>
        </w:rPr>
        <w:t>套、雾化喷嘴</w:t>
      </w:r>
      <w:r>
        <w:rPr>
          <w:rFonts w:ascii="仿宋_GB2312" w:eastAsia="仿宋_GB2312"/>
          <w:sz w:val="32"/>
          <w:szCs w:val="32"/>
        </w:rPr>
        <w:t>112</w:t>
      </w:r>
      <w:r>
        <w:rPr>
          <w:rFonts w:hint="eastAsia" w:ascii="仿宋_GB2312" w:eastAsia="仿宋_GB2312"/>
          <w:sz w:val="32"/>
          <w:szCs w:val="32"/>
        </w:rPr>
        <w:t>个、温度探测器</w:t>
      </w:r>
      <w:r>
        <w:rPr>
          <w:rFonts w:ascii="仿宋_GB2312" w:eastAsia="仿宋_GB2312"/>
          <w:sz w:val="32"/>
          <w:szCs w:val="32"/>
        </w:rPr>
        <w:t>12</w:t>
      </w:r>
      <w:r>
        <w:rPr>
          <w:rFonts w:hint="eastAsia" w:ascii="仿宋_GB2312" w:eastAsia="仿宋_GB2312"/>
          <w:sz w:val="32"/>
          <w:szCs w:val="32"/>
        </w:rPr>
        <w:t>个、不锈管（</w:t>
      </w:r>
      <w:r>
        <w:rPr>
          <w:rFonts w:ascii="仿宋_GB2312" w:eastAsia="仿宋_GB2312"/>
          <w:sz w:val="32"/>
          <w:szCs w:val="32"/>
        </w:rPr>
        <w:t>16*0.8</w:t>
      </w:r>
      <w:r>
        <w:rPr>
          <w:rFonts w:hint="eastAsia" w:ascii="仿宋_GB2312" w:eastAsia="仿宋_GB2312"/>
          <w:sz w:val="32"/>
          <w:szCs w:val="32"/>
        </w:rPr>
        <w:t>）</w:t>
      </w:r>
      <w:r>
        <w:rPr>
          <w:rFonts w:ascii="仿宋_GB2312" w:eastAsia="仿宋_GB2312"/>
          <w:sz w:val="32"/>
          <w:szCs w:val="32"/>
        </w:rPr>
        <w:t>680</w:t>
      </w:r>
      <w:r>
        <w:rPr>
          <w:rFonts w:hint="eastAsia" w:ascii="仿宋_GB2312" w:eastAsia="仿宋_GB2312"/>
          <w:sz w:val="32"/>
          <w:szCs w:val="32"/>
        </w:rPr>
        <w:t>米、疏散指示灯</w:t>
      </w:r>
      <w:r>
        <w:rPr>
          <w:rFonts w:ascii="仿宋_GB2312" w:eastAsia="仿宋_GB2312"/>
          <w:sz w:val="32"/>
          <w:szCs w:val="32"/>
        </w:rPr>
        <w:t>85</w:t>
      </w:r>
      <w:r>
        <w:rPr>
          <w:rFonts w:hint="eastAsia" w:ascii="仿宋_GB2312" w:eastAsia="仿宋_GB2312"/>
          <w:sz w:val="32"/>
          <w:szCs w:val="32"/>
        </w:rPr>
        <w:t>套、线路</w:t>
      </w:r>
      <w:r>
        <w:rPr>
          <w:rFonts w:ascii="仿宋_GB2312" w:eastAsia="仿宋_GB2312"/>
          <w:sz w:val="32"/>
          <w:szCs w:val="32"/>
        </w:rPr>
        <w:t>7449.8</w:t>
      </w:r>
      <w:r>
        <w:rPr>
          <w:rFonts w:hint="eastAsia" w:ascii="仿宋_GB2312" w:eastAsia="仿宋_GB2312"/>
          <w:sz w:val="32"/>
          <w:szCs w:val="32"/>
        </w:rPr>
        <w:t>米、烟感</w:t>
      </w:r>
      <w:r>
        <w:rPr>
          <w:rFonts w:ascii="仿宋_GB2312" w:eastAsia="仿宋_GB2312"/>
          <w:sz w:val="32"/>
          <w:szCs w:val="32"/>
        </w:rPr>
        <w:t>12</w:t>
      </w:r>
      <w:r>
        <w:rPr>
          <w:rFonts w:hint="eastAsia" w:ascii="仿宋_GB2312" w:eastAsia="仿宋_GB2312"/>
          <w:sz w:val="32"/>
          <w:szCs w:val="32"/>
        </w:rPr>
        <w:t>套、温感</w:t>
      </w:r>
      <w:r>
        <w:rPr>
          <w:rFonts w:ascii="仿宋_GB2312" w:eastAsia="仿宋_GB2312"/>
          <w:sz w:val="32"/>
          <w:szCs w:val="32"/>
        </w:rPr>
        <w:t>125</w:t>
      </w:r>
      <w:r>
        <w:rPr>
          <w:rFonts w:hint="eastAsia" w:ascii="仿宋_GB2312" w:eastAsia="仿宋_GB2312"/>
          <w:sz w:val="32"/>
          <w:szCs w:val="32"/>
        </w:rPr>
        <w:t>套、手动报警器</w:t>
      </w:r>
      <w:r>
        <w:rPr>
          <w:rFonts w:ascii="仿宋_GB2312" w:eastAsia="仿宋_GB2312"/>
          <w:sz w:val="32"/>
          <w:szCs w:val="32"/>
        </w:rPr>
        <w:t>17</w:t>
      </w:r>
      <w:r>
        <w:rPr>
          <w:rFonts w:hint="eastAsia" w:ascii="仿宋_GB2312" w:eastAsia="仿宋_GB2312"/>
          <w:sz w:val="32"/>
          <w:szCs w:val="32"/>
        </w:rPr>
        <w:t>个、声光报警器</w:t>
      </w:r>
      <w:r>
        <w:rPr>
          <w:rFonts w:ascii="仿宋_GB2312" w:eastAsia="仿宋_GB2312"/>
          <w:sz w:val="32"/>
          <w:szCs w:val="32"/>
        </w:rPr>
        <w:t>16</w:t>
      </w:r>
      <w:r>
        <w:rPr>
          <w:rFonts w:hint="eastAsia" w:ascii="仿宋_GB2312" w:eastAsia="仿宋_GB2312"/>
          <w:sz w:val="32"/>
          <w:szCs w:val="32"/>
        </w:rPr>
        <w:t>个、消防广播</w:t>
      </w:r>
      <w:r>
        <w:rPr>
          <w:rFonts w:ascii="仿宋_GB2312" w:eastAsia="仿宋_GB2312"/>
          <w:sz w:val="32"/>
          <w:szCs w:val="32"/>
        </w:rPr>
        <w:t>34</w:t>
      </w:r>
      <w:r>
        <w:rPr>
          <w:rFonts w:hint="eastAsia" w:ascii="仿宋_GB2312" w:eastAsia="仿宋_GB2312"/>
          <w:sz w:val="32"/>
          <w:szCs w:val="32"/>
        </w:rPr>
        <w:t>个、应急灯</w:t>
      </w:r>
      <w:r>
        <w:rPr>
          <w:rFonts w:ascii="仿宋_GB2312" w:eastAsia="仿宋_GB2312"/>
          <w:sz w:val="32"/>
          <w:szCs w:val="32"/>
        </w:rPr>
        <w:t>120</w:t>
      </w:r>
      <w:r>
        <w:rPr>
          <w:rFonts w:hint="eastAsia" w:ascii="仿宋_GB2312" w:eastAsia="仿宋_GB2312"/>
          <w:sz w:val="32"/>
          <w:szCs w:val="32"/>
        </w:rPr>
        <w:t>套、主机联动设备</w:t>
      </w:r>
      <w:r>
        <w:rPr>
          <w:rFonts w:ascii="仿宋_GB2312" w:eastAsia="仿宋_GB2312"/>
          <w:sz w:val="32"/>
          <w:szCs w:val="32"/>
        </w:rPr>
        <w:t>1</w:t>
      </w:r>
      <w:r>
        <w:rPr>
          <w:rFonts w:hint="eastAsia" w:ascii="仿宋_GB2312" w:eastAsia="仿宋_GB2312"/>
          <w:sz w:val="32"/>
          <w:szCs w:val="32"/>
        </w:rPr>
        <w:t>套等。</w:t>
      </w:r>
      <w:r>
        <w:rPr>
          <w:rFonts w:hint="eastAsia" w:ascii="仿宋_GB2312" w:eastAsia="仿宋_GB2312"/>
          <w:color w:val="000000"/>
          <w:sz w:val="32"/>
          <w:szCs w:val="32"/>
        </w:rPr>
        <w:t>所有项目全部在规定时间全部完成质量合格，保证了两校区</w:t>
      </w:r>
      <w:r>
        <w:rPr>
          <w:rFonts w:ascii="仿宋_GB2312" w:eastAsia="仿宋_GB2312"/>
          <w:color w:val="000000"/>
          <w:sz w:val="32"/>
          <w:szCs w:val="32"/>
        </w:rPr>
        <w:t>1</w:t>
      </w:r>
      <w:r>
        <w:rPr>
          <w:rFonts w:hint="eastAsia" w:ascii="仿宋_GB2312" w:eastAsia="仿宋_GB2312"/>
          <w:sz w:val="32"/>
          <w:szCs w:val="32"/>
        </w:rPr>
        <w:t>万多师生食堂消防安全，师生满意度达到</w:t>
      </w:r>
      <w:r>
        <w:rPr>
          <w:rFonts w:ascii="仿宋_GB2312" w:eastAsia="仿宋_GB2312"/>
          <w:sz w:val="32"/>
          <w:szCs w:val="32"/>
        </w:rPr>
        <w:t>85%</w:t>
      </w:r>
      <w:r>
        <w:rPr>
          <w:rFonts w:hint="eastAsia" w:ascii="仿宋_GB2312" w:eastAsia="仿宋_GB2312"/>
          <w:sz w:val="32"/>
          <w:szCs w:val="32"/>
        </w:rPr>
        <w:t>。</w:t>
      </w:r>
    </w:p>
    <w:p>
      <w:pPr>
        <w:pageBreakBefore w:val="0"/>
        <w:suppressAutoHyphens/>
        <w:kinsoku/>
        <w:wordWrap/>
        <w:overflowPunct/>
        <w:topLinePunct w:val="0"/>
        <w:bidi w:val="0"/>
        <w:spacing w:line="640" w:lineRule="exact"/>
        <w:ind w:firstLine="640" w:firstLineChars="200"/>
        <w:rPr>
          <w:rFonts w:ascii="黑体" w:hAnsi="黑体" w:eastAsia="黑体"/>
          <w:bCs/>
          <w:sz w:val="32"/>
          <w:szCs w:val="32"/>
        </w:rPr>
      </w:pPr>
      <w:bookmarkStart w:id="178" w:name="_Toc1425734333_WPSOffice_Level2"/>
      <w:bookmarkStart w:id="179" w:name="_Toc1006836263_WPSOffice_Level2"/>
      <w:bookmarkStart w:id="180" w:name="_Toc1886377003_WPSOffice_Level2"/>
      <w:bookmarkStart w:id="181" w:name="_Toc95439_WPSOffice_Level2"/>
      <w:bookmarkStart w:id="182" w:name="_Toc1673205503_WPSOffice_Level2"/>
      <w:bookmarkStart w:id="183" w:name="_Toc617400104_WPSOffice_Level2"/>
      <w:bookmarkStart w:id="184" w:name="_Toc1552470721_WPSOffice_Level2"/>
      <w:bookmarkStart w:id="185" w:name="_Toc1011347479_WPSOffice_Level2"/>
      <w:bookmarkStart w:id="186" w:name="_Toc455693302_WPSOffice_Level2"/>
      <w:r>
        <w:rPr>
          <w:rFonts w:hint="eastAsia" w:ascii="黑体" w:hAnsi="黑体" w:eastAsia="黑体"/>
          <w:bCs/>
          <w:sz w:val="32"/>
          <w:szCs w:val="32"/>
        </w:rPr>
        <w:t>五、存在主要问题</w:t>
      </w:r>
      <w:bookmarkEnd w:id="178"/>
      <w:bookmarkEnd w:id="179"/>
      <w:bookmarkEnd w:id="180"/>
      <w:bookmarkEnd w:id="181"/>
      <w:bookmarkEnd w:id="182"/>
      <w:bookmarkEnd w:id="183"/>
      <w:bookmarkEnd w:id="184"/>
      <w:bookmarkEnd w:id="185"/>
      <w:bookmarkEnd w:id="186"/>
    </w:p>
    <w:p>
      <w:pPr>
        <w:pageBreakBefore w:val="0"/>
        <w:suppressAutoHyphens/>
        <w:kinsoku/>
        <w:wordWrap/>
        <w:overflowPunct/>
        <w:topLinePunct w:val="0"/>
        <w:bidi w:val="0"/>
        <w:spacing w:line="640" w:lineRule="exact"/>
        <w:ind w:firstLine="640" w:firstLineChars="200"/>
        <w:rPr>
          <w:rFonts w:ascii="仿宋_GB2312" w:eastAsia="仿宋_GB2312"/>
          <w:sz w:val="32"/>
          <w:szCs w:val="32"/>
        </w:rPr>
      </w:pPr>
      <w:r>
        <w:rPr>
          <w:rFonts w:hint="eastAsia" w:ascii="仿宋_GB2312" w:eastAsia="仿宋_GB2312"/>
          <w:sz w:val="32"/>
          <w:szCs w:val="32"/>
        </w:rPr>
        <w:t>通过本次自查自评发现，前期未考虑食堂无标准的通风和排气装置致使前期线路短路无法联动，经调整后才正常使用，因此在计划工作和预算制定上还有不足之处。</w:t>
      </w:r>
    </w:p>
    <w:p>
      <w:pPr>
        <w:pageBreakBefore w:val="0"/>
        <w:suppressAutoHyphens/>
        <w:kinsoku/>
        <w:wordWrap/>
        <w:overflowPunct/>
        <w:topLinePunct w:val="0"/>
        <w:bidi w:val="0"/>
        <w:spacing w:line="640" w:lineRule="exact"/>
        <w:ind w:firstLine="640" w:firstLineChars="200"/>
        <w:rPr>
          <w:rFonts w:ascii="黑体" w:hAnsi="黑体" w:eastAsia="黑体"/>
          <w:bCs/>
          <w:sz w:val="32"/>
          <w:szCs w:val="32"/>
        </w:rPr>
      </w:pPr>
      <w:bookmarkStart w:id="187" w:name="_Toc719711630_WPSOffice_Level2"/>
      <w:bookmarkStart w:id="188" w:name="_Toc2034491222_WPSOffice_Level2"/>
      <w:bookmarkStart w:id="189" w:name="_Toc570152880_WPSOffice_Level2"/>
      <w:bookmarkStart w:id="190" w:name="_Toc441469149_WPSOffice_Level2"/>
      <w:bookmarkStart w:id="191" w:name="_Toc211081847_WPSOffice_Level2"/>
      <w:bookmarkStart w:id="192" w:name="_Toc821018682_WPSOffice_Level2"/>
      <w:bookmarkStart w:id="193" w:name="_Toc784053609_WPSOffice_Level2"/>
      <w:bookmarkStart w:id="194" w:name="_Toc2138890381_WPSOffice_Level2"/>
      <w:bookmarkStart w:id="195" w:name="_Toc369487387_WPSOffice_Level2"/>
      <w:r>
        <w:rPr>
          <w:rFonts w:hint="eastAsia" w:ascii="黑体" w:hAnsi="黑体" w:eastAsia="黑体"/>
          <w:bCs/>
          <w:sz w:val="32"/>
          <w:szCs w:val="32"/>
        </w:rPr>
        <w:t>六、相关措施建议</w:t>
      </w:r>
      <w:bookmarkEnd w:id="187"/>
      <w:bookmarkEnd w:id="188"/>
      <w:bookmarkEnd w:id="189"/>
      <w:bookmarkEnd w:id="190"/>
      <w:bookmarkEnd w:id="191"/>
      <w:bookmarkEnd w:id="192"/>
      <w:bookmarkEnd w:id="193"/>
      <w:bookmarkEnd w:id="194"/>
      <w:bookmarkEnd w:id="195"/>
    </w:p>
    <w:p>
      <w:pPr>
        <w:pageBreakBefore w:val="0"/>
        <w:suppressAutoHyphens/>
        <w:kinsoku/>
        <w:wordWrap/>
        <w:overflowPunct/>
        <w:topLinePunct w:val="0"/>
        <w:bidi w:val="0"/>
        <w:spacing w:line="640" w:lineRule="exact"/>
        <w:ind w:firstLine="640" w:firstLineChars="200"/>
        <w:rPr>
          <w:rFonts w:ascii="仿宋_GB2312" w:eastAsia="仿宋_GB2312"/>
          <w:sz w:val="32"/>
          <w:szCs w:val="32"/>
        </w:rPr>
      </w:pPr>
      <w:r>
        <w:rPr>
          <w:rFonts w:hint="eastAsia" w:ascii="仿宋_GB2312" w:eastAsia="仿宋_GB2312"/>
          <w:sz w:val="32"/>
          <w:szCs w:val="32"/>
        </w:rPr>
        <w:t>针对以上问题，学院将采取以下措施：</w:t>
      </w:r>
    </w:p>
    <w:p>
      <w:pPr>
        <w:pageBreakBefore w:val="0"/>
        <w:suppressAutoHyphens/>
        <w:kinsoku/>
        <w:wordWrap/>
        <w:overflowPunct/>
        <w:topLinePunct w:val="0"/>
        <w:bidi w:val="0"/>
        <w:spacing w:line="640" w:lineRule="exact"/>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（一）计划工作和预算需通过使用部门进行评估。</w:t>
      </w:r>
    </w:p>
    <w:p>
      <w:pPr>
        <w:pageBreakBefore w:val="0"/>
        <w:suppressAutoHyphens/>
        <w:kinsoku/>
        <w:wordWrap/>
        <w:overflowPunct/>
        <w:topLinePunct w:val="0"/>
        <w:bidi w:val="0"/>
        <w:spacing w:line="640" w:lineRule="exact"/>
        <w:ind w:firstLine="642"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（二）计划工作和预算评估后请专业的造价公司完成最终价格制定。</w:t>
      </w:r>
    </w:p>
    <w:p>
      <w:pPr>
        <w:pStyle w:val="2"/>
        <w:pageBreakBefore w:val="0"/>
        <w:kinsoku/>
        <w:wordWrap/>
        <w:overflowPunct/>
        <w:topLinePunct w:val="0"/>
        <w:bidi w:val="0"/>
        <w:spacing w:before="93" w:line="640" w:lineRule="exact"/>
        <w:rPr>
          <w:rFonts w:hAnsi="宋体"/>
          <w:sz w:val="32"/>
          <w:szCs w:val="32"/>
        </w:rPr>
      </w:pPr>
      <w:r>
        <w:rPr>
          <w:rFonts w:hAnsi="宋体"/>
          <w:sz w:val="32"/>
          <w:szCs w:val="32"/>
        </w:rPr>
        <w:br w:type="page"/>
      </w:r>
    </w:p>
    <w:p>
      <w:pPr>
        <w:pageBreakBefore w:val="0"/>
        <w:kinsoku/>
        <w:wordWrap/>
        <w:overflowPunct/>
        <w:topLinePunct w:val="0"/>
        <w:bidi w:val="0"/>
        <w:snapToGrid w:val="0"/>
        <w:spacing w:line="640" w:lineRule="exact"/>
        <w:jc w:val="center"/>
        <w:rPr>
          <w:rFonts w:ascii="方正小标宋简体" w:hAnsi="宋体" w:eastAsia="方正小标宋简体"/>
          <w:sz w:val="44"/>
          <w:szCs w:val="44"/>
        </w:rPr>
      </w:pPr>
      <w:bookmarkStart w:id="196" w:name="_Toc32290015_WPSOffice_Level2"/>
      <w:bookmarkStart w:id="197" w:name="_Toc1412318117_WPSOffice_Level2"/>
      <w:bookmarkStart w:id="198" w:name="_Toc445886776_WPSOffice_Level2"/>
      <w:bookmarkStart w:id="199" w:name="_Toc617646344_WPSOffice_Level2"/>
      <w:bookmarkStart w:id="200" w:name="_Toc1326080139_WPSOffice_Level2"/>
      <w:bookmarkStart w:id="201" w:name="_Toc1191409551_WPSOffice_Level2"/>
      <w:bookmarkStart w:id="202" w:name="_Toc1470967527_WPSOffice_Level2"/>
      <w:bookmarkStart w:id="203" w:name="_Toc173670056_WPSOffice_Level2"/>
      <w:bookmarkStart w:id="204" w:name="_Toc2076308303_WPSOffice_Level2"/>
      <w:r>
        <w:rPr>
          <w:rFonts w:ascii="方正小标宋简体" w:hAnsi="宋体" w:eastAsia="方正小标宋简体"/>
          <w:sz w:val="44"/>
          <w:szCs w:val="44"/>
        </w:rPr>
        <w:t>2020</w:t>
      </w:r>
      <w:r>
        <w:rPr>
          <w:rFonts w:hint="eastAsia" w:ascii="方正小标宋简体" w:hAnsi="宋体" w:eastAsia="方正小标宋简体"/>
          <w:sz w:val="44"/>
          <w:szCs w:val="44"/>
        </w:rPr>
        <w:t>年部门预算项目支出绩效自评报告</w:t>
      </w:r>
      <w:bookmarkEnd w:id="196"/>
      <w:bookmarkEnd w:id="197"/>
      <w:bookmarkEnd w:id="198"/>
      <w:bookmarkEnd w:id="199"/>
      <w:bookmarkEnd w:id="200"/>
      <w:bookmarkEnd w:id="201"/>
      <w:bookmarkEnd w:id="202"/>
      <w:bookmarkEnd w:id="203"/>
      <w:bookmarkEnd w:id="204"/>
    </w:p>
    <w:p>
      <w:pPr>
        <w:pageBreakBefore w:val="0"/>
        <w:tabs>
          <w:tab w:val="left" w:pos="3885"/>
        </w:tabs>
        <w:kinsoku/>
        <w:wordWrap/>
        <w:overflowPunct/>
        <w:topLinePunct w:val="0"/>
        <w:bidi w:val="0"/>
        <w:snapToGrid w:val="0"/>
        <w:spacing w:line="640" w:lineRule="exact"/>
        <w:jc w:val="center"/>
        <w:rPr>
          <w:rFonts w:hAnsi="宋体" w:eastAsia="仿宋_GB2312"/>
          <w:sz w:val="32"/>
          <w:szCs w:val="32"/>
        </w:rPr>
      </w:pPr>
      <w:r>
        <w:rPr>
          <w:rFonts w:hint="eastAsia" w:hAnsi="宋体" w:eastAsia="仿宋_GB2312"/>
          <w:sz w:val="32"/>
          <w:szCs w:val="32"/>
        </w:rPr>
        <w:t>（</w:t>
      </w:r>
      <w:r>
        <w:rPr>
          <w:rFonts w:ascii="仿宋_GB2312" w:hAnsi="仿宋_GB2312" w:eastAsia="仿宋_GB2312" w:cs="仿宋_GB2312"/>
          <w:sz w:val="32"/>
          <w:szCs w:val="21"/>
        </w:rPr>
        <w:t>2020</w:t>
      </w:r>
      <w:r>
        <w:rPr>
          <w:rFonts w:hint="eastAsia" w:ascii="仿宋_GB2312" w:hAnsi="仿宋_GB2312" w:eastAsia="仿宋_GB2312" w:cs="仿宋_GB2312"/>
          <w:sz w:val="32"/>
          <w:szCs w:val="21"/>
        </w:rPr>
        <w:t>年学生资助经费项目</w:t>
      </w:r>
      <w:r>
        <w:rPr>
          <w:rFonts w:hint="eastAsia" w:hAnsi="宋体" w:eastAsia="仿宋_GB2312"/>
          <w:sz w:val="32"/>
          <w:szCs w:val="32"/>
        </w:rPr>
        <w:t>）</w:t>
      </w:r>
    </w:p>
    <w:p>
      <w:pPr>
        <w:pStyle w:val="2"/>
        <w:pageBreakBefore w:val="0"/>
        <w:kinsoku/>
        <w:wordWrap/>
        <w:overflowPunct/>
        <w:topLinePunct w:val="0"/>
        <w:bidi w:val="0"/>
        <w:spacing w:before="93" w:line="640" w:lineRule="exact"/>
      </w:pPr>
    </w:p>
    <w:p>
      <w:pPr>
        <w:pageBreakBefore w:val="0"/>
        <w:tabs>
          <w:tab w:val="left" w:pos="3885"/>
        </w:tabs>
        <w:kinsoku/>
        <w:wordWrap/>
        <w:overflowPunct/>
        <w:topLinePunct w:val="0"/>
        <w:bidi w:val="0"/>
        <w:snapToGrid w:val="0"/>
        <w:spacing w:line="640" w:lineRule="exact"/>
        <w:ind w:firstLine="640" w:firstLineChars="200"/>
        <w:jc w:val="left"/>
        <w:rPr>
          <w:rFonts w:ascii="黑体" w:hAnsi="宋体" w:eastAsia="黑体"/>
          <w:sz w:val="32"/>
          <w:szCs w:val="21"/>
        </w:rPr>
      </w:pPr>
      <w:bookmarkStart w:id="205" w:name="_Toc1721857223_WPSOffice_Level2"/>
      <w:bookmarkStart w:id="206" w:name="_Toc1493633448_WPSOffice_Level2"/>
      <w:bookmarkStart w:id="207" w:name="_Toc161987504_WPSOffice_Level2"/>
      <w:bookmarkStart w:id="208" w:name="_Toc789301769_WPSOffice_Level2"/>
      <w:bookmarkStart w:id="209" w:name="_Toc1323617958_WPSOffice_Level2"/>
      <w:bookmarkStart w:id="210" w:name="_Toc976907132_WPSOffice_Level2"/>
      <w:bookmarkStart w:id="211" w:name="_Toc1730356882_WPSOffice_Level2"/>
      <w:bookmarkStart w:id="212" w:name="_Toc1432931805_WPSOffice_Level2"/>
      <w:bookmarkStart w:id="213" w:name="_Toc670110280_WPSOffice_Level2"/>
      <w:r>
        <w:rPr>
          <w:rFonts w:hint="eastAsia" w:ascii="黑体" w:hAnsi="宋体" w:eastAsia="黑体"/>
          <w:sz w:val="32"/>
          <w:szCs w:val="21"/>
        </w:rPr>
        <w:t>一、基本情况</w:t>
      </w:r>
      <w:bookmarkEnd w:id="205"/>
      <w:bookmarkEnd w:id="206"/>
      <w:bookmarkEnd w:id="207"/>
      <w:bookmarkEnd w:id="208"/>
      <w:bookmarkEnd w:id="209"/>
      <w:bookmarkEnd w:id="210"/>
      <w:bookmarkEnd w:id="211"/>
    </w:p>
    <w:p>
      <w:pPr>
        <w:pageBreakBefore w:val="0"/>
        <w:tabs>
          <w:tab w:val="left" w:pos="3885"/>
        </w:tabs>
        <w:kinsoku/>
        <w:wordWrap/>
        <w:overflowPunct/>
        <w:topLinePunct w:val="0"/>
        <w:bidi w:val="0"/>
        <w:snapToGrid w:val="0"/>
        <w:spacing w:line="640" w:lineRule="exact"/>
        <w:ind w:firstLine="642" w:firstLineChars="200"/>
        <w:jc w:val="left"/>
        <w:rPr>
          <w:rFonts w:ascii="楷体_GB2312" w:hAnsi="仿宋_GB2312" w:eastAsia="楷体_GB2312" w:cs="仿宋_GB2312"/>
          <w:b/>
          <w:sz w:val="32"/>
          <w:szCs w:val="32"/>
        </w:rPr>
      </w:pPr>
      <w:r>
        <w:rPr>
          <w:rFonts w:hint="eastAsia" w:ascii="楷体_GB2312" w:hAnsi="仿宋_GB2312" w:eastAsia="楷体_GB2312" w:cs="仿宋_GB2312"/>
          <w:b/>
          <w:sz w:val="32"/>
          <w:szCs w:val="32"/>
        </w:rPr>
        <w:t>（一）项目概况</w:t>
      </w:r>
    </w:p>
    <w:p>
      <w:pPr>
        <w:pageBreakBefore w:val="0"/>
        <w:tabs>
          <w:tab w:val="left" w:pos="3885"/>
        </w:tabs>
        <w:kinsoku/>
        <w:wordWrap/>
        <w:overflowPunct/>
        <w:topLinePunct w:val="0"/>
        <w:bidi w:val="0"/>
        <w:snapToGrid w:val="0"/>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国家学生资助政策，不断完善并优化学院资助工作体系，推动学院资助工作逐步从保障型资助向发展型资助转变，使资助育人工作逐步发展成为立德树人的重要抓手，帮助学生更好成长成才，助力人才培养质量不断提升，设立学生资助经费项目。该项目主要用于我院学生国家奖学金、国家励志奖学金和国家助学金等项目。</w:t>
      </w:r>
    </w:p>
    <w:p>
      <w:pPr>
        <w:pageBreakBefore w:val="0"/>
        <w:tabs>
          <w:tab w:val="left" w:pos="3885"/>
        </w:tabs>
        <w:kinsoku/>
        <w:wordWrap/>
        <w:overflowPunct/>
        <w:topLinePunct w:val="0"/>
        <w:bidi w:val="0"/>
        <w:snapToGrid w:val="0"/>
        <w:spacing w:line="640" w:lineRule="exact"/>
        <w:ind w:firstLine="642" w:firstLineChars="200"/>
        <w:jc w:val="left"/>
        <w:rPr>
          <w:rFonts w:ascii="楷体_GB2312" w:hAnsi="仿宋_GB2312" w:eastAsia="楷体_GB2312" w:cs="仿宋_GB2312"/>
          <w:b/>
          <w:sz w:val="32"/>
          <w:szCs w:val="32"/>
        </w:rPr>
      </w:pPr>
      <w:r>
        <w:rPr>
          <w:rFonts w:hint="eastAsia" w:ascii="楷体_GB2312" w:hAnsi="仿宋_GB2312" w:eastAsia="楷体_GB2312" w:cs="仿宋_GB2312"/>
          <w:b/>
          <w:sz w:val="32"/>
          <w:szCs w:val="32"/>
        </w:rPr>
        <w:t>（二）项目实施情况</w:t>
      </w:r>
    </w:p>
    <w:p>
      <w:pPr>
        <w:pageBreakBefore w:val="0"/>
        <w:tabs>
          <w:tab w:val="left" w:pos="3885"/>
        </w:tabs>
        <w:kinsoku/>
        <w:wordWrap/>
        <w:overflowPunct/>
        <w:topLinePunct w:val="0"/>
        <w:bidi w:val="0"/>
        <w:snapToGrid w:val="0"/>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该项目的实施符合国家的现行贫困生资助政策，坚持</w:t>
      </w:r>
      <w:r>
        <w:rPr>
          <w:rFonts w:hint="eastAsia" w:ascii="仿宋_GB2312" w:hAnsi="仿宋_GB2312" w:eastAsia="仿宋_GB2312" w:cs="仿宋_GB2312"/>
          <w:sz w:val="32"/>
          <w:szCs w:val="32"/>
        </w:rPr>
        <w:t>“公平、公正、公开”的原则，专款专用，确保学生资助专项经费完全用于符合资助条件的学生，</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年受资助学生约</w:t>
      </w:r>
      <w:r>
        <w:rPr>
          <w:rFonts w:ascii="仿宋_GB2312" w:hAnsi="仿宋_GB2312" w:eastAsia="仿宋_GB2312" w:cs="仿宋_GB2312"/>
          <w:sz w:val="32"/>
          <w:szCs w:val="32"/>
        </w:rPr>
        <w:t>6500</w:t>
      </w:r>
      <w:r>
        <w:rPr>
          <w:rFonts w:hint="eastAsia" w:ascii="仿宋_GB2312" w:hAnsi="仿宋_GB2312" w:eastAsia="仿宋_GB2312" w:cs="仿宋_GB2312"/>
          <w:sz w:val="32"/>
          <w:szCs w:val="32"/>
        </w:rPr>
        <w:t>人次，资助资金全部发放到位。</w:t>
      </w:r>
    </w:p>
    <w:p>
      <w:pPr>
        <w:pageBreakBefore w:val="0"/>
        <w:tabs>
          <w:tab w:val="left" w:pos="3885"/>
        </w:tabs>
        <w:kinsoku/>
        <w:wordWrap/>
        <w:overflowPunct/>
        <w:topLinePunct w:val="0"/>
        <w:bidi w:val="0"/>
        <w:snapToGrid w:val="0"/>
        <w:spacing w:line="640" w:lineRule="exact"/>
        <w:ind w:firstLine="642" w:firstLineChars="200"/>
        <w:jc w:val="left"/>
        <w:rPr>
          <w:rFonts w:ascii="楷体_GB2312" w:hAnsi="仿宋_GB2312" w:eastAsia="楷体_GB2312" w:cs="仿宋_GB2312"/>
          <w:b/>
          <w:sz w:val="32"/>
          <w:szCs w:val="32"/>
        </w:rPr>
      </w:pPr>
      <w:r>
        <w:rPr>
          <w:rFonts w:hint="eastAsia" w:ascii="楷体_GB2312" w:hAnsi="仿宋_GB2312" w:eastAsia="楷体_GB2312" w:cs="仿宋_GB2312"/>
          <w:b/>
          <w:sz w:val="32"/>
          <w:szCs w:val="32"/>
        </w:rPr>
        <w:t>（三）资金投入使用情况</w:t>
      </w:r>
    </w:p>
    <w:p>
      <w:pPr>
        <w:pageBreakBefore w:val="0"/>
        <w:tabs>
          <w:tab w:val="left" w:pos="3885"/>
        </w:tabs>
        <w:kinsoku/>
        <w:wordWrap/>
        <w:overflowPunct/>
        <w:topLinePunct w:val="0"/>
        <w:bidi w:val="0"/>
        <w:snapToGrid w:val="0"/>
        <w:spacing w:line="64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年，我院资助经费项目资金到位率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。截至</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日该项目累计支出</w:t>
      </w:r>
      <w:r>
        <w:rPr>
          <w:rFonts w:ascii="仿宋_GB2312" w:hAnsi="仿宋_GB2312" w:eastAsia="仿宋_GB2312" w:cs="仿宋_GB2312"/>
          <w:sz w:val="32"/>
          <w:szCs w:val="32"/>
        </w:rPr>
        <w:t>1173.2</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000000"/>
          <w:sz w:val="32"/>
          <w:szCs w:val="32"/>
        </w:rPr>
        <w:t>，其中发放国家</w:t>
      </w:r>
      <w:r>
        <w:rPr>
          <w:rFonts w:hint="eastAsia" w:ascii="仿宋_GB2312" w:hAnsi="仿宋_GB2312" w:eastAsia="仿宋_GB2312" w:cs="仿宋_GB2312"/>
          <w:sz w:val="32"/>
          <w:szCs w:val="32"/>
        </w:rPr>
        <w:t>奖学金</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万元、国家励志奖学金</w:t>
      </w:r>
      <w:r>
        <w:rPr>
          <w:rFonts w:ascii="仿宋_GB2312" w:hAnsi="仿宋_GB2312" w:eastAsia="仿宋_GB2312" w:cs="仿宋_GB2312"/>
          <w:sz w:val="32"/>
          <w:szCs w:val="32"/>
        </w:rPr>
        <w:t>139.5</w:t>
      </w:r>
      <w:r>
        <w:rPr>
          <w:rFonts w:hint="eastAsia" w:ascii="仿宋_GB2312" w:hAnsi="仿宋_GB2312" w:eastAsia="仿宋_GB2312" w:cs="仿宋_GB2312"/>
          <w:sz w:val="32"/>
          <w:szCs w:val="32"/>
        </w:rPr>
        <w:t>万元、春季国家助学金</w:t>
      </w:r>
      <w:r>
        <w:rPr>
          <w:rFonts w:ascii="仿宋_GB2312" w:hAnsi="仿宋_GB2312" w:eastAsia="仿宋_GB2312" w:cs="仿宋_GB2312"/>
          <w:sz w:val="32"/>
          <w:szCs w:val="32"/>
        </w:rPr>
        <w:t>564.195</w:t>
      </w:r>
      <w:r>
        <w:rPr>
          <w:rFonts w:hint="eastAsia" w:ascii="仿宋_GB2312" w:hAnsi="仿宋_GB2312" w:eastAsia="仿宋_GB2312" w:cs="仿宋_GB2312"/>
          <w:sz w:val="32"/>
          <w:szCs w:val="32"/>
        </w:rPr>
        <w:t>万元、秋季国家助学金</w:t>
      </w:r>
      <w:r>
        <w:rPr>
          <w:rFonts w:ascii="仿宋_GB2312" w:hAnsi="仿宋_GB2312" w:eastAsia="仿宋_GB2312" w:cs="仿宋_GB2312"/>
          <w:sz w:val="32"/>
          <w:szCs w:val="32"/>
        </w:rPr>
        <w:t>461.505</w:t>
      </w:r>
      <w:r>
        <w:rPr>
          <w:rFonts w:hint="eastAsia" w:ascii="仿宋_GB2312" w:hAnsi="仿宋_GB2312" w:eastAsia="仿宋_GB2312" w:cs="仿宋_GB2312"/>
          <w:sz w:val="32"/>
          <w:szCs w:val="32"/>
        </w:rPr>
        <w:t>万元。所有经费发放全部到位，资助经费使用取得了良好的效果，得到学生的认可，为学生顺利完成学业提供保障。</w:t>
      </w:r>
    </w:p>
    <w:p>
      <w:pPr>
        <w:pageBreakBefore w:val="0"/>
        <w:tabs>
          <w:tab w:val="left" w:pos="3885"/>
        </w:tabs>
        <w:kinsoku/>
        <w:wordWrap/>
        <w:overflowPunct/>
        <w:topLinePunct w:val="0"/>
        <w:bidi w:val="0"/>
        <w:snapToGrid w:val="0"/>
        <w:spacing w:line="640" w:lineRule="exact"/>
        <w:ind w:firstLine="642" w:firstLineChars="200"/>
        <w:jc w:val="left"/>
        <w:rPr>
          <w:rFonts w:ascii="楷体_GB2312" w:hAnsi="仿宋_GB2312" w:eastAsia="楷体_GB2312" w:cs="仿宋_GB2312"/>
          <w:b/>
          <w:sz w:val="32"/>
          <w:szCs w:val="32"/>
        </w:rPr>
      </w:pPr>
      <w:r>
        <w:rPr>
          <w:rFonts w:hint="eastAsia" w:ascii="楷体_GB2312" w:hAnsi="仿宋_GB2312" w:eastAsia="楷体_GB2312" w:cs="仿宋_GB2312"/>
          <w:b/>
          <w:sz w:val="32"/>
          <w:szCs w:val="32"/>
        </w:rPr>
        <w:t>（四）项目绩效目标</w:t>
      </w:r>
    </w:p>
    <w:p>
      <w:pPr>
        <w:pageBreakBefore w:val="0"/>
        <w:tabs>
          <w:tab w:val="left" w:pos="3885"/>
        </w:tabs>
        <w:kinsoku/>
        <w:wordWrap/>
        <w:overflowPunct/>
        <w:topLinePunct w:val="0"/>
        <w:bidi w:val="0"/>
        <w:snapToGrid w:val="0"/>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进一步强化资助政策宣传，提升资助工作的精准度和有效性，强化经济资助与学生全面发展之间的契合，强化典型引领，更好发挥资助育人成效。</w:t>
      </w:r>
    </w:p>
    <w:p>
      <w:pPr>
        <w:pageBreakBefore w:val="0"/>
        <w:tabs>
          <w:tab w:val="left" w:pos="3885"/>
        </w:tabs>
        <w:kinsoku/>
        <w:wordWrap/>
        <w:overflowPunct/>
        <w:topLinePunct w:val="0"/>
        <w:bidi w:val="0"/>
        <w:snapToGrid w:val="0"/>
        <w:spacing w:line="640" w:lineRule="exact"/>
        <w:ind w:firstLine="640" w:firstLineChars="200"/>
        <w:jc w:val="left"/>
        <w:rPr>
          <w:rFonts w:ascii="黑体" w:hAnsi="宋体" w:eastAsia="黑体"/>
          <w:sz w:val="32"/>
          <w:szCs w:val="21"/>
        </w:rPr>
      </w:pPr>
      <w:bookmarkStart w:id="214" w:name="_Toc863027926_WPSOffice_Level2"/>
      <w:bookmarkStart w:id="215" w:name="_Toc534274402_WPSOffice_Level2"/>
      <w:bookmarkStart w:id="216" w:name="_Toc1352600443_WPSOffice_Level2"/>
      <w:bookmarkStart w:id="217" w:name="_Toc1476322358_WPSOffice_Level2"/>
      <w:bookmarkStart w:id="218" w:name="_Toc1407211930_WPSOffice_Level2"/>
      <w:bookmarkStart w:id="219" w:name="_Toc654020956_WPSOffice_Level2"/>
      <w:bookmarkStart w:id="220" w:name="_Toc1029508579_WPSOffice_Level2"/>
      <w:r>
        <w:rPr>
          <w:rFonts w:hint="eastAsia" w:ascii="黑体" w:hAnsi="宋体" w:eastAsia="黑体"/>
          <w:sz w:val="32"/>
          <w:szCs w:val="21"/>
        </w:rPr>
        <w:t>二、评价工作开展情况</w:t>
      </w:r>
      <w:bookmarkEnd w:id="214"/>
      <w:bookmarkEnd w:id="215"/>
      <w:bookmarkEnd w:id="216"/>
      <w:bookmarkEnd w:id="217"/>
      <w:bookmarkEnd w:id="218"/>
      <w:bookmarkEnd w:id="219"/>
      <w:bookmarkEnd w:id="220"/>
    </w:p>
    <w:p>
      <w:pPr>
        <w:pageBreakBefore w:val="0"/>
        <w:tabs>
          <w:tab w:val="left" w:pos="3885"/>
        </w:tabs>
        <w:kinsoku/>
        <w:wordWrap/>
        <w:overflowPunct/>
        <w:topLinePunct w:val="0"/>
        <w:bidi w:val="0"/>
        <w:snapToGrid w:val="0"/>
        <w:spacing w:line="640" w:lineRule="exact"/>
        <w:ind w:firstLine="642" w:firstLineChars="200"/>
        <w:jc w:val="left"/>
        <w:rPr>
          <w:rFonts w:ascii="楷体_GB2312" w:hAnsi="仿宋_GB2312" w:eastAsia="楷体_GB2312" w:cs="仿宋_GB2312"/>
          <w:b/>
          <w:sz w:val="32"/>
          <w:szCs w:val="32"/>
        </w:rPr>
      </w:pPr>
      <w:r>
        <w:rPr>
          <w:rFonts w:hint="eastAsia" w:ascii="楷体_GB2312" w:hAnsi="仿宋_GB2312" w:eastAsia="楷体_GB2312" w:cs="仿宋_GB2312"/>
          <w:b/>
          <w:sz w:val="32"/>
          <w:szCs w:val="32"/>
        </w:rPr>
        <w:t>（一）评价组织情况</w:t>
      </w:r>
    </w:p>
    <w:p>
      <w:pPr>
        <w:pageBreakBefore w:val="0"/>
        <w:tabs>
          <w:tab w:val="left" w:pos="3885"/>
        </w:tabs>
        <w:kinsoku/>
        <w:wordWrap/>
        <w:overflowPunct/>
        <w:topLinePunct w:val="0"/>
        <w:bidi w:val="0"/>
        <w:snapToGrid w:val="0"/>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本项目评价指标按照财政部门要求设置，并咨询相关评审专家，建立本项目的评价指标体系，对评价指标体系征求各部门意见，后形成本项目的评价指标体系，正式明确评价工作要求，自评评价指标和评分标准。</w:t>
      </w:r>
    </w:p>
    <w:p>
      <w:pPr>
        <w:pageBreakBefore w:val="0"/>
        <w:tabs>
          <w:tab w:val="left" w:pos="3885"/>
        </w:tabs>
        <w:kinsoku/>
        <w:wordWrap/>
        <w:overflowPunct/>
        <w:topLinePunct w:val="0"/>
        <w:bidi w:val="0"/>
        <w:snapToGrid w:val="0"/>
        <w:spacing w:line="640" w:lineRule="exact"/>
        <w:ind w:firstLine="642" w:firstLineChars="200"/>
        <w:jc w:val="left"/>
        <w:rPr>
          <w:rFonts w:ascii="楷体_GB2312" w:hAnsi="仿宋_GB2312" w:eastAsia="楷体_GB2312" w:cs="仿宋_GB2312"/>
          <w:b/>
          <w:sz w:val="32"/>
          <w:szCs w:val="32"/>
        </w:rPr>
      </w:pPr>
      <w:r>
        <w:rPr>
          <w:rFonts w:hint="eastAsia" w:ascii="楷体_GB2312" w:hAnsi="仿宋_GB2312" w:eastAsia="楷体_GB2312" w:cs="仿宋_GB2312"/>
          <w:b/>
          <w:sz w:val="32"/>
          <w:szCs w:val="32"/>
        </w:rPr>
        <w:t>（二）评价体系、评价方法和评价标准</w:t>
      </w:r>
    </w:p>
    <w:p>
      <w:pPr>
        <w:pageBreakBefore w:val="0"/>
        <w:tabs>
          <w:tab w:val="left" w:pos="3885"/>
        </w:tabs>
        <w:kinsoku/>
        <w:wordWrap/>
        <w:overflowPunct/>
        <w:topLinePunct w:val="0"/>
        <w:bidi w:val="0"/>
        <w:snapToGrid w:val="0"/>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本次评价原则主要集中于合规性、效率和效果三大原则，采用案卷调查法，从数量指标、时效指标、社会效益指标、可持续影响指标、满意度指标进行评价。具体的指标评价见附表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项目支出绩效自评表。</w:t>
      </w:r>
    </w:p>
    <w:p>
      <w:pPr>
        <w:pageBreakBefore w:val="0"/>
        <w:tabs>
          <w:tab w:val="left" w:pos="3885"/>
        </w:tabs>
        <w:kinsoku/>
        <w:wordWrap/>
        <w:overflowPunct/>
        <w:topLinePunct w:val="0"/>
        <w:bidi w:val="0"/>
        <w:snapToGrid w:val="0"/>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本项目的评价流程分为两个阶段，第一个阶段：学院财务处发放自评通知，并辅助设计指标；第二阶段：学生处召开处务会，讨论推进自评工作开展，根据项目自评表进行自评，提交项目自评报告。</w:t>
      </w:r>
    </w:p>
    <w:p>
      <w:pPr>
        <w:pageBreakBefore w:val="0"/>
        <w:tabs>
          <w:tab w:val="left" w:pos="3885"/>
        </w:tabs>
        <w:kinsoku/>
        <w:wordWrap/>
        <w:overflowPunct/>
        <w:topLinePunct w:val="0"/>
        <w:bidi w:val="0"/>
        <w:snapToGrid w:val="0"/>
        <w:spacing w:line="640" w:lineRule="exact"/>
        <w:ind w:firstLine="640" w:firstLineChars="200"/>
        <w:jc w:val="left"/>
        <w:rPr>
          <w:rFonts w:ascii="黑体" w:hAnsi="宋体" w:eastAsia="黑体"/>
          <w:sz w:val="32"/>
          <w:szCs w:val="21"/>
        </w:rPr>
      </w:pPr>
      <w:bookmarkStart w:id="221" w:name="_Toc358598092_WPSOffice_Level2"/>
      <w:bookmarkStart w:id="222" w:name="_Toc1483569219_WPSOffice_Level2"/>
      <w:bookmarkStart w:id="223" w:name="_Toc646620292_WPSOffice_Level2"/>
      <w:bookmarkStart w:id="224" w:name="_Toc1592602425_WPSOffice_Level2"/>
      <w:bookmarkStart w:id="225" w:name="_Toc1162735891_WPSOffice_Level2"/>
      <w:bookmarkStart w:id="226" w:name="_Toc16697384_WPSOffice_Level2"/>
      <w:bookmarkStart w:id="227" w:name="_Toc422909949_WPSOffice_Level2"/>
      <w:r>
        <w:rPr>
          <w:rFonts w:hint="eastAsia" w:ascii="黑体" w:hAnsi="宋体" w:eastAsia="黑体"/>
          <w:sz w:val="32"/>
          <w:szCs w:val="21"/>
        </w:rPr>
        <w:t>三、综合评价结论</w:t>
      </w:r>
      <w:bookmarkEnd w:id="221"/>
      <w:bookmarkEnd w:id="222"/>
      <w:bookmarkEnd w:id="223"/>
      <w:bookmarkEnd w:id="224"/>
      <w:bookmarkEnd w:id="225"/>
      <w:bookmarkEnd w:id="226"/>
      <w:bookmarkEnd w:id="227"/>
    </w:p>
    <w:p>
      <w:pPr>
        <w:pageBreakBefore w:val="0"/>
        <w:tabs>
          <w:tab w:val="left" w:pos="3885"/>
        </w:tabs>
        <w:kinsoku/>
        <w:wordWrap/>
        <w:overflowPunct/>
        <w:topLinePunct w:val="0"/>
        <w:bidi w:val="0"/>
        <w:snapToGrid w:val="0"/>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该项目资金按时落实到位，项目实施工作有序开展，业务管理制度健全，并能得到执行，能够完成绩效目标申报表的考核指标，但在质量和过程中仍有待提高，自评等级为优秀。</w:t>
      </w:r>
    </w:p>
    <w:p>
      <w:pPr>
        <w:pageBreakBefore w:val="0"/>
        <w:tabs>
          <w:tab w:val="left" w:pos="3885"/>
        </w:tabs>
        <w:kinsoku/>
        <w:wordWrap/>
        <w:overflowPunct/>
        <w:topLinePunct w:val="0"/>
        <w:bidi w:val="0"/>
        <w:snapToGrid w:val="0"/>
        <w:spacing w:line="640" w:lineRule="exact"/>
        <w:ind w:firstLine="640" w:firstLineChars="200"/>
        <w:jc w:val="left"/>
        <w:rPr>
          <w:rFonts w:ascii="黑体" w:hAnsi="宋体" w:eastAsia="黑体"/>
          <w:sz w:val="32"/>
          <w:szCs w:val="21"/>
        </w:rPr>
      </w:pPr>
      <w:bookmarkStart w:id="228" w:name="_Toc850447699_WPSOffice_Level2"/>
      <w:bookmarkStart w:id="229" w:name="_Toc581355858_WPSOffice_Level2"/>
      <w:bookmarkStart w:id="230" w:name="_Toc2089600341_WPSOffice_Level2"/>
      <w:bookmarkStart w:id="231" w:name="_Toc1956278282_WPSOffice_Level2"/>
      <w:bookmarkStart w:id="232" w:name="_Toc620844283_WPSOffice_Level2"/>
      <w:bookmarkStart w:id="233" w:name="_Toc1677593272_WPSOffice_Level2"/>
      <w:bookmarkStart w:id="234" w:name="_Toc1471894434_WPSOffice_Level2"/>
      <w:r>
        <w:rPr>
          <w:rFonts w:hint="eastAsia" w:ascii="黑体" w:hAnsi="宋体" w:eastAsia="黑体"/>
          <w:sz w:val="32"/>
          <w:szCs w:val="21"/>
        </w:rPr>
        <w:t>四、绩效评价分析</w:t>
      </w:r>
      <w:bookmarkEnd w:id="228"/>
      <w:bookmarkEnd w:id="229"/>
      <w:bookmarkEnd w:id="230"/>
      <w:bookmarkEnd w:id="231"/>
      <w:bookmarkEnd w:id="232"/>
      <w:bookmarkEnd w:id="233"/>
      <w:bookmarkEnd w:id="234"/>
    </w:p>
    <w:p>
      <w:pPr>
        <w:pageBreakBefore w:val="0"/>
        <w:tabs>
          <w:tab w:val="left" w:pos="3885"/>
        </w:tabs>
        <w:kinsoku/>
        <w:wordWrap/>
        <w:overflowPunct/>
        <w:topLinePunct w:val="0"/>
        <w:bidi w:val="0"/>
        <w:snapToGrid w:val="0"/>
        <w:spacing w:line="640" w:lineRule="exact"/>
        <w:ind w:firstLine="642" w:firstLineChars="200"/>
        <w:jc w:val="left"/>
        <w:rPr>
          <w:rFonts w:ascii="楷体_GB2312" w:hAnsi="仿宋_GB2312" w:eastAsia="楷体_GB2312" w:cs="仿宋_GB2312"/>
          <w:b/>
          <w:sz w:val="32"/>
          <w:szCs w:val="32"/>
        </w:rPr>
      </w:pPr>
      <w:r>
        <w:rPr>
          <w:rFonts w:hint="eastAsia" w:ascii="楷体_GB2312" w:hAnsi="仿宋_GB2312" w:eastAsia="楷体_GB2312" w:cs="仿宋_GB2312"/>
          <w:b/>
          <w:sz w:val="32"/>
          <w:szCs w:val="32"/>
        </w:rPr>
        <w:t>（一）项目决策情况</w:t>
      </w:r>
    </w:p>
    <w:p>
      <w:pPr>
        <w:pageBreakBefore w:val="0"/>
        <w:tabs>
          <w:tab w:val="left" w:pos="3885"/>
        </w:tabs>
        <w:kinsoku/>
        <w:wordWrap/>
        <w:overflowPunct/>
        <w:topLinePunct w:val="0"/>
        <w:bidi w:val="0"/>
        <w:snapToGri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项目立项程序合法。该项目根据国家奖助学金管理办法和</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年四川省教育厅下达的国家奖助学金具体名额进行设立。项目执行过程中严格使用和管理经费，专款专用，根据工作研究内容、总体目标和计划进度，制定资金使用计划，确保各项工作按计划进度进行。</w:t>
      </w:r>
    </w:p>
    <w:p>
      <w:pPr>
        <w:pageBreakBefore w:val="0"/>
        <w:tabs>
          <w:tab w:val="left" w:pos="3885"/>
        </w:tabs>
        <w:kinsoku/>
        <w:wordWrap/>
        <w:overflowPunct/>
        <w:topLinePunct w:val="0"/>
        <w:bidi w:val="0"/>
        <w:snapToGrid w:val="0"/>
        <w:spacing w:line="640" w:lineRule="exact"/>
        <w:ind w:firstLine="642" w:firstLineChars="200"/>
        <w:jc w:val="left"/>
        <w:rPr>
          <w:rFonts w:ascii="楷体_GB2312" w:hAnsi="仿宋_GB2312" w:eastAsia="楷体_GB2312" w:cs="仿宋_GB2312"/>
          <w:b/>
          <w:sz w:val="32"/>
          <w:szCs w:val="32"/>
        </w:rPr>
      </w:pPr>
      <w:r>
        <w:rPr>
          <w:rFonts w:hint="eastAsia" w:ascii="楷体_GB2312" w:hAnsi="仿宋_GB2312" w:eastAsia="楷体_GB2312" w:cs="仿宋_GB2312"/>
          <w:b/>
          <w:sz w:val="32"/>
          <w:szCs w:val="32"/>
        </w:rPr>
        <w:t>（二）项目管理情况</w:t>
      </w:r>
    </w:p>
    <w:p>
      <w:pPr>
        <w:pageBreakBefore w:val="0"/>
        <w:tabs>
          <w:tab w:val="left" w:pos="3885"/>
        </w:tabs>
        <w:kinsoku/>
        <w:wordWrap/>
        <w:overflowPunct/>
        <w:topLinePunct w:val="0"/>
        <w:bidi w:val="0"/>
        <w:snapToGrid w:val="0"/>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执行过程规范合理、遴选公开公平。建立了健全的学生资助管理制度，并执行相关制度，监督机制健全，有关资料的归档和整理及时并且完整。资金的发放严格按照政策的要求发放到学生指定的银行卡上，资金使用合理，监督有效，不存在漏洞。</w:t>
      </w:r>
    </w:p>
    <w:p>
      <w:pPr>
        <w:pageBreakBefore w:val="0"/>
        <w:tabs>
          <w:tab w:val="left" w:pos="3885"/>
        </w:tabs>
        <w:kinsoku/>
        <w:wordWrap/>
        <w:overflowPunct/>
        <w:topLinePunct w:val="0"/>
        <w:bidi w:val="0"/>
        <w:snapToGrid w:val="0"/>
        <w:spacing w:line="640" w:lineRule="exact"/>
        <w:ind w:firstLine="642" w:firstLineChars="200"/>
        <w:jc w:val="left"/>
        <w:rPr>
          <w:rFonts w:ascii="楷体_GB2312" w:hAnsi="仿宋_GB2312" w:eastAsia="楷体_GB2312" w:cs="仿宋_GB2312"/>
          <w:b/>
          <w:sz w:val="32"/>
          <w:szCs w:val="32"/>
        </w:rPr>
      </w:pPr>
      <w:r>
        <w:rPr>
          <w:rFonts w:hint="eastAsia" w:ascii="楷体_GB2312" w:hAnsi="仿宋_GB2312" w:eastAsia="楷体_GB2312" w:cs="仿宋_GB2312"/>
          <w:b/>
          <w:sz w:val="32"/>
          <w:szCs w:val="32"/>
        </w:rPr>
        <w:t>（三）项目产出情况</w:t>
      </w:r>
    </w:p>
    <w:p>
      <w:pPr>
        <w:pageBreakBefore w:val="0"/>
        <w:tabs>
          <w:tab w:val="left" w:pos="3885"/>
        </w:tabs>
        <w:kinsoku/>
        <w:wordWrap/>
        <w:overflowPunct/>
        <w:topLinePunct w:val="0"/>
        <w:bidi w:val="0"/>
        <w:snapToGrid w:val="0"/>
        <w:spacing w:line="64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年学生资助管理工作已按省教育厅要求完成相关评选工作，并上报省教育厅，全年累计发放国家奖助学金</w:t>
      </w:r>
      <w:r>
        <w:rPr>
          <w:rFonts w:ascii="仿宋_GB2312" w:hAnsi="仿宋_GB2312" w:eastAsia="仿宋_GB2312" w:cs="仿宋_GB2312"/>
          <w:sz w:val="32"/>
          <w:szCs w:val="32"/>
        </w:rPr>
        <w:t>1173.2</w:t>
      </w:r>
      <w:r>
        <w:rPr>
          <w:rFonts w:hint="eastAsia" w:ascii="仿宋_GB2312" w:hAnsi="仿宋_GB2312" w:eastAsia="仿宋_GB2312" w:cs="仿宋_GB2312"/>
          <w:sz w:val="32"/>
          <w:szCs w:val="32"/>
        </w:rPr>
        <w:t>万元，按计划完成既定目标</w:t>
      </w:r>
      <w:r>
        <w:rPr>
          <w:rFonts w:hint="eastAsia" w:ascii="仿宋_GB2312" w:hAnsi="仿宋_GB2312" w:eastAsia="仿宋_GB2312" w:cs="仿宋_GB2312"/>
          <w:color w:val="auto"/>
          <w:sz w:val="32"/>
          <w:szCs w:val="32"/>
        </w:rPr>
        <w:t>。资金下达到实施时间较紧凑，于</w:t>
      </w:r>
      <w:r>
        <w:rPr>
          <w:rFonts w:ascii="仿宋_GB2312" w:hAnsi="仿宋_GB2312" w:eastAsia="仿宋_GB2312" w:cs="仿宋_GB2312"/>
          <w:color w:val="auto"/>
          <w:sz w:val="32"/>
          <w:szCs w:val="32"/>
        </w:rPr>
        <w:t>2020</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rPr>
        <w:t>月底前按时按量完成资</w:t>
      </w:r>
      <w:r>
        <w:rPr>
          <w:rFonts w:hint="eastAsia" w:ascii="仿宋_GB2312" w:hAnsi="仿宋_GB2312" w:eastAsia="仿宋_GB2312" w:cs="仿宋_GB2312"/>
          <w:sz w:val="32"/>
          <w:szCs w:val="32"/>
        </w:rPr>
        <w:t>金的发放工作。</w:t>
      </w:r>
    </w:p>
    <w:p>
      <w:pPr>
        <w:pageBreakBefore w:val="0"/>
        <w:tabs>
          <w:tab w:val="left" w:pos="3885"/>
        </w:tabs>
        <w:kinsoku/>
        <w:wordWrap/>
        <w:overflowPunct/>
        <w:topLinePunct w:val="0"/>
        <w:bidi w:val="0"/>
        <w:snapToGrid w:val="0"/>
        <w:spacing w:line="640" w:lineRule="exact"/>
        <w:ind w:firstLine="642" w:firstLineChars="200"/>
        <w:jc w:val="left"/>
        <w:rPr>
          <w:rFonts w:ascii="楷体_GB2312" w:hAnsi="仿宋_GB2312" w:eastAsia="楷体_GB2312" w:cs="仿宋_GB2312"/>
          <w:b/>
          <w:sz w:val="32"/>
          <w:szCs w:val="32"/>
        </w:rPr>
      </w:pPr>
      <w:r>
        <w:rPr>
          <w:rFonts w:hint="eastAsia" w:ascii="楷体_GB2312" w:hAnsi="仿宋_GB2312" w:eastAsia="楷体_GB2312" w:cs="仿宋_GB2312"/>
          <w:b/>
          <w:sz w:val="32"/>
          <w:szCs w:val="32"/>
        </w:rPr>
        <w:t>（四）项目效益情况</w:t>
      </w:r>
    </w:p>
    <w:p>
      <w:pPr>
        <w:pageBreakBefore w:val="0"/>
        <w:tabs>
          <w:tab w:val="left" w:pos="3885"/>
        </w:tabs>
        <w:kinsoku/>
        <w:wordWrap/>
        <w:overflowPunct/>
        <w:topLinePunct w:val="0"/>
        <w:bidi w:val="0"/>
        <w:snapToGrid w:val="0"/>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学生资助经费一定程度满足所资助的贫困生生活的需求，缓解上学的经济压力，减轻了家庭经济困难学生的就学压力，确保困难学生可以正常完成学业。另一方面，通过奖学金的形式，对优秀学生进行奖励，在学生中树典型、立榜样，有助于良好学风的形成。该项目在扶贫的同时通过感恩、励志等活动，对学生进行扶志，得到了学生的一致认可，产生了良好的社会效益。</w:t>
      </w:r>
    </w:p>
    <w:p>
      <w:pPr>
        <w:pageBreakBefore w:val="0"/>
        <w:tabs>
          <w:tab w:val="left" w:pos="3885"/>
        </w:tabs>
        <w:kinsoku/>
        <w:wordWrap/>
        <w:overflowPunct/>
        <w:topLinePunct w:val="0"/>
        <w:bidi w:val="0"/>
        <w:snapToGrid w:val="0"/>
        <w:spacing w:line="640" w:lineRule="exact"/>
        <w:ind w:firstLine="640" w:firstLineChars="200"/>
        <w:jc w:val="left"/>
        <w:rPr>
          <w:rFonts w:ascii="黑体" w:hAnsi="宋体" w:eastAsia="黑体"/>
          <w:sz w:val="32"/>
          <w:szCs w:val="21"/>
        </w:rPr>
      </w:pPr>
      <w:bookmarkStart w:id="235" w:name="_Toc1516576517_WPSOffice_Level2"/>
      <w:bookmarkStart w:id="236" w:name="_Toc2042793818_WPSOffice_Level2"/>
      <w:bookmarkStart w:id="237" w:name="_Toc1095811544_WPSOffice_Level2"/>
      <w:bookmarkStart w:id="238" w:name="_Toc1821382044_WPSOffice_Level2"/>
      <w:bookmarkStart w:id="239" w:name="_Toc14503688_WPSOffice_Level2"/>
      <w:bookmarkStart w:id="240" w:name="_Toc787678087_WPSOffice_Level2"/>
      <w:bookmarkStart w:id="241" w:name="_Toc1816953069_WPSOffice_Level2"/>
      <w:r>
        <w:rPr>
          <w:rFonts w:hint="eastAsia" w:ascii="黑体" w:hAnsi="宋体" w:eastAsia="黑体"/>
          <w:sz w:val="32"/>
          <w:szCs w:val="21"/>
        </w:rPr>
        <w:t>五、存在主要问题</w:t>
      </w:r>
      <w:bookmarkEnd w:id="235"/>
      <w:bookmarkEnd w:id="236"/>
      <w:bookmarkEnd w:id="237"/>
      <w:bookmarkEnd w:id="238"/>
      <w:bookmarkEnd w:id="239"/>
      <w:bookmarkEnd w:id="240"/>
      <w:bookmarkEnd w:id="241"/>
    </w:p>
    <w:p>
      <w:pPr>
        <w:pageBreakBefore w:val="0"/>
        <w:tabs>
          <w:tab w:val="left" w:pos="3885"/>
        </w:tabs>
        <w:kinsoku/>
        <w:wordWrap/>
        <w:overflowPunct/>
        <w:topLinePunct w:val="0"/>
        <w:bidi w:val="0"/>
        <w:snapToGrid w:val="0"/>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通过本次自查自评发现，我院存在对大一学生进行贫困认定和资助时的精准度不够，资助的精准度有待进一步提高。</w:t>
      </w:r>
    </w:p>
    <w:p>
      <w:pPr>
        <w:pageBreakBefore w:val="0"/>
        <w:tabs>
          <w:tab w:val="left" w:pos="3885"/>
        </w:tabs>
        <w:kinsoku/>
        <w:wordWrap/>
        <w:overflowPunct/>
        <w:topLinePunct w:val="0"/>
        <w:bidi w:val="0"/>
        <w:snapToGrid w:val="0"/>
        <w:spacing w:line="640" w:lineRule="exact"/>
        <w:ind w:firstLine="640" w:firstLineChars="200"/>
        <w:jc w:val="left"/>
        <w:rPr>
          <w:rFonts w:ascii="黑体" w:hAnsi="宋体" w:eastAsia="黑体"/>
          <w:sz w:val="32"/>
          <w:szCs w:val="21"/>
        </w:rPr>
      </w:pPr>
      <w:bookmarkStart w:id="242" w:name="_Toc2019081510_WPSOffice_Level2"/>
      <w:bookmarkStart w:id="243" w:name="_Toc1189719960_WPSOffice_Level2"/>
      <w:bookmarkStart w:id="244" w:name="_Toc201232056_WPSOffice_Level2"/>
      <w:bookmarkStart w:id="245" w:name="_Toc1737806391_WPSOffice_Level2"/>
      <w:bookmarkStart w:id="246" w:name="_Toc235488932_WPSOffice_Level2"/>
      <w:bookmarkStart w:id="247" w:name="_Toc1289743274_WPSOffice_Level2"/>
      <w:bookmarkStart w:id="248" w:name="_Toc2100243788_WPSOffice_Level2"/>
      <w:r>
        <w:rPr>
          <w:rFonts w:hint="eastAsia" w:ascii="黑体" w:hAnsi="宋体" w:eastAsia="黑体"/>
          <w:sz w:val="32"/>
          <w:szCs w:val="21"/>
        </w:rPr>
        <w:t>六、相关措施建议</w:t>
      </w:r>
      <w:bookmarkEnd w:id="242"/>
      <w:bookmarkEnd w:id="243"/>
      <w:bookmarkEnd w:id="244"/>
      <w:bookmarkEnd w:id="245"/>
      <w:bookmarkEnd w:id="246"/>
      <w:bookmarkEnd w:id="247"/>
      <w:bookmarkEnd w:id="248"/>
    </w:p>
    <w:p>
      <w:pPr>
        <w:pageBreakBefore w:val="0"/>
        <w:tabs>
          <w:tab w:val="left" w:pos="3885"/>
        </w:tabs>
        <w:kinsoku/>
        <w:wordWrap/>
        <w:overflowPunct/>
        <w:topLinePunct w:val="0"/>
        <w:bidi w:val="0"/>
        <w:snapToGrid w:val="0"/>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针对以上问题，学院将采取以下措施：</w:t>
      </w:r>
    </w:p>
    <w:p>
      <w:pPr>
        <w:pageBreakBefore w:val="0"/>
        <w:tabs>
          <w:tab w:val="left" w:pos="3885"/>
        </w:tabs>
        <w:kinsoku/>
        <w:wordWrap/>
        <w:overflowPunct/>
        <w:topLinePunct w:val="0"/>
        <w:bidi w:val="0"/>
        <w:snapToGrid w:val="0"/>
        <w:spacing w:line="640" w:lineRule="exact"/>
        <w:ind w:firstLine="642" w:firstLineChars="200"/>
        <w:jc w:val="left"/>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（一）建立灵活评审机制。</w:t>
      </w:r>
      <w:r>
        <w:rPr>
          <w:rFonts w:hint="eastAsia" w:ascii="仿宋_GB2312" w:hAnsi="仿宋_GB2312" w:eastAsia="仿宋_GB2312" w:cs="仿宋_GB2312"/>
          <w:sz w:val="32"/>
          <w:szCs w:val="32"/>
        </w:rPr>
        <w:t>通过对学生走访、谈话、家访等形式深入了解学生的家庭状况和生活情况。</w:t>
      </w:r>
    </w:p>
    <w:p>
      <w:pPr>
        <w:pageBreakBefore w:val="0"/>
        <w:tabs>
          <w:tab w:val="left" w:pos="3885"/>
        </w:tabs>
        <w:kinsoku/>
        <w:wordWrap/>
        <w:overflowPunct/>
        <w:topLinePunct w:val="0"/>
        <w:bidi w:val="0"/>
        <w:snapToGrid w:val="0"/>
        <w:spacing w:line="640" w:lineRule="exact"/>
        <w:ind w:firstLine="642" w:firstLineChars="20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（二）联系学院各部门，充分利用大数据，广泛收集学生生活、消费相关的数据，提高认定对象的精准度。</w:t>
      </w:r>
    </w:p>
    <w:p>
      <w:pPr>
        <w:pageBreakBefore w:val="0"/>
        <w:tabs>
          <w:tab w:val="left" w:pos="3885"/>
        </w:tabs>
        <w:kinsoku/>
        <w:wordWrap/>
        <w:overflowPunct/>
        <w:topLinePunct w:val="0"/>
        <w:bidi w:val="0"/>
        <w:snapToGrid w:val="0"/>
        <w:spacing w:line="640" w:lineRule="exact"/>
        <w:ind w:firstLine="640" w:firstLineChars="200"/>
        <w:jc w:val="left"/>
        <w:rPr>
          <w:rFonts w:ascii="仿宋_GB2312" w:hAnsi="仿宋_GB2312" w:eastAsia="仿宋_GB2312" w:cs="仿宋_GB2312"/>
          <w:sz w:val="32"/>
          <w:szCs w:val="32"/>
        </w:rPr>
      </w:pPr>
    </w:p>
    <w:p>
      <w:pPr>
        <w:pageBreakBefore w:val="0"/>
        <w:kinsoku/>
        <w:wordWrap/>
        <w:overflowPunct/>
        <w:topLinePunct w:val="0"/>
        <w:bidi w:val="0"/>
        <w:snapToGrid w:val="0"/>
        <w:spacing w:line="640" w:lineRule="exact"/>
        <w:jc w:val="center"/>
        <w:rPr>
          <w:rFonts w:ascii="方正小标宋简体" w:hAnsi="宋体" w:eastAsia="方正小标宋简体"/>
          <w:sz w:val="44"/>
          <w:szCs w:val="44"/>
        </w:rPr>
      </w:pPr>
      <w:r>
        <w:rPr>
          <w:rFonts w:ascii="方正小标宋简体" w:hAnsi="宋体" w:eastAsia="方正小标宋简体"/>
          <w:sz w:val="44"/>
          <w:szCs w:val="44"/>
        </w:rPr>
        <w:br w:type="page"/>
      </w:r>
    </w:p>
    <w:p>
      <w:pPr>
        <w:pageBreakBefore w:val="0"/>
        <w:kinsoku/>
        <w:wordWrap/>
        <w:overflowPunct/>
        <w:topLinePunct w:val="0"/>
        <w:bidi w:val="0"/>
        <w:snapToGrid w:val="0"/>
        <w:spacing w:line="640" w:lineRule="exact"/>
        <w:jc w:val="center"/>
        <w:rPr>
          <w:rFonts w:ascii="方正小标宋简体" w:hAnsi="宋体" w:eastAsia="方正小标宋简体"/>
          <w:sz w:val="44"/>
          <w:szCs w:val="44"/>
        </w:rPr>
      </w:pPr>
      <w:bookmarkStart w:id="249" w:name="_Toc882615321_WPSOffice_Level2"/>
      <w:bookmarkStart w:id="250" w:name="_Toc118626456_WPSOffice_Level2"/>
      <w:bookmarkStart w:id="251" w:name="_Toc1894913272_WPSOffice_Level2"/>
      <w:bookmarkStart w:id="252" w:name="_Toc184160259_WPSOffice_Level2"/>
      <w:bookmarkStart w:id="253" w:name="_Toc1051414373_WPSOffice_Level2"/>
      <w:bookmarkStart w:id="254" w:name="_Toc472249339_WPSOffice_Level2"/>
      <w:bookmarkStart w:id="255" w:name="_Toc1312087098_WPSOffice_Level2"/>
      <w:r>
        <w:rPr>
          <w:rFonts w:ascii="方正小标宋简体" w:hAnsi="宋体" w:eastAsia="方正小标宋简体"/>
          <w:sz w:val="44"/>
          <w:szCs w:val="44"/>
        </w:rPr>
        <w:t>2020</w:t>
      </w:r>
      <w:r>
        <w:rPr>
          <w:rFonts w:hint="eastAsia" w:ascii="方正小标宋简体" w:hAnsi="宋体" w:eastAsia="方正小标宋简体"/>
          <w:sz w:val="44"/>
          <w:szCs w:val="44"/>
        </w:rPr>
        <w:t>年部门预算项目支出绩效自评报告</w:t>
      </w:r>
      <w:bookmarkEnd w:id="212"/>
      <w:bookmarkEnd w:id="213"/>
      <w:bookmarkEnd w:id="249"/>
      <w:bookmarkEnd w:id="250"/>
      <w:bookmarkEnd w:id="251"/>
      <w:bookmarkEnd w:id="252"/>
      <w:bookmarkEnd w:id="253"/>
      <w:bookmarkEnd w:id="254"/>
      <w:bookmarkEnd w:id="255"/>
    </w:p>
    <w:p>
      <w:pPr>
        <w:pageBreakBefore w:val="0"/>
        <w:tabs>
          <w:tab w:val="left" w:pos="3885"/>
        </w:tabs>
        <w:kinsoku/>
        <w:wordWrap/>
        <w:overflowPunct/>
        <w:topLinePunct w:val="0"/>
        <w:bidi w:val="0"/>
        <w:snapToGrid w:val="0"/>
        <w:spacing w:line="640" w:lineRule="exact"/>
        <w:jc w:val="center"/>
        <w:rPr>
          <w:rFonts w:hAnsi="宋体" w:eastAsia="仿宋_GB2312"/>
          <w:sz w:val="32"/>
          <w:szCs w:val="32"/>
        </w:rPr>
      </w:pPr>
      <w:r>
        <w:rPr>
          <w:rFonts w:hint="eastAsia" w:hAnsi="宋体" w:eastAsia="仿宋_GB2312"/>
          <w:sz w:val="32"/>
          <w:szCs w:val="32"/>
        </w:rPr>
        <w:t>（</w:t>
      </w:r>
      <w:r>
        <w:rPr>
          <w:rFonts w:hint="eastAsia" w:ascii="仿宋_GB2312" w:hAnsi="仿宋_GB2312" w:eastAsia="仿宋_GB2312" w:cs="仿宋_GB2312"/>
          <w:sz w:val="32"/>
          <w:szCs w:val="21"/>
        </w:rPr>
        <w:t>两校区综合维修项目</w:t>
      </w:r>
      <w:r>
        <w:rPr>
          <w:rFonts w:hint="eastAsia" w:hAnsi="宋体" w:eastAsia="仿宋_GB2312"/>
          <w:sz w:val="32"/>
          <w:szCs w:val="32"/>
        </w:rPr>
        <w:t>）</w:t>
      </w:r>
    </w:p>
    <w:p>
      <w:pPr>
        <w:pStyle w:val="2"/>
        <w:pageBreakBefore w:val="0"/>
        <w:kinsoku/>
        <w:wordWrap/>
        <w:overflowPunct/>
        <w:topLinePunct w:val="0"/>
        <w:bidi w:val="0"/>
        <w:spacing w:before="93" w:line="640" w:lineRule="exact"/>
      </w:pPr>
    </w:p>
    <w:p>
      <w:pPr>
        <w:pageBreakBefore w:val="0"/>
        <w:suppressAutoHyphens/>
        <w:kinsoku/>
        <w:wordWrap/>
        <w:overflowPunct/>
        <w:topLinePunct w:val="0"/>
        <w:bidi w:val="0"/>
        <w:spacing w:line="640" w:lineRule="exact"/>
        <w:ind w:firstLine="640" w:firstLineChars="200"/>
        <w:rPr>
          <w:rFonts w:ascii="黑体" w:hAnsi="黑体" w:eastAsia="黑体"/>
          <w:bCs/>
          <w:sz w:val="32"/>
          <w:szCs w:val="32"/>
        </w:rPr>
      </w:pPr>
      <w:bookmarkStart w:id="256" w:name="_Toc779369069_WPSOffice_Level2"/>
      <w:bookmarkStart w:id="257" w:name="_Toc129456369_WPSOffice_Level2"/>
      <w:bookmarkStart w:id="258" w:name="_Toc2012500957_WPSOffice_Level2"/>
      <w:bookmarkStart w:id="259" w:name="_Toc2146997612_WPSOffice_Level2"/>
      <w:bookmarkStart w:id="260" w:name="_Toc1580677815_WPSOffice_Level2"/>
      <w:bookmarkStart w:id="261" w:name="_Toc2048598326_WPSOffice_Level2"/>
      <w:bookmarkStart w:id="262" w:name="_Toc2075163889_WPSOffice_Level2"/>
      <w:bookmarkStart w:id="263" w:name="_Toc2035435596_WPSOffice_Level2"/>
      <w:bookmarkStart w:id="264" w:name="_Toc1228029246_WPSOffice_Level2"/>
      <w:r>
        <w:rPr>
          <w:rFonts w:hint="eastAsia" w:ascii="黑体" w:hAnsi="黑体" w:eastAsia="黑体"/>
          <w:bCs/>
          <w:sz w:val="32"/>
          <w:szCs w:val="32"/>
        </w:rPr>
        <w:t>一、基本情况</w:t>
      </w:r>
      <w:bookmarkEnd w:id="256"/>
      <w:bookmarkEnd w:id="257"/>
      <w:bookmarkEnd w:id="258"/>
      <w:bookmarkEnd w:id="259"/>
      <w:bookmarkEnd w:id="260"/>
      <w:bookmarkEnd w:id="261"/>
      <w:bookmarkEnd w:id="262"/>
      <w:bookmarkEnd w:id="263"/>
      <w:bookmarkEnd w:id="264"/>
    </w:p>
    <w:p>
      <w:pPr>
        <w:pageBreakBefore w:val="0"/>
        <w:suppressAutoHyphens/>
        <w:kinsoku/>
        <w:wordWrap/>
        <w:overflowPunct/>
        <w:topLinePunct w:val="0"/>
        <w:bidi w:val="0"/>
        <w:spacing w:line="640" w:lineRule="exact"/>
        <w:ind w:firstLine="642" w:firstLineChars="200"/>
        <w:rPr>
          <w:rFonts w:ascii="楷体_GB2312" w:eastAsia="楷体_GB2312"/>
          <w:b/>
          <w:sz w:val="32"/>
          <w:szCs w:val="32"/>
        </w:rPr>
      </w:pPr>
      <w:r>
        <w:rPr>
          <w:rFonts w:hint="eastAsia" w:ascii="楷体_GB2312" w:eastAsia="楷体_GB2312"/>
          <w:b/>
          <w:sz w:val="32"/>
          <w:szCs w:val="32"/>
        </w:rPr>
        <w:t>（一）项目概况</w:t>
      </w:r>
    </w:p>
    <w:p>
      <w:pPr>
        <w:pageBreakBefore w:val="0"/>
        <w:suppressAutoHyphens/>
        <w:kinsoku/>
        <w:wordWrap/>
        <w:overflowPunct/>
        <w:topLinePunct w:val="0"/>
        <w:bidi w:val="0"/>
        <w:spacing w:line="640" w:lineRule="exact"/>
        <w:ind w:firstLine="640" w:firstLineChars="200"/>
        <w:rPr>
          <w:rFonts w:ascii="仿宋_GB2312" w:eastAsia="仿宋_GB2312"/>
          <w:sz w:val="32"/>
          <w:szCs w:val="32"/>
        </w:rPr>
      </w:pPr>
      <w:r>
        <w:rPr>
          <w:rFonts w:hint="eastAsia" w:ascii="仿宋_GB2312" w:eastAsia="仿宋_GB2312"/>
          <w:sz w:val="32"/>
          <w:szCs w:val="32"/>
        </w:rPr>
        <w:t>由于文家校区线路老化，部分原有建筑和遗留物品存在严重安全隐患，原有值班室陈旧破损严重，根据防疫要求需设立隔离室，和盛校区教学楼沉降缝漏水严重等，为保障学院正常安全运行，给全院一万多师生较为舒适的学习和生活环境，特设立了两校区维修工程项目。</w:t>
      </w:r>
    </w:p>
    <w:p>
      <w:pPr>
        <w:pageBreakBefore w:val="0"/>
        <w:suppressAutoHyphens/>
        <w:kinsoku/>
        <w:wordWrap/>
        <w:overflowPunct/>
        <w:topLinePunct w:val="0"/>
        <w:bidi w:val="0"/>
        <w:spacing w:line="640" w:lineRule="exact"/>
        <w:ind w:firstLine="642" w:firstLineChars="200"/>
        <w:rPr>
          <w:rFonts w:ascii="楷体_GB2312" w:eastAsia="楷体_GB2312"/>
          <w:b/>
          <w:sz w:val="32"/>
          <w:szCs w:val="32"/>
        </w:rPr>
      </w:pPr>
      <w:r>
        <w:rPr>
          <w:rFonts w:hint="eastAsia" w:ascii="楷体_GB2312" w:eastAsia="楷体_GB2312"/>
          <w:b/>
          <w:sz w:val="32"/>
          <w:szCs w:val="32"/>
        </w:rPr>
        <w:t>（二）项目实施情况</w:t>
      </w:r>
    </w:p>
    <w:p>
      <w:pPr>
        <w:pageBreakBefore w:val="0"/>
        <w:suppressAutoHyphens/>
        <w:kinsoku/>
        <w:wordWrap/>
        <w:overflowPunct/>
        <w:topLinePunct w:val="0"/>
        <w:bidi w:val="0"/>
        <w:spacing w:line="640" w:lineRule="exact"/>
        <w:ind w:firstLine="640" w:firstLineChars="200"/>
        <w:rPr>
          <w:rFonts w:ascii="仿宋_GB2312" w:eastAsia="仿宋_GB2312"/>
          <w:sz w:val="32"/>
          <w:szCs w:val="32"/>
        </w:rPr>
      </w:pPr>
      <w:r>
        <w:rPr>
          <w:rFonts w:hint="eastAsia" w:ascii="仿宋_GB2312" w:eastAsia="仿宋_GB2312"/>
          <w:sz w:val="32"/>
          <w:szCs w:val="32"/>
        </w:rPr>
        <w:t>该项目的实施符合国家的现行政策，坚持“公平、公正、公开”的原则，专款专用，确保校园环境的安全，同时保障了教学和生活秩序的正常运行。</w:t>
      </w:r>
    </w:p>
    <w:p>
      <w:pPr>
        <w:pageBreakBefore w:val="0"/>
        <w:suppressAutoHyphens/>
        <w:kinsoku/>
        <w:wordWrap/>
        <w:overflowPunct/>
        <w:topLinePunct w:val="0"/>
        <w:bidi w:val="0"/>
        <w:spacing w:line="640" w:lineRule="exact"/>
        <w:ind w:firstLine="642" w:firstLineChars="200"/>
        <w:rPr>
          <w:rFonts w:ascii="楷体_GB2312" w:eastAsia="楷体_GB2312"/>
          <w:b/>
          <w:sz w:val="32"/>
          <w:szCs w:val="32"/>
        </w:rPr>
      </w:pPr>
      <w:r>
        <w:rPr>
          <w:rFonts w:hint="eastAsia" w:ascii="楷体_GB2312" w:eastAsia="楷体_GB2312"/>
          <w:b/>
          <w:sz w:val="32"/>
          <w:szCs w:val="32"/>
        </w:rPr>
        <w:t>（三）资金投入使用情况</w:t>
      </w:r>
    </w:p>
    <w:p>
      <w:pPr>
        <w:pageBreakBefore w:val="0"/>
        <w:suppressAutoHyphens/>
        <w:kinsoku/>
        <w:wordWrap/>
        <w:overflowPunct/>
        <w:topLinePunct w:val="0"/>
        <w:bidi w:val="0"/>
        <w:spacing w:line="640" w:lineRule="exact"/>
        <w:ind w:firstLine="640" w:firstLineChars="200"/>
        <w:rPr>
          <w:rFonts w:ascii="仿宋_GB2312" w:eastAsia="仿宋_GB2312"/>
          <w:sz w:val="32"/>
          <w:szCs w:val="32"/>
        </w:rPr>
      </w:pPr>
      <w:r>
        <w:rPr>
          <w:rFonts w:ascii="仿宋_GB2312" w:eastAsia="仿宋_GB2312"/>
          <w:sz w:val="32"/>
          <w:szCs w:val="32"/>
        </w:rPr>
        <w:t>2020</w:t>
      </w:r>
      <w:r>
        <w:rPr>
          <w:rFonts w:hint="eastAsia" w:ascii="仿宋_GB2312" w:eastAsia="仿宋_GB2312"/>
          <w:sz w:val="32"/>
          <w:szCs w:val="32"/>
        </w:rPr>
        <w:t>年，我院两校区维修专项资金到位率</w:t>
      </w:r>
      <w:r>
        <w:rPr>
          <w:rFonts w:ascii="仿宋_GB2312" w:eastAsia="仿宋_GB2312"/>
          <w:sz w:val="32"/>
          <w:szCs w:val="32"/>
        </w:rPr>
        <w:t>100%</w:t>
      </w:r>
      <w:r>
        <w:rPr>
          <w:rFonts w:hint="eastAsia" w:ascii="仿宋_GB2312" w:eastAsia="仿宋_GB2312"/>
          <w:sz w:val="32"/>
          <w:szCs w:val="32"/>
        </w:rPr>
        <w:t>，预算金额</w:t>
      </w:r>
      <w:r>
        <w:rPr>
          <w:rFonts w:ascii="仿宋_GB2312" w:eastAsia="仿宋_GB2312"/>
          <w:sz w:val="32"/>
          <w:szCs w:val="32"/>
        </w:rPr>
        <w:t>100</w:t>
      </w:r>
      <w:r>
        <w:rPr>
          <w:rFonts w:hint="eastAsia" w:ascii="仿宋_GB2312" w:eastAsia="仿宋_GB2312"/>
          <w:sz w:val="32"/>
          <w:szCs w:val="32"/>
        </w:rPr>
        <w:t>万，中标金额</w:t>
      </w:r>
      <w:r>
        <w:rPr>
          <w:rFonts w:ascii="仿宋_GB2312" w:eastAsia="仿宋_GB2312"/>
          <w:sz w:val="32"/>
          <w:szCs w:val="32"/>
        </w:rPr>
        <w:t>849991.59</w:t>
      </w:r>
      <w:r>
        <w:rPr>
          <w:rFonts w:hint="eastAsia" w:ascii="仿宋_GB2312" w:eastAsia="仿宋_GB2312"/>
          <w:sz w:val="32"/>
          <w:szCs w:val="32"/>
        </w:rPr>
        <w:t>元，送审金额</w:t>
      </w:r>
      <w:r>
        <w:rPr>
          <w:rFonts w:ascii="仿宋_GB2312" w:eastAsia="仿宋_GB2312"/>
          <w:sz w:val="32"/>
          <w:szCs w:val="32"/>
        </w:rPr>
        <w:t>964969.53</w:t>
      </w:r>
      <w:r>
        <w:rPr>
          <w:rFonts w:hint="eastAsia" w:ascii="仿宋_GB2312" w:eastAsia="仿宋_GB2312"/>
          <w:sz w:val="32"/>
          <w:szCs w:val="32"/>
        </w:rPr>
        <w:t>元，审定金额为</w:t>
      </w:r>
      <w:r>
        <w:rPr>
          <w:rFonts w:ascii="仿宋_GB2312" w:eastAsia="仿宋_GB2312"/>
          <w:sz w:val="32"/>
          <w:szCs w:val="32"/>
        </w:rPr>
        <w:t>758065.00</w:t>
      </w:r>
      <w:r>
        <w:rPr>
          <w:rFonts w:hint="eastAsia" w:ascii="仿宋_GB2312" w:eastAsia="仿宋_GB2312"/>
          <w:sz w:val="32"/>
          <w:szCs w:val="32"/>
        </w:rPr>
        <w:t>元。根据合同，在项目完工验收合格并通过审计后按合同约定以审定金额止付，实际支付了</w:t>
      </w:r>
      <w:r>
        <w:rPr>
          <w:rFonts w:ascii="仿宋_GB2312" w:eastAsia="仿宋_GB2312"/>
          <w:sz w:val="32"/>
          <w:szCs w:val="32"/>
        </w:rPr>
        <w:t>758065.00</w:t>
      </w:r>
      <w:r>
        <w:rPr>
          <w:rFonts w:hint="eastAsia" w:ascii="仿宋_GB2312" w:eastAsia="仿宋_GB2312"/>
          <w:sz w:val="32"/>
          <w:szCs w:val="32"/>
        </w:rPr>
        <w:t>元，剩余资金年末自动收回。</w:t>
      </w:r>
    </w:p>
    <w:p>
      <w:pPr>
        <w:pageBreakBefore w:val="0"/>
        <w:suppressAutoHyphens/>
        <w:kinsoku/>
        <w:wordWrap/>
        <w:overflowPunct/>
        <w:topLinePunct w:val="0"/>
        <w:bidi w:val="0"/>
        <w:spacing w:line="640" w:lineRule="exact"/>
        <w:ind w:firstLine="642" w:firstLineChars="200"/>
        <w:rPr>
          <w:rFonts w:ascii="楷体_GB2312" w:eastAsia="楷体_GB2312"/>
          <w:b/>
          <w:sz w:val="32"/>
          <w:szCs w:val="32"/>
        </w:rPr>
      </w:pPr>
      <w:r>
        <w:rPr>
          <w:rFonts w:hint="eastAsia" w:ascii="楷体_GB2312" w:eastAsia="楷体_GB2312"/>
          <w:b/>
          <w:sz w:val="32"/>
          <w:szCs w:val="32"/>
        </w:rPr>
        <w:t>（四）项目绩效目标</w:t>
      </w:r>
    </w:p>
    <w:p>
      <w:pPr>
        <w:pageBreakBefore w:val="0"/>
        <w:suppressAutoHyphens/>
        <w:kinsoku/>
        <w:wordWrap/>
        <w:overflowPunct/>
        <w:topLinePunct w:val="0"/>
        <w:bidi w:val="0"/>
        <w:spacing w:line="640" w:lineRule="exact"/>
        <w:ind w:firstLine="640" w:firstLineChars="200"/>
        <w:rPr>
          <w:rFonts w:ascii="仿宋_GB2312" w:eastAsia="仿宋_GB2312"/>
          <w:sz w:val="32"/>
          <w:szCs w:val="32"/>
        </w:rPr>
      </w:pPr>
      <w:r>
        <w:rPr>
          <w:rFonts w:hint="eastAsia" w:ascii="仿宋_GB2312" w:eastAsia="仿宋_GB2312"/>
          <w:sz w:val="32"/>
          <w:szCs w:val="32"/>
        </w:rPr>
        <w:t>完成了文家校区</w:t>
      </w:r>
      <w:r>
        <w:rPr>
          <w:rFonts w:ascii="仿宋_GB2312" w:eastAsia="仿宋_GB2312"/>
          <w:sz w:val="32"/>
          <w:szCs w:val="32"/>
        </w:rPr>
        <w:t>2000</w:t>
      </w:r>
      <w:r>
        <w:rPr>
          <w:rFonts w:hint="eastAsia" w:ascii="仿宋_GB2312" w:eastAsia="仿宋_GB2312"/>
          <w:sz w:val="32"/>
          <w:szCs w:val="32"/>
        </w:rPr>
        <w:t>米的供电线路更换，新装配电柜一台，</w:t>
      </w:r>
      <w:r>
        <w:rPr>
          <w:rFonts w:ascii="仿宋_GB2312" w:eastAsia="仿宋_GB2312"/>
          <w:sz w:val="32"/>
          <w:szCs w:val="32"/>
        </w:rPr>
        <w:t>10</w:t>
      </w:r>
      <w:r>
        <w:rPr>
          <w:rFonts w:hint="eastAsia" w:ascii="仿宋_GB2312" w:eastAsia="仿宋_GB2312"/>
          <w:sz w:val="32"/>
          <w:szCs w:val="32"/>
        </w:rPr>
        <w:t>套值班室（隔离房）改造（粉刷面积</w:t>
      </w:r>
      <w:r>
        <w:rPr>
          <w:rFonts w:ascii="仿宋_GB2312" w:eastAsia="仿宋_GB2312"/>
          <w:sz w:val="32"/>
          <w:szCs w:val="32"/>
        </w:rPr>
        <w:t>2600</w:t>
      </w:r>
      <w:r>
        <w:rPr>
          <w:rFonts w:hint="eastAsia" w:ascii="仿宋_GB2312" w:eastAsia="仿宋_GB2312"/>
          <w:sz w:val="32"/>
          <w:szCs w:val="32"/>
        </w:rPr>
        <w:t>㎡）拆除了教学楼顶铁架、老木工房、东区食堂彩钢棚、东区锅炉房及设备等有严重安全隐患的建筑和设备，保证了文家校区供电线路安全运行，改善了值班人员和隔离室住宿条件。完成了和盛校区</w:t>
      </w:r>
      <w:r>
        <w:rPr>
          <w:rFonts w:ascii="仿宋_GB2312" w:eastAsia="仿宋_GB2312"/>
          <w:sz w:val="32"/>
          <w:szCs w:val="32"/>
        </w:rPr>
        <w:t>4</w:t>
      </w:r>
      <w:r>
        <w:rPr>
          <w:rFonts w:hint="eastAsia" w:ascii="仿宋_GB2312" w:eastAsia="仿宋_GB2312"/>
          <w:sz w:val="32"/>
          <w:szCs w:val="32"/>
        </w:rPr>
        <w:t>个多功能厅的天沟更换和部分改造，教学楼地面沉降伸缩缝的拆除、安装，消除了教学楼漏水现象，同时新装</w:t>
      </w:r>
      <w:r>
        <w:rPr>
          <w:rFonts w:ascii="仿宋_GB2312" w:eastAsia="仿宋_GB2312"/>
          <w:sz w:val="32"/>
          <w:szCs w:val="32"/>
        </w:rPr>
        <w:t>6</w:t>
      </w:r>
      <w:r>
        <w:rPr>
          <w:rFonts w:hint="eastAsia" w:ascii="仿宋_GB2312" w:eastAsia="仿宋_GB2312"/>
          <w:sz w:val="32"/>
          <w:szCs w:val="32"/>
        </w:rPr>
        <w:t>米单挑灯</w:t>
      </w:r>
      <w:r>
        <w:rPr>
          <w:rFonts w:ascii="仿宋_GB2312" w:eastAsia="仿宋_GB2312"/>
          <w:sz w:val="32"/>
          <w:szCs w:val="32"/>
        </w:rPr>
        <w:t>25</w:t>
      </w:r>
      <w:r>
        <w:rPr>
          <w:rFonts w:hint="eastAsia" w:ascii="仿宋_GB2312" w:eastAsia="仿宋_GB2312"/>
          <w:sz w:val="32"/>
          <w:szCs w:val="32"/>
        </w:rPr>
        <w:t>套。所有项目在规定时间全部完成质量合格。确保了全院</w:t>
      </w:r>
      <w:r>
        <w:rPr>
          <w:rFonts w:ascii="仿宋_GB2312" w:eastAsia="仿宋_GB2312"/>
          <w:sz w:val="32"/>
          <w:szCs w:val="32"/>
        </w:rPr>
        <w:t>1</w:t>
      </w:r>
      <w:r>
        <w:rPr>
          <w:rFonts w:hint="eastAsia" w:ascii="仿宋_GB2312" w:eastAsia="仿宋_GB2312"/>
          <w:sz w:val="32"/>
          <w:szCs w:val="32"/>
        </w:rPr>
        <w:t>万多师生的校园环境安全，同时保障了教学和生活秩序的正常运行，师生满意度达到</w:t>
      </w:r>
      <w:r>
        <w:rPr>
          <w:rFonts w:ascii="仿宋_GB2312" w:eastAsia="仿宋_GB2312"/>
          <w:sz w:val="32"/>
          <w:szCs w:val="32"/>
        </w:rPr>
        <w:t>85%</w:t>
      </w:r>
      <w:r>
        <w:rPr>
          <w:rFonts w:hint="eastAsia" w:ascii="仿宋_GB2312" w:eastAsia="仿宋_GB2312"/>
          <w:sz w:val="32"/>
          <w:szCs w:val="32"/>
        </w:rPr>
        <w:t>。</w:t>
      </w:r>
    </w:p>
    <w:p>
      <w:pPr>
        <w:pageBreakBefore w:val="0"/>
        <w:suppressAutoHyphens/>
        <w:kinsoku/>
        <w:wordWrap/>
        <w:overflowPunct/>
        <w:topLinePunct w:val="0"/>
        <w:bidi w:val="0"/>
        <w:spacing w:line="640" w:lineRule="exact"/>
        <w:ind w:firstLine="640" w:firstLineChars="200"/>
        <w:rPr>
          <w:rFonts w:ascii="黑体" w:hAnsi="黑体" w:eastAsia="黑体"/>
          <w:bCs/>
          <w:sz w:val="32"/>
          <w:szCs w:val="32"/>
        </w:rPr>
      </w:pPr>
      <w:bookmarkStart w:id="265" w:name="_Toc702046814_WPSOffice_Level2"/>
      <w:bookmarkStart w:id="266" w:name="_Toc1736766323_WPSOffice_Level2"/>
      <w:bookmarkStart w:id="267" w:name="_Toc1570791431_WPSOffice_Level2"/>
      <w:bookmarkStart w:id="268" w:name="_Toc1471452781_WPSOffice_Level2"/>
      <w:bookmarkStart w:id="269" w:name="_Toc833480529_WPSOffice_Level2"/>
      <w:bookmarkStart w:id="270" w:name="_Toc1902198418_WPSOffice_Level2"/>
      <w:bookmarkStart w:id="271" w:name="_Toc2092322210_WPSOffice_Level2"/>
      <w:bookmarkStart w:id="272" w:name="_Toc69688959_WPSOffice_Level2"/>
      <w:bookmarkStart w:id="273" w:name="_Toc456459075_WPSOffice_Level2"/>
      <w:r>
        <w:rPr>
          <w:rFonts w:hint="eastAsia" w:ascii="黑体" w:hAnsi="黑体" w:eastAsia="黑体"/>
          <w:bCs/>
          <w:sz w:val="32"/>
          <w:szCs w:val="32"/>
        </w:rPr>
        <w:t>二、评价工作开展情况</w:t>
      </w:r>
      <w:bookmarkEnd w:id="265"/>
      <w:bookmarkEnd w:id="266"/>
      <w:bookmarkEnd w:id="267"/>
      <w:bookmarkEnd w:id="268"/>
      <w:bookmarkEnd w:id="269"/>
      <w:bookmarkEnd w:id="270"/>
      <w:bookmarkEnd w:id="271"/>
      <w:bookmarkEnd w:id="272"/>
      <w:bookmarkEnd w:id="273"/>
    </w:p>
    <w:p>
      <w:pPr>
        <w:pageBreakBefore w:val="0"/>
        <w:suppressAutoHyphens/>
        <w:kinsoku/>
        <w:wordWrap/>
        <w:overflowPunct/>
        <w:topLinePunct w:val="0"/>
        <w:bidi w:val="0"/>
        <w:spacing w:line="640" w:lineRule="exact"/>
        <w:ind w:firstLine="642" w:firstLineChars="200"/>
        <w:rPr>
          <w:rFonts w:ascii="楷体_GB2312" w:eastAsia="楷体_GB2312"/>
          <w:b/>
          <w:sz w:val="32"/>
          <w:szCs w:val="32"/>
        </w:rPr>
      </w:pPr>
      <w:r>
        <w:rPr>
          <w:rFonts w:hint="eastAsia" w:ascii="楷体_GB2312" w:eastAsia="楷体_GB2312"/>
          <w:b/>
          <w:sz w:val="32"/>
          <w:szCs w:val="32"/>
        </w:rPr>
        <w:t>（一）评价组织情况</w:t>
      </w:r>
    </w:p>
    <w:p>
      <w:pPr>
        <w:pageBreakBefore w:val="0"/>
        <w:suppressAutoHyphens/>
        <w:kinsoku/>
        <w:wordWrap/>
        <w:overflowPunct/>
        <w:topLinePunct w:val="0"/>
        <w:bidi w:val="0"/>
        <w:spacing w:line="640" w:lineRule="exact"/>
        <w:ind w:firstLine="640" w:firstLineChars="200"/>
        <w:rPr>
          <w:rFonts w:ascii="仿宋_GB2312" w:eastAsia="仿宋_GB2312"/>
          <w:sz w:val="32"/>
          <w:szCs w:val="32"/>
        </w:rPr>
      </w:pPr>
      <w:r>
        <w:rPr>
          <w:rFonts w:hint="eastAsia" w:ascii="仿宋_GB2312" w:eastAsia="仿宋_GB2312"/>
          <w:sz w:val="32"/>
          <w:szCs w:val="32"/>
        </w:rPr>
        <w:t>本项目评价指标按照财政部门要求设置，并咨询相关评审专家，建立本项目的评价指标体系，对评价指标体系征求各部门意见，后形成本项目的评价指标体系，正式明确评价工作要求，自评评价指标和评分标准。</w:t>
      </w:r>
    </w:p>
    <w:p>
      <w:pPr>
        <w:pageBreakBefore w:val="0"/>
        <w:suppressAutoHyphens/>
        <w:kinsoku/>
        <w:wordWrap/>
        <w:overflowPunct/>
        <w:topLinePunct w:val="0"/>
        <w:bidi w:val="0"/>
        <w:spacing w:line="640" w:lineRule="exact"/>
        <w:ind w:firstLine="642" w:firstLineChars="200"/>
        <w:rPr>
          <w:rFonts w:ascii="楷体_GB2312" w:eastAsia="楷体_GB2312"/>
          <w:b/>
          <w:sz w:val="32"/>
          <w:szCs w:val="32"/>
        </w:rPr>
      </w:pPr>
      <w:r>
        <w:rPr>
          <w:rFonts w:hint="eastAsia" w:ascii="楷体_GB2312" w:eastAsia="楷体_GB2312"/>
          <w:b/>
          <w:sz w:val="32"/>
          <w:szCs w:val="32"/>
        </w:rPr>
        <w:t>（二）评价体系、评价方法和评价标准</w:t>
      </w:r>
    </w:p>
    <w:p>
      <w:pPr>
        <w:pageBreakBefore w:val="0"/>
        <w:suppressAutoHyphens/>
        <w:kinsoku/>
        <w:wordWrap/>
        <w:overflowPunct/>
        <w:topLinePunct w:val="0"/>
        <w:bidi w:val="0"/>
        <w:spacing w:line="640" w:lineRule="exact"/>
        <w:ind w:firstLine="640" w:firstLineChars="200"/>
        <w:rPr>
          <w:rFonts w:ascii="仿宋_GB2312" w:eastAsia="仿宋_GB2312"/>
          <w:sz w:val="32"/>
          <w:szCs w:val="32"/>
        </w:rPr>
      </w:pPr>
      <w:r>
        <w:rPr>
          <w:rFonts w:hint="eastAsia" w:ascii="仿宋_GB2312" w:eastAsia="仿宋_GB2312"/>
          <w:sz w:val="32"/>
          <w:szCs w:val="32"/>
        </w:rPr>
        <w:t>本次评价原则主要集中于合规性、效率和效果三大原则，采用案卷调查法，从数量指标、时效指标、社会效益指标、可持续影响指标、满意度指标进行评价。</w:t>
      </w:r>
    </w:p>
    <w:p>
      <w:pPr>
        <w:pageBreakBefore w:val="0"/>
        <w:suppressAutoHyphens/>
        <w:kinsoku/>
        <w:wordWrap/>
        <w:overflowPunct/>
        <w:topLinePunct w:val="0"/>
        <w:bidi w:val="0"/>
        <w:spacing w:line="640" w:lineRule="exact"/>
        <w:ind w:firstLine="640" w:firstLineChars="200"/>
        <w:rPr>
          <w:rFonts w:ascii="仿宋_GB2312" w:eastAsia="仿宋_GB2312"/>
          <w:sz w:val="32"/>
          <w:szCs w:val="32"/>
        </w:rPr>
      </w:pPr>
      <w:r>
        <w:rPr>
          <w:rFonts w:hint="eastAsia" w:ascii="仿宋_GB2312" w:eastAsia="仿宋_GB2312"/>
          <w:sz w:val="32"/>
          <w:szCs w:val="32"/>
        </w:rPr>
        <w:t>本项目的评价流程分为两个阶段，第一个阶段：学院财务处发放自评通知，并辅助设计指标；第二阶段：后勤处召开处务会，讨论推进自评工作开展，根据项目自评表进行自评，提交项目自评报告。</w:t>
      </w:r>
    </w:p>
    <w:p>
      <w:pPr>
        <w:pageBreakBefore w:val="0"/>
        <w:suppressAutoHyphens/>
        <w:kinsoku/>
        <w:wordWrap/>
        <w:overflowPunct/>
        <w:topLinePunct w:val="0"/>
        <w:bidi w:val="0"/>
        <w:spacing w:line="640" w:lineRule="exact"/>
        <w:ind w:firstLine="640" w:firstLineChars="200"/>
        <w:rPr>
          <w:rFonts w:ascii="黑体" w:hAnsi="黑体" w:eastAsia="黑体"/>
          <w:bCs/>
          <w:sz w:val="32"/>
          <w:szCs w:val="32"/>
        </w:rPr>
      </w:pPr>
      <w:bookmarkStart w:id="274" w:name="_Toc1731990882_WPSOffice_Level2"/>
      <w:bookmarkStart w:id="275" w:name="_Toc273070936_WPSOffice_Level2"/>
      <w:bookmarkStart w:id="276" w:name="_Toc393925897_WPSOffice_Level2"/>
      <w:bookmarkStart w:id="277" w:name="_Toc396006052_WPSOffice_Level2"/>
      <w:bookmarkStart w:id="278" w:name="_Toc1499245363_WPSOffice_Level2"/>
      <w:bookmarkStart w:id="279" w:name="_Toc998117431_WPSOffice_Level2"/>
      <w:bookmarkStart w:id="280" w:name="_Toc876427223_WPSOffice_Level2"/>
      <w:bookmarkStart w:id="281" w:name="_Toc567720953_WPSOffice_Level2"/>
      <w:bookmarkStart w:id="282" w:name="_Toc1982770482_WPSOffice_Level2"/>
      <w:r>
        <w:rPr>
          <w:rFonts w:hint="eastAsia" w:ascii="黑体" w:hAnsi="黑体" w:eastAsia="黑体"/>
          <w:bCs/>
          <w:sz w:val="32"/>
          <w:szCs w:val="32"/>
        </w:rPr>
        <w:t>三、综合评价结论</w:t>
      </w:r>
      <w:bookmarkEnd w:id="274"/>
      <w:bookmarkEnd w:id="275"/>
      <w:bookmarkEnd w:id="276"/>
      <w:bookmarkEnd w:id="277"/>
      <w:bookmarkEnd w:id="278"/>
      <w:bookmarkEnd w:id="279"/>
      <w:bookmarkEnd w:id="280"/>
      <w:bookmarkEnd w:id="281"/>
      <w:bookmarkEnd w:id="282"/>
    </w:p>
    <w:p>
      <w:pPr>
        <w:pageBreakBefore w:val="0"/>
        <w:suppressAutoHyphens/>
        <w:kinsoku/>
        <w:wordWrap/>
        <w:overflowPunct/>
        <w:topLinePunct w:val="0"/>
        <w:bidi w:val="0"/>
        <w:spacing w:line="640" w:lineRule="exact"/>
        <w:ind w:firstLine="640" w:firstLineChars="200"/>
        <w:rPr>
          <w:rFonts w:ascii="仿宋_GB2312" w:eastAsia="仿宋_GB2312"/>
          <w:sz w:val="32"/>
          <w:szCs w:val="32"/>
        </w:rPr>
      </w:pPr>
      <w:r>
        <w:rPr>
          <w:rFonts w:hint="eastAsia" w:ascii="仿宋_GB2312" w:eastAsia="仿宋_GB2312"/>
          <w:sz w:val="32"/>
          <w:szCs w:val="32"/>
        </w:rPr>
        <w:t>该项目资金按时落实到位，项目实施工作有序开展，业务管理制度健全，并能得到执行，能够完成绩效目标申报表的考核指标，但在质量和过程中仍有待提高，自评等级为优秀。</w:t>
      </w:r>
    </w:p>
    <w:p>
      <w:pPr>
        <w:pageBreakBefore w:val="0"/>
        <w:suppressAutoHyphens/>
        <w:kinsoku/>
        <w:wordWrap/>
        <w:overflowPunct/>
        <w:topLinePunct w:val="0"/>
        <w:bidi w:val="0"/>
        <w:spacing w:line="640" w:lineRule="exact"/>
        <w:ind w:firstLine="640" w:firstLineChars="200"/>
        <w:rPr>
          <w:rFonts w:ascii="黑体" w:hAnsi="黑体" w:eastAsia="黑体"/>
          <w:bCs/>
          <w:sz w:val="32"/>
          <w:szCs w:val="32"/>
        </w:rPr>
      </w:pPr>
      <w:bookmarkStart w:id="283" w:name="_Toc1334541969_WPSOffice_Level2"/>
      <w:bookmarkStart w:id="284" w:name="_Toc341845455_WPSOffice_Level2"/>
      <w:bookmarkStart w:id="285" w:name="_Toc1552508782_WPSOffice_Level2"/>
      <w:bookmarkStart w:id="286" w:name="_Toc163771629_WPSOffice_Level2"/>
      <w:bookmarkStart w:id="287" w:name="_Toc2143661225_WPSOffice_Level2"/>
      <w:bookmarkStart w:id="288" w:name="_Toc256213186_WPSOffice_Level2"/>
      <w:bookmarkStart w:id="289" w:name="_Toc60208196_WPSOffice_Level2"/>
      <w:bookmarkStart w:id="290" w:name="_Toc1800139034_WPSOffice_Level2"/>
      <w:bookmarkStart w:id="291" w:name="_Toc2053170636_WPSOffice_Level2"/>
      <w:r>
        <w:rPr>
          <w:rFonts w:hint="eastAsia" w:ascii="黑体" w:hAnsi="黑体" w:eastAsia="黑体"/>
          <w:bCs/>
          <w:sz w:val="32"/>
          <w:szCs w:val="32"/>
        </w:rPr>
        <w:t>四、绩效评价分析</w:t>
      </w:r>
      <w:bookmarkEnd w:id="283"/>
      <w:bookmarkEnd w:id="284"/>
      <w:bookmarkEnd w:id="285"/>
      <w:bookmarkEnd w:id="286"/>
      <w:bookmarkEnd w:id="287"/>
      <w:bookmarkEnd w:id="288"/>
      <w:bookmarkEnd w:id="289"/>
      <w:bookmarkEnd w:id="290"/>
      <w:bookmarkEnd w:id="291"/>
    </w:p>
    <w:p>
      <w:pPr>
        <w:pageBreakBefore w:val="0"/>
        <w:suppressAutoHyphens/>
        <w:kinsoku/>
        <w:wordWrap/>
        <w:overflowPunct/>
        <w:topLinePunct w:val="0"/>
        <w:bidi w:val="0"/>
        <w:spacing w:line="640" w:lineRule="exact"/>
        <w:ind w:firstLine="642" w:firstLineChars="200"/>
        <w:rPr>
          <w:rFonts w:ascii="楷体_GB2312" w:eastAsia="楷体_GB2312"/>
          <w:b/>
          <w:sz w:val="32"/>
          <w:szCs w:val="32"/>
        </w:rPr>
      </w:pPr>
      <w:r>
        <w:rPr>
          <w:rFonts w:hint="eastAsia" w:ascii="楷体_GB2312" w:eastAsia="楷体_GB2312"/>
          <w:b/>
          <w:sz w:val="32"/>
          <w:szCs w:val="32"/>
        </w:rPr>
        <w:t>（一）项目决策情况</w:t>
      </w:r>
    </w:p>
    <w:p>
      <w:pPr>
        <w:pageBreakBefore w:val="0"/>
        <w:suppressAutoHyphens/>
        <w:kinsoku/>
        <w:wordWrap/>
        <w:overflowPunct/>
        <w:topLinePunct w:val="0"/>
        <w:bidi w:val="0"/>
        <w:spacing w:line="640" w:lineRule="exact"/>
        <w:ind w:firstLine="640" w:firstLineChars="200"/>
        <w:rPr>
          <w:rFonts w:ascii="仿宋_GB2312"/>
          <w:color w:val="auto"/>
          <w:sz w:val="32"/>
          <w:szCs w:val="32"/>
        </w:rPr>
      </w:pPr>
      <w:r>
        <w:rPr>
          <w:rFonts w:hint="eastAsia" w:ascii="仿宋_GB2312" w:eastAsia="仿宋_GB2312"/>
          <w:sz w:val="32"/>
          <w:szCs w:val="32"/>
        </w:rPr>
        <w:t>项目立项程序合法。该项目根据学院各部门对两校区需维修项目上报后勤处，后勤处统计并组织相关人员评估后上报学院，通过学院预算委员会讨论通过后进行设立。项目执行过程中严格使用和管理经费，专款专用，根据工作研究内容、总体目标和计划进</w:t>
      </w:r>
      <w:r>
        <w:rPr>
          <w:rFonts w:hint="eastAsia" w:ascii="仿宋_GB2312" w:eastAsia="仿宋_GB2312"/>
          <w:color w:val="auto"/>
          <w:sz w:val="32"/>
          <w:szCs w:val="32"/>
        </w:rPr>
        <w:t>度，按照合同约定资金使用计划，确保各项工作按计划进度进行。</w:t>
      </w:r>
    </w:p>
    <w:p>
      <w:pPr>
        <w:pageBreakBefore w:val="0"/>
        <w:suppressAutoHyphens/>
        <w:kinsoku/>
        <w:wordWrap/>
        <w:overflowPunct/>
        <w:topLinePunct w:val="0"/>
        <w:bidi w:val="0"/>
        <w:spacing w:line="640" w:lineRule="exact"/>
        <w:ind w:firstLine="642" w:firstLineChars="200"/>
        <w:rPr>
          <w:rFonts w:ascii="楷体_GB2312" w:eastAsia="楷体_GB2312"/>
          <w:b/>
          <w:color w:val="auto"/>
          <w:sz w:val="32"/>
          <w:szCs w:val="32"/>
        </w:rPr>
      </w:pPr>
      <w:r>
        <w:rPr>
          <w:rFonts w:hint="eastAsia" w:ascii="楷体_GB2312" w:eastAsia="楷体_GB2312"/>
          <w:b/>
          <w:color w:val="auto"/>
          <w:sz w:val="32"/>
          <w:szCs w:val="32"/>
        </w:rPr>
        <w:t>（二）项目管理情况</w:t>
      </w:r>
    </w:p>
    <w:p>
      <w:pPr>
        <w:pageBreakBefore w:val="0"/>
        <w:suppressAutoHyphens/>
        <w:kinsoku/>
        <w:wordWrap/>
        <w:overflowPunct/>
        <w:topLinePunct w:val="0"/>
        <w:bidi w:val="0"/>
        <w:spacing w:line="640" w:lineRule="exact"/>
        <w:ind w:firstLine="640" w:firstLineChars="200"/>
        <w:rPr>
          <w:rFonts w:ascii="仿宋_GB2312" w:eastAsia="仿宋_GB2312"/>
          <w:sz w:val="32"/>
          <w:szCs w:val="32"/>
        </w:rPr>
      </w:pPr>
      <w:r>
        <w:rPr>
          <w:rFonts w:hint="eastAsia" w:ascii="仿宋_GB2312" w:eastAsia="仿宋_GB2312"/>
          <w:sz w:val="32"/>
          <w:szCs w:val="32"/>
        </w:rPr>
        <w:t>项目招标严格按照学院招投标程序进行，施工过程学院派出现场管理人员，同时由学院招的工程监理严格管理，达到了监理要求，工程完工后由学院组织相关部门验收并通过了审计后才支付工程款。资金使用合理，监督有效，不存在漏洞。</w:t>
      </w:r>
    </w:p>
    <w:p>
      <w:pPr>
        <w:pageBreakBefore w:val="0"/>
        <w:suppressAutoHyphens/>
        <w:kinsoku/>
        <w:wordWrap/>
        <w:overflowPunct/>
        <w:topLinePunct w:val="0"/>
        <w:bidi w:val="0"/>
        <w:spacing w:line="640" w:lineRule="exact"/>
        <w:ind w:firstLine="642" w:firstLineChars="200"/>
        <w:rPr>
          <w:rFonts w:ascii="楷体_GB2312" w:eastAsia="楷体_GB2312"/>
          <w:b/>
          <w:sz w:val="32"/>
          <w:szCs w:val="32"/>
        </w:rPr>
      </w:pPr>
      <w:r>
        <w:rPr>
          <w:rFonts w:hint="eastAsia" w:ascii="楷体_GB2312" w:eastAsia="楷体_GB2312"/>
          <w:b/>
          <w:sz w:val="32"/>
          <w:szCs w:val="32"/>
        </w:rPr>
        <w:t>（三）项目产出情况</w:t>
      </w:r>
    </w:p>
    <w:p>
      <w:pPr>
        <w:pageBreakBefore w:val="0"/>
        <w:suppressAutoHyphens/>
        <w:kinsoku/>
        <w:wordWrap/>
        <w:overflowPunct/>
        <w:topLinePunct w:val="0"/>
        <w:bidi w:val="0"/>
        <w:spacing w:line="640" w:lineRule="exact"/>
        <w:ind w:firstLine="640" w:firstLineChars="200"/>
        <w:rPr>
          <w:rFonts w:ascii="仿宋_GB2312" w:eastAsia="仿宋_GB2312"/>
          <w:sz w:val="32"/>
          <w:szCs w:val="32"/>
        </w:rPr>
      </w:pPr>
      <w:r>
        <w:rPr>
          <w:rFonts w:ascii="仿宋_GB2312" w:eastAsia="仿宋_GB2312"/>
          <w:sz w:val="32"/>
          <w:szCs w:val="32"/>
        </w:rPr>
        <w:t>2020</w:t>
      </w:r>
      <w:r>
        <w:rPr>
          <w:rFonts w:hint="eastAsia" w:ascii="仿宋_GB2312" w:eastAsia="仿宋_GB2312"/>
          <w:sz w:val="32"/>
          <w:szCs w:val="32"/>
        </w:rPr>
        <w:t>年两校区维修按计划完成既定目标。</w:t>
      </w:r>
    </w:p>
    <w:p>
      <w:pPr>
        <w:pageBreakBefore w:val="0"/>
        <w:suppressAutoHyphens/>
        <w:kinsoku/>
        <w:wordWrap/>
        <w:overflowPunct/>
        <w:topLinePunct w:val="0"/>
        <w:bidi w:val="0"/>
        <w:spacing w:line="640" w:lineRule="exact"/>
        <w:ind w:firstLine="642" w:firstLineChars="200"/>
        <w:rPr>
          <w:rFonts w:ascii="楷体_GB2312" w:eastAsia="楷体_GB2312"/>
          <w:b/>
          <w:sz w:val="32"/>
          <w:szCs w:val="32"/>
        </w:rPr>
      </w:pPr>
      <w:r>
        <w:rPr>
          <w:rFonts w:hint="eastAsia" w:ascii="楷体_GB2312" w:eastAsia="楷体_GB2312"/>
          <w:b/>
          <w:sz w:val="32"/>
          <w:szCs w:val="32"/>
        </w:rPr>
        <w:t>（四）项目效益情况</w:t>
      </w:r>
    </w:p>
    <w:p>
      <w:pPr>
        <w:pageBreakBefore w:val="0"/>
        <w:suppressAutoHyphens/>
        <w:kinsoku/>
        <w:wordWrap/>
        <w:overflowPunct/>
        <w:topLinePunct w:val="0"/>
        <w:bidi w:val="0"/>
        <w:spacing w:line="640" w:lineRule="exact"/>
        <w:ind w:firstLine="640" w:firstLineChars="200"/>
        <w:rPr>
          <w:rFonts w:ascii="仿宋_GB2312" w:eastAsia="仿宋_GB2312"/>
          <w:sz w:val="32"/>
          <w:szCs w:val="32"/>
        </w:rPr>
      </w:pPr>
      <w:r>
        <w:rPr>
          <w:rFonts w:hint="eastAsia" w:ascii="仿宋_GB2312" w:eastAsia="仿宋_GB2312"/>
          <w:sz w:val="32"/>
          <w:szCs w:val="32"/>
        </w:rPr>
        <w:t>完成了文家校区</w:t>
      </w:r>
      <w:r>
        <w:rPr>
          <w:rFonts w:ascii="仿宋_GB2312" w:eastAsia="仿宋_GB2312"/>
          <w:sz w:val="32"/>
          <w:szCs w:val="32"/>
        </w:rPr>
        <w:t>2000</w:t>
      </w:r>
      <w:r>
        <w:rPr>
          <w:rFonts w:hint="eastAsia" w:ascii="仿宋_GB2312" w:eastAsia="仿宋_GB2312"/>
          <w:sz w:val="32"/>
          <w:szCs w:val="32"/>
        </w:rPr>
        <w:t>米的供电线路更换，新装配电柜一台，</w:t>
      </w:r>
      <w:r>
        <w:rPr>
          <w:rFonts w:ascii="仿宋_GB2312" w:eastAsia="仿宋_GB2312"/>
          <w:sz w:val="32"/>
          <w:szCs w:val="32"/>
        </w:rPr>
        <w:t>10</w:t>
      </w:r>
      <w:r>
        <w:rPr>
          <w:rFonts w:hint="eastAsia" w:ascii="仿宋_GB2312" w:eastAsia="仿宋_GB2312"/>
          <w:sz w:val="32"/>
          <w:szCs w:val="32"/>
        </w:rPr>
        <w:t>套值班室（隔离房）改造（粉刷面积</w:t>
      </w:r>
      <w:r>
        <w:rPr>
          <w:rFonts w:ascii="仿宋_GB2312" w:eastAsia="仿宋_GB2312"/>
          <w:sz w:val="32"/>
          <w:szCs w:val="32"/>
        </w:rPr>
        <w:t>2600</w:t>
      </w:r>
      <w:r>
        <w:rPr>
          <w:rFonts w:hint="eastAsia" w:ascii="仿宋_GB2312" w:eastAsia="仿宋_GB2312"/>
          <w:sz w:val="32"/>
          <w:szCs w:val="32"/>
        </w:rPr>
        <w:t>㎡）拆除了教学楼顶铁架、老木工房、东区食堂彩钢棚、东区锅炉房及设备等有严重安全隐患的建筑和设备，保证了文家校区供电线路安全运行，改善了值班人员和隔离室住宿条件。完成了和盛校区</w:t>
      </w:r>
      <w:r>
        <w:rPr>
          <w:rFonts w:ascii="仿宋_GB2312" w:eastAsia="仿宋_GB2312"/>
          <w:sz w:val="32"/>
          <w:szCs w:val="32"/>
        </w:rPr>
        <w:t>4</w:t>
      </w:r>
      <w:r>
        <w:rPr>
          <w:rFonts w:hint="eastAsia" w:ascii="仿宋_GB2312" w:eastAsia="仿宋_GB2312"/>
          <w:sz w:val="32"/>
          <w:szCs w:val="32"/>
        </w:rPr>
        <w:t>个多功能厅的天沟更换和部分改造，教学楼地面沉降伸缩缝的拆除、安装，消除了教学楼漏水现象，同时新装</w:t>
      </w:r>
      <w:r>
        <w:rPr>
          <w:rFonts w:ascii="仿宋_GB2312" w:eastAsia="仿宋_GB2312"/>
          <w:sz w:val="32"/>
          <w:szCs w:val="32"/>
        </w:rPr>
        <w:t>6</w:t>
      </w:r>
      <w:r>
        <w:rPr>
          <w:rFonts w:hint="eastAsia" w:ascii="仿宋_GB2312" w:eastAsia="仿宋_GB2312"/>
          <w:sz w:val="32"/>
          <w:szCs w:val="32"/>
        </w:rPr>
        <w:t>米单挑灯</w:t>
      </w:r>
      <w:r>
        <w:rPr>
          <w:rFonts w:ascii="仿宋_GB2312" w:eastAsia="仿宋_GB2312"/>
          <w:sz w:val="32"/>
          <w:szCs w:val="32"/>
        </w:rPr>
        <w:t>25</w:t>
      </w:r>
      <w:r>
        <w:rPr>
          <w:rFonts w:hint="eastAsia" w:ascii="仿宋_GB2312" w:eastAsia="仿宋_GB2312"/>
          <w:sz w:val="32"/>
          <w:szCs w:val="32"/>
        </w:rPr>
        <w:t>套。所有项目全部在规定时间全部完成质量合格。确保了全院</w:t>
      </w:r>
      <w:r>
        <w:rPr>
          <w:rFonts w:ascii="仿宋_GB2312" w:eastAsia="仿宋_GB2312"/>
          <w:sz w:val="32"/>
          <w:szCs w:val="32"/>
        </w:rPr>
        <w:t>1</w:t>
      </w:r>
      <w:r>
        <w:rPr>
          <w:rFonts w:hint="eastAsia" w:ascii="仿宋_GB2312" w:eastAsia="仿宋_GB2312"/>
          <w:sz w:val="32"/>
          <w:szCs w:val="32"/>
        </w:rPr>
        <w:t>万多师生的校园环境安全，同时保障了教学和生活秩序的正常运行，师生满意度达到</w:t>
      </w:r>
      <w:r>
        <w:rPr>
          <w:rFonts w:ascii="仿宋_GB2312" w:eastAsia="仿宋_GB2312"/>
          <w:sz w:val="32"/>
          <w:szCs w:val="32"/>
        </w:rPr>
        <w:t>85%</w:t>
      </w:r>
      <w:r>
        <w:rPr>
          <w:rFonts w:hint="eastAsia" w:ascii="仿宋_GB2312" w:eastAsia="仿宋_GB2312"/>
          <w:sz w:val="32"/>
          <w:szCs w:val="32"/>
        </w:rPr>
        <w:t>。</w:t>
      </w:r>
    </w:p>
    <w:p>
      <w:pPr>
        <w:pageBreakBefore w:val="0"/>
        <w:suppressAutoHyphens/>
        <w:kinsoku/>
        <w:wordWrap/>
        <w:overflowPunct/>
        <w:topLinePunct w:val="0"/>
        <w:bidi w:val="0"/>
        <w:spacing w:line="640" w:lineRule="exact"/>
        <w:ind w:firstLine="640" w:firstLineChars="200"/>
        <w:rPr>
          <w:rFonts w:ascii="黑体" w:hAnsi="黑体" w:eastAsia="黑体"/>
          <w:bCs/>
          <w:sz w:val="32"/>
          <w:szCs w:val="32"/>
        </w:rPr>
      </w:pPr>
      <w:bookmarkStart w:id="292" w:name="_Toc1272622057_WPSOffice_Level2"/>
      <w:bookmarkStart w:id="293" w:name="_Toc1276536519_WPSOffice_Level2"/>
      <w:bookmarkStart w:id="294" w:name="_Toc418082723_WPSOffice_Level2"/>
      <w:bookmarkStart w:id="295" w:name="_Toc1954078882_WPSOffice_Level2"/>
      <w:bookmarkStart w:id="296" w:name="_Toc1955057612_WPSOffice_Level2"/>
      <w:bookmarkStart w:id="297" w:name="_Toc720381962_WPSOffice_Level2"/>
      <w:bookmarkStart w:id="298" w:name="_Toc905612833_WPSOffice_Level2"/>
      <w:bookmarkStart w:id="299" w:name="_Toc159742564_WPSOffice_Level2"/>
      <w:bookmarkStart w:id="300" w:name="_Toc1577487765_WPSOffice_Level2"/>
      <w:r>
        <w:rPr>
          <w:rFonts w:hint="eastAsia" w:ascii="黑体" w:hAnsi="黑体" w:eastAsia="黑体"/>
          <w:bCs/>
          <w:sz w:val="32"/>
          <w:szCs w:val="32"/>
        </w:rPr>
        <w:t>五、存在主要问题</w:t>
      </w:r>
      <w:bookmarkEnd w:id="292"/>
      <w:bookmarkEnd w:id="293"/>
      <w:bookmarkEnd w:id="294"/>
      <w:bookmarkEnd w:id="295"/>
      <w:bookmarkEnd w:id="296"/>
      <w:bookmarkEnd w:id="297"/>
      <w:bookmarkEnd w:id="298"/>
      <w:bookmarkEnd w:id="299"/>
      <w:bookmarkEnd w:id="300"/>
    </w:p>
    <w:p>
      <w:pPr>
        <w:pageBreakBefore w:val="0"/>
        <w:suppressAutoHyphens/>
        <w:kinsoku/>
        <w:wordWrap/>
        <w:overflowPunct/>
        <w:topLinePunct w:val="0"/>
        <w:bidi w:val="0"/>
        <w:spacing w:line="640" w:lineRule="exact"/>
        <w:ind w:firstLine="640" w:firstLineChars="200"/>
        <w:rPr>
          <w:rFonts w:ascii="仿宋_GB2312" w:eastAsia="仿宋_GB2312"/>
          <w:sz w:val="32"/>
          <w:szCs w:val="32"/>
        </w:rPr>
      </w:pPr>
      <w:r>
        <w:rPr>
          <w:rFonts w:hint="eastAsia" w:ascii="仿宋_GB2312" w:eastAsia="仿宋_GB2312"/>
          <w:sz w:val="32"/>
          <w:szCs w:val="32"/>
        </w:rPr>
        <w:t>通过本次自查自评发现，在计划工作和预算制定上还有不足之处。</w:t>
      </w:r>
    </w:p>
    <w:p>
      <w:pPr>
        <w:pageBreakBefore w:val="0"/>
        <w:suppressAutoHyphens/>
        <w:kinsoku/>
        <w:wordWrap/>
        <w:overflowPunct/>
        <w:topLinePunct w:val="0"/>
        <w:bidi w:val="0"/>
        <w:spacing w:line="640" w:lineRule="exact"/>
        <w:ind w:firstLine="640" w:firstLineChars="200"/>
      </w:pPr>
      <w:bookmarkStart w:id="301" w:name="_Toc2004265267_WPSOffice_Level2"/>
      <w:bookmarkStart w:id="302" w:name="_Toc1666476857_WPSOffice_Level2"/>
      <w:bookmarkStart w:id="303" w:name="_Toc2025886289_WPSOffice_Level2"/>
      <w:bookmarkStart w:id="304" w:name="_Toc909895508_WPSOffice_Level2"/>
      <w:bookmarkStart w:id="305" w:name="_Toc741723059_WPSOffice_Level2"/>
      <w:bookmarkStart w:id="306" w:name="_Toc1807696637_WPSOffice_Level2"/>
      <w:bookmarkStart w:id="307" w:name="_Toc469575566_WPSOffice_Level2"/>
      <w:bookmarkStart w:id="308" w:name="_Toc1918374523_WPSOffice_Level2"/>
      <w:bookmarkStart w:id="309" w:name="_Toc1099460973_WPSOffice_Level2"/>
      <w:r>
        <w:rPr>
          <w:rFonts w:hint="eastAsia" w:ascii="黑体" w:hAnsi="黑体" w:eastAsia="黑体"/>
          <w:bCs/>
          <w:sz w:val="32"/>
          <w:szCs w:val="32"/>
        </w:rPr>
        <w:t>六、相关措施建议</w:t>
      </w:r>
      <w:bookmarkEnd w:id="301"/>
      <w:bookmarkEnd w:id="302"/>
      <w:bookmarkEnd w:id="303"/>
      <w:bookmarkEnd w:id="304"/>
      <w:bookmarkEnd w:id="305"/>
      <w:bookmarkEnd w:id="306"/>
      <w:bookmarkEnd w:id="307"/>
      <w:bookmarkEnd w:id="308"/>
      <w:bookmarkEnd w:id="309"/>
    </w:p>
    <w:p>
      <w:pPr>
        <w:pageBreakBefore w:val="0"/>
        <w:suppressAutoHyphens/>
        <w:kinsoku/>
        <w:wordWrap/>
        <w:overflowPunct/>
        <w:topLinePunct w:val="0"/>
        <w:bidi w:val="0"/>
        <w:spacing w:line="640" w:lineRule="exact"/>
        <w:ind w:firstLine="640" w:firstLineChars="200"/>
        <w:rPr>
          <w:rFonts w:ascii="仿宋_GB2312" w:eastAsia="仿宋_GB2312"/>
          <w:sz w:val="32"/>
          <w:szCs w:val="32"/>
        </w:rPr>
      </w:pPr>
      <w:bookmarkStart w:id="310" w:name="_Toc925221591_WPSOffice_Level1"/>
      <w:r>
        <w:rPr>
          <w:rFonts w:hint="eastAsia" w:ascii="仿宋_GB2312" w:eastAsia="仿宋_GB2312"/>
          <w:sz w:val="32"/>
          <w:szCs w:val="32"/>
        </w:rPr>
        <w:t>针对以上问题，学院将采取以下措施：</w:t>
      </w:r>
      <w:bookmarkEnd w:id="310"/>
    </w:p>
    <w:p>
      <w:pPr>
        <w:pageBreakBefore w:val="0"/>
        <w:suppressAutoHyphens/>
        <w:kinsoku/>
        <w:wordWrap/>
        <w:overflowPunct/>
        <w:topLinePunct w:val="0"/>
        <w:bidi w:val="0"/>
        <w:spacing w:line="640" w:lineRule="exact"/>
        <w:ind w:firstLine="642" w:firstLineChars="200"/>
        <w:rPr>
          <w:rFonts w:hint="eastAsia" w:ascii="楷体_GB2312" w:eastAsia="楷体_GB2312"/>
          <w:b/>
          <w:sz w:val="32"/>
          <w:szCs w:val="32"/>
        </w:rPr>
      </w:pPr>
      <w:bookmarkStart w:id="311" w:name="_Toc436387834_WPSOffice_Level1"/>
      <w:r>
        <w:rPr>
          <w:rFonts w:hint="eastAsia" w:ascii="楷体_GB2312" w:eastAsia="楷体_GB2312"/>
          <w:b/>
          <w:sz w:val="32"/>
          <w:szCs w:val="32"/>
        </w:rPr>
        <w:t>（一）计划工作和预算需通过使用部门进行评估。</w:t>
      </w:r>
      <w:bookmarkEnd w:id="311"/>
    </w:p>
    <w:p>
      <w:pPr>
        <w:pageBreakBefore w:val="0"/>
        <w:suppressAutoHyphens/>
        <w:kinsoku/>
        <w:wordWrap/>
        <w:overflowPunct/>
        <w:topLinePunct w:val="0"/>
        <w:bidi w:val="0"/>
        <w:spacing w:line="640" w:lineRule="exact"/>
        <w:ind w:firstLine="642" w:firstLineChars="200"/>
        <w:rPr>
          <w:rFonts w:hint="eastAsia" w:ascii="楷体_GB2312" w:eastAsia="楷体_GB2312"/>
          <w:b/>
          <w:sz w:val="32"/>
          <w:szCs w:val="32"/>
        </w:rPr>
      </w:pPr>
      <w:bookmarkStart w:id="312" w:name="_Toc869007289_WPSOffice_Level1"/>
      <w:r>
        <w:rPr>
          <w:rFonts w:hint="eastAsia" w:ascii="楷体_GB2312" w:eastAsia="楷体_GB2312"/>
          <w:b/>
          <w:sz w:val="32"/>
          <w:szCs w:val="32"/>
        </w:rPr>
        <w:t>（二）计划工作和预算评估后请专业的造价公司完成最终价格制定。</w:t>
      </w:r>
      <w:bookmarkEnd w:id="312"/>
    </w:p>
    <w:p>
      <w:pPr>
        <w:pageBreakBefore w:val="0"/>
        <w:kinsoku/>
        <w:wordWrap/>
        <w:overflowPunct/>
        <w:topLinePunct w:val="0"/>
        <w:bidi w:val="0"/>
        <w:snapToGrid w:val="0"/>
        <w:spacing w:line="640" w:lineRule="exact"/>
        <w:jc w:val="center"/>
        <w:rPr>
          <w:rFonts w:ascii="方正小标宋简体" w:hAnsi="宋体" w:eastAsia="方正小标宋简体"/>
          <w:sz w:val="44"/>
          <w:szCs w:val="44"/>
        </w:rPr>
      </w:pPr>
      <w:bookmarkStart w:id="313" w:name="_Toc1497516606_WPSOffice_Level2"/>
      <w:bookmarkStart w:id="314" w:name="_Toc1921496440_WPSOffice_Level2"/>
      <w:r>
        <w:rPr>
          <w:rFonts w:ascii="仿宋_GB2312" w:eastAsia="仿宋_GB2312"/>
          <w:kern w:val="0"/>
          <w:sz w:val="30"/>
        </w:rPr>
        <w:br w:type="page"/>
      </w:r>
    </w:p>
    <w:p>
      <w:pPr>
        <w:pageBreakBefore w:val="0"/>
        <w:kinsoku/>
        <w:wordWrap/>
        <w:overflowPunct/>
        <w:topLinePunct w:val="0"/>
        <w:bidi w:val="0"/>
        <w:snapToGrid w:val="0"/>
        <w:spacing w:line="640" w:lineRule="exact"/>
        <w:jc w:val="center"/>
        <w:rPr>
          <w:rFonts w:ascii="方正小标宋简体" w:hAnsi="宋体" w:eastAsia="方正小标宋简体"/>
          <w:sz w:val="44"/>
          <w:szCs w:val="44"/>
        </w:rPr>
      </w:pPr>
      <w:bookmarkStart w:id="315" w:name="_Toc200189071_WPSOffice_Level2"/>
      <w:bookmarkStart w:id="316" w:name="_Toc1329193625_WPSOffice_Level2"/>
      <w:bookmarkStart w:id="317" w:name="_Toc1576570765_WPSOffice_Level2"/>
      <w:bookmarkStart w:id="318" w:name="_Toc802318920_WPSOffice_Level2"/>
      <w:bookmarkStart w:id="319" w:name="_Toc737938432_WPSOffice_Level2"/>
      <w:r>
        <w:rPr>
          <w:rFonts w:ascii="方正小标宋简体" w:hAnsi="宋体" w:eastAsia="方正小标宋简体"/>
          <w:sz w:val="44"/>
          <w:szCs w:val="44"/>
        </w:rPr>
        <w:t>2020</w:t>
      </w:r>
      <w:r>
        <w:rPr>
          <w:rFonts w:hint="eastAsia" w:ascii="方正小标宋简体" w:hAnsi="宋体" w:eastAsia="方正小标宋简体"/>
          <w:sz w:val="44"/>
          <w:szCs w:val="44"/>
        </w:rPr>
        <w:t>年部门预算项目支出绩效自评报告</w:t>
      </w:r>
      <w:bookmarkEnd w:id="313"/>
      <w:bookmarkEnd w:id="314"/>
      <w:bookmarkEnd w:id="315"/>
      <w:bookmarkEnd w:id="316"/>
      <w:bookmarkEnd w:id="317"/>
      <w:bookmarkEnd w:id="318"/>
      <w:bookmarkEnd w:id="319"/>
    </w:p>
    <w:p>
      <w:pPr>
        <w:pageBreakBefore w:val="0"/>
        <w:tabs>
          <w:tab w:val="left" w:pos="3885"/>
        </w:tabs>
        <w:kinsoku/>
        <w:wordWrap/>
        <w:overflowPunct/>
        <w:topLinePunct w:val="0"/>
        <w:bidi w:val="0"/>
        <w:snapToGrid w:val="0"/>
        <w:spacing w:line="640" w:lineRule="exact"/>
        <w:jc w:val="center"/>
        <w:rPr>
          <w:rFonts w:hAnsi="宋体" w:eastAsia="仿宋_GB2312"/>
          <w:sz w:val="32"/>
          <w:szCs w:val="32"/>
        </w:rPr>
      </w:pPr>
      <w:r>
        <w:rPr>
          <w:rFonts w:hint="eastAsia" w:hAnsi="宋体" w:eastAsia="仿宋_GB2312"/>
          <w:sz w:val="32"/>
          <w:szCs w:val="32"/>
        </w:rPr>
        <w:t>（学生费用）</w:t>
      </w:r>
    </w:p>
    <w:p>
      <w:pPr>
        <w:pStyle w:val="2"/>
        <w:pageBreakBefore w:val="0"/>
        <w:kinsoku/>
        <w:wordWrap/>
        <w:overflowPunct/>
        <w:topLinePunct w:val="0"/>
        <w:bidi w:val="0"/>
        <w:spacing w:before="93" w:line="640" w:lineRule="exact"/>
      </w:pPr>
    </w:p>
    <w:p>
      <w:pPr>
        <w:pageBreakBefore w:val="0"/>
        <w:kinsoku/>
        <w:wordWrap/>
        <w:overflowPunct/>
        <w:topLinePunct w:val="0"/>
        <w:bidi w:val="0"/>
        <w:snapToGrid w:val="0"/>
        <w:spacing w:line="640" w:lineRule="exact"/>
        <w:ind w:firstLine="640" w:firstLineChars="200"/>
        <w:rPr>
          <w:rFonts w:ascii="黑体" w:hAnsi="宋体" w:eastAsia="黑体" w:cs="黑体"/>
          <w:color w:val="333333"/>
          <w:sz w:val="32"/>
          <w:szCs w:val="32"/>
          <w:shd w:val="clear" w:color="auto" w:fill="FFFFFF"/>
        </w:rPr>
      </w:pPr>
      <w:bookmarkStart w:id="320" w:name="_Toc1898392361_WPSOffice_Level2"/>
      <w:bookmarkStart w:id="321" w:name="_Toc1740097919_WPSOffice_Level2"/>
      <w:bookmarkStart w:id="322" w:name="_Toc266232766_WPSOffice_Level2"/>
      <w:bookmarkStart w:id="323" w:name="_Toc944357460_WPSOffice_Level2"/>
      <w:bookmarkStart w:id="324" w:name="_Toc2111766150_WPSOffice_Level2"/>
      <w:bookmarkStart w:id="325" w:name="_Toc1986921891_WPSOffice_Level2"/>
      <w:bookmarkStart w:id="326" w:name="_Toc617238077_WPSOffice_Level2"/>
      <w:r>
        <w:rPr>
          <w:rFonts w:hint="eastAsia" w:ascii="黑体" w:hAnsi="宋体" w:eastAsia="黑体" w:cs="黑体"/>
          <w:color w:val="333333"/>
          <w:sz w:val="32"/>
          <w:szCs w:val="32"/>
          <w:shd w:val="clear" w:color="auto" w:fill="FFFFFF"/>
        </w:rPr>
        <w:t>一、基本情况</w:t>
      </w:r>
      <w:bookmarkEnd w:id="320"/>
      <w:bookmarkEnd w:id="321"/>
      <w:bookmarkEnd w:id="322"/>
      <w:bookmarkEnd w:id="323"/>
      <w:bookmarkEnd w:id="324"/>
      <w:bookmarkEnd w:id="325"/>
      <w:bookmarkEnd w:id="326"/>
    </w:p>
    <w:p>
      <w:pPr>
        <w:pageBreakBefore w:val="0"/>
        <w:kinsoku/>
        <w:wordWrap/>
        <w:overflowPunct/>
        <w:topLinePunct w:val="0"/>
        <w:bidi w:val="0"/>
        <w:snapToGri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因新冠疫情影响，</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年未开展军训</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年助学贷款风险金因国家政策不再收取，因而这部分费用没有使用。项目费用使用主要在校内奖助金方面。</w:t>
      </w:r>
    </w:p>
    <w:p>
      <w:pPr>
        <w:pageBreakBefore w:val="0"/>
        <w:tabs>
          <w:tab w:val="left" w:pos="3885"/>
        </w:tabs>
        <w:kinsoku/>
        <w:wordWrap/>
        <w:overflowPunct/>
        <w:topLinePunct w:val="0"/>
        <w:bidi w:val="0"/>
        <w:snapToGrid w:val="0"/>
        <w:spacing w:line="640" w:lineRule="exact"/>
        <w:ind w:firstLine="642" w:firstLineChars="200"/>
        <w:jc w:val="left"/>
        <w:rPr>
          <w:rFonts w:ascii="楷体_GB2312" w:hAnsi="仿宋_GB2312" w:eastAsia="楷体_GB2312" w:cs="仿宋_GB2312"/>
          <w:b/>
          <w:sz w:val="32"/>
          <w:szCs w:val="32"/>
        </w:rPr>
      </w:pPr>
      <w:r>
        <w:rPr>
          <w:rFonts w:hint="eastAsia" w:ascii="楷体_GB2312" w:hAnsi="仿宋_GB2312" w:eastAsia="楷体_GB2312" w:cs="仿宋_GB2312"/>
          <w:b/>
          <w:sz w:val="32"/>
          <w:szCs w:val="32"/>
        </w:rPr>
        <w:t>（一）项目资金申报及批复情况</w:t>
      </w:r>
    </w:p>
    <w:p>
      <w:pPr>
        <w:pageBreakBefore w:val="0"/>
        <w:kinsoku/>
        <w:wordWrap/>
        <w:overflowPunct/>
        <w:topLinePunct w:val="0"/>
        <w:bidi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根据《四川商务职业学院学生奖学金评定及管理办法》、《四川商务职业学院学生勤工助学管理办法》、《四川商务职业学院家庭经济困难学生临时困难补助管理办法》等制度设立，资金设立符合《四川商务职业学院学生资助经费管理办法》。</w:t>
      </w:r>
    </w:p>
    <w:p>
      <w:pPr>
        <w:pStyle w:val="6"/>
        <w:pageBreakBefore w:val="0"/>
        <w:widowControl/>
        <w:numPr>
          <w:ilvl w:val="0"/>
          <w:numId w:val="2"/>
        </w:numPr>
        <w:shd w:val="clear" w:color="auto" w:fill="FFFFFF"/>
        <w:kinsoku/>
        <w:wordWrap/>
        <w:overflowPunct/>
        <w:topLinePunct w:val="0"/>
        <w:bidi w:val="0"/>
        <w:spacing w:before="0" w:beforeAutospacing="0" w:after="0" w:afterAutospacing="0" w:line="640" w:lineRule="exact"/>
        <w:ind w:firstLine="562"/>
        <w:rPr>
          <w:rFonts w:ascii="楷体_GB2312" w:eastAsia="楷体_GB2312"/>
          <w:bCs w:val="0"/>
          <w:kern w:val="2"/>
          <w:sz w:val="32"/>
          <w:szCs w:val="32"/>
        </w:rPr>
      </w:pPr>
      <w:r>
        <w:rPr>
          <w:rFonts w:hint="eastAsia" w:ascii="楷体_GB2312" w:eastAsia="楷体_GB2312"/>
          <w:bCs w:val="0"/>
          <w:kern w:val="2"/>
          <w:sz w:val="32"/>
          <w:szCs w:val="32"/>
        </w:rPr>
        <w:t>项目绩效目标</w:t>
      </w:r>
    </w:p>
    <w:p>
      <w:pPr>
        <w:pageBreakBefore w:val="0"/>
        <w:kinsoku/>
        <w:wordWrap/>
        <w:overflowPunct/>
        <w:topLinePunct w:val="0"/>
        <w:bidi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该项目包括学生校内奖学金、临时困难学生资助和校内勤工助学，主要用于对品学兼优的学生进行奖励，对家庭突发临时困难的学生给予帮助，教育学生通过自我劳动获取报酬，培养学生自立自强的品质。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年发放校内奖学金</w:t>
      </w:r>
      <w:r>
        <w:rPr>
          <w:rFonts w:ascii="仿宋_GB2312" w:hAnsi="仿宋_GB2312" w:eastAsia="仿宋_GB2312" w:cs="仿宋_GB2312"/>
          <w:sz w:val="32"/>
          <w:szCs w:val="32"/>
        </w:rPr>
        <w:t>844</w:t>
      </w:r>
      <w:r>
        <w:rPr>
          <w:rFonts w:hint="eastAsia" w:ascii="仿宋_GB2312" w:hAnsi="仿宋_GB2312" w:eastAsia="仿宋_GB2312" w:cs="仿宋_GB2312"/>
          <w:sz w:val="32"/>
          <w:szCs w:val="32"/>
        </w:rPr>
        <w:t>人、临时困难补助</w:t>
      </w:r>
      <w:r>
        <w:rPr>
          <w:rFonts w:ascii="仿宋_GB2312" w:hAnsi="仿宋_GB2312" w:eastAsia="仿宋_GB2312" w:cs="仿宋_GB2312"/>
          <w:sz w:val="32"/>
          <w:szCs w:val="32"/>
        </w:rPr>
        <w:t>37</w:t>
      </w:r>
      <w:r>
        <w:rPr>
          <w:rFonts w:hint="eastAsia" w:ascii="仿宋_GB2312" w:hAnsi="仿宋_GB2312" w:eastAsia="仿宋_GB2312" w:cs="仿宋_GB2312"/>
          <w:sz w:val="32"/>
          <w:szCs w:val="32"/>
        </w:rPr>
        <w:t>人、勤工助学</w:t>
      </w:r>
      <w:r>
        <w:rPr>
          <w:rFonts w:ascii="仿宋_GB2312" w:hAnsi="仿宋_GB2312" w:eastAsia="仿宋_GB2312" w:cs="仿宋_GB2312"/>
          <w:sz w:val="32"/>
          <w:szCs w:val="32"/>
        </w:rPr>
        <w:t>407</w:t>
      </w:r>
      <w:r>
        <w:rPr>
          <w:rFonts w:hint="eastAsia" w:ascii="仿宋_GB2312" w:hAnsi="仿宋_GB2312" w:eastAsia="仿宋_GB2312" w:cs="仿宋_GB2312"/>
          <w:sz w:val="32"/>
          <w:szCs w:val="32"/>
        </w:rPr>
        <w:t>人次，达到了奖优助困的目的。该项目中校内奖学金施行一次性上卡发放、临时困难补助在学生申请后及时上卡发放、勤工助学按月上卡发放，所有资助金在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月底前完成。</w:t>
      </w:r>
    </w:p>
    <w:p>
      <w:pPr>
        <w:pageBreakBefore w:val="0"/>
        <w:kinsoku/>
        <w:wordWrap/>
        <w:overflowPunct/>
        <w:topLinePunct w:val="0"/>
        <w:bidi w:val="0"/>
        <w:spacing w:line="640" w:lineRule="exact"/>
        <w:ind w:left="562"/>
        <w:rPr>
          <w:rFonts w:ascii="楷体_GB2312" w:hAnsi="宋体" w:eastAsia="楷体_GB2312"/>
          <w:b/>
          <w:sz w:val="32"/>
          <w:szCs w:val="32"/>
        </w:rPr>
      </w:pPr>
      <w:r>
        <w:rPr>
          <w:rFonts w:hint="eastAsia" w:ascii="楷体_GB2312" w:hAnsi="宋体" w:eastAsia="楷体_GB2312"/>
          <w:b/>
          <w:sz w:val="32"/>
          <w:szCs w:val="32"/>
        </w:rPr>
        <w:t>（三）项目资金申报相符性</w:t>
      </w:r>
    </w:p>
    <w:p>
      <w:pPr>
        <w:pageBreakBefore w:val="0"/>
        <w:kinsoku/>
        <w:wordWrap/>
        <w:overflowPunct/>
        <w:topLinePunct w:val="0"/>
        <w:bidi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该项目申报内容与具体实施相符，申报目标合理可行。</w:t>
      </w:r>
    </w:p>
    <w:p>
      <w:pPr>
        <w:pStyle w:val="13"/>
        <w:pageBreakBefore w:val="0"/>
        <w:widowControl/>
        <w:shd w:val="clear" w:color="auto" w:fill="FFFFFF"/>
        <w:kinsoku/>
        <w:wordWrap/>
        <w:overflowPunct/>
        <w:topLinePunct w:val="0"/>
        <w:bidi w:val="0"/>
        <w:spacing w:before="0" w:beforeAutospacing="0" w:after="0" w:afterAutospacing="0" w:line="640" w:lineRule="exact"/>
        <w:ind w:firstLine="560"/>
        <w:rPr>
          <w:rFonts w:ascii="微软雅黑" w:hAnsi="微软雅黑" w:eastAsia="黑体" w:cs="微软雅黑"/>
          <w:color w:val="333333"/>
          <w:sz w:val="32"/>
          <w:szCs w:val="32"/>
        </w:rPr>
      </w:pPr>
      <w:bookmarkStart w:id="327" w:name="_Toc74687984_WPSOffice_Level2"/>
      <w:bookmarkStart w:id="328" w:name="_Toc1153895612_WPSOffice_Level2"/>
      <w:bookmarkStart w:id="329" w:name="_Toc30635839_WPSOffice_Level2"/>
      <w:bookmarkStart w:id="330" w:name="_Toc619358009_WPSOffice_Level2"/>
      <w:bookmarkStart w:id="331" w:name="_Toc1841736623_WPSOffice_Level2"/>
      <w:bookmarkStart w:id="332" w:name="_Toc1816959511_WPSOffice_Level2"/>
      <w:bookmarkStart w:id="333" w:name="_Toc1334032310_WPSOffice_Level2"/>
      <w:r>
        <w:rPr>
          <w:rFonts w:hint="eastAsia" w:ascii="黑体" w:hAnsi="宋体" w:eastAsia="黑体" w:cs="黑体"/>
          <w:color w:val="333333"/>
          <w:sz w:val="32"/>
          <w:szCs w:val="32"/>
          <w:shd w:val="clear" w:color="auto" w:fill="FFFFFF"/>
        </w:rPr>
        <w:t>二、项目实施及管理情况</w:t>
      </w:r>
      <w:bookmarkEnd w:id="327"/>
      <w:bookmarkEnd w:id="328"/>
      <w:bookmarkEnd w:id="329"/>
      <w:bookmarkEnd w:id="330"/>
      <w:bookmarkEnd w:id="331"/>
      <w:bookmarkEnd w:id="332"/>
      <w:bookmarkEnd w:id="333"/>
    </w:p>
    <w:p>
      <w:pPr>
        <w:pageBreakBefore w:val="0"/>
        <w:kinsoku/>
        <w:wordWrap/>
        <w:overflowPunct/>
        <w:topLinePunct w:val="0"/>
        <w:bidi w:val="0"/>
        <w:adjustRightInd w:val="0"/>
        <w:snapToGrid w:val="0"/>
        <w:spacing w:line="640" w:lineRule="exact"/>
        <w:ind w:firstLine="720"/>
        <w:rPr>
          <w:rFonts w:ascii="楷体_GB2312" w:hAnsi="宋体" w:eastAsia="楷体_GB2312"/>
          <w:b/>
          <w:sz w:val="32"/>
          <w:szCs w:val="32"/>
        </w:rPr>
      </w:pPr>
      <w:r>
        <w:rPr>
          <w:rFonts w:hint="eastAsia" w:ascii="楷体_GB2312" w:hAnsi="宋体" w:eastAsia="楷体_GB2312"/>
          <w:b/>
          <w:sz w:val="32"/>
          <w:szCs w:val="32"/>
        </w:rPr>
        <w:t>（一）资金计划、到位及使用情况</w:t>
      </w:r>
    </w:p>
    <w:p>
      <w:pPr>
        <w:pageBreakBefore w:val="0"/>
        <w:kinsoku/>
        <w:wordWrap/>
        <w:overflowPunct/>
        <w:topLinePunct w:val="0"/>
        <w:bidi w:val="0"/>
        <w:spacing w:line="6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资金计划及到位。计划资金全部到位，资金到位率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，到位及时。</w:t>
      </w:r>
    </w:p>
    <w:p>
      <w:pPr>
        <w:pageBreakBefore w:val="0"/>
        <w:kinsoku/>
        <w:wordWrap/>
        <w:overflowPunct/>
        <w:topLinePunct w:val="0"/>
        <w:bidi w:val="0"/>
        <w:spacing w:line="64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资金使用。截至</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日该项目累计支出</w:t>
      </w:r>
      <w:r>
        <w:rPr>
          <w:rFonts w:ascii="仿宋_GB2312" w:hAnsi="仿宋_GB2312" w:eastAsia="仿宋_GB2312" w:cs="仿宋_GB2312"/>
          <w:sz w:val="32"/>
          <w:szCs w:val="32"/>
        </w:rPr>
        <w:t>66.55</w:t>
      </w:r>
      <w:r>
        <w:rPr>
          <w:rFonts w:hint="eastAsia" w:ascii="仿宋_GB2312" w:hAnsi="仿宋_GB2312" w:eastAsia="仿宋_GB2312" w:cs="仿宋_GB2312"/>
          <w:sz w:val="32"/>
          <w:szCs w:val="32"/>
        </w:rPr>
        <w:t>万元，其中发放校内奖学金</w:t>
      </w:r>
      <w:r>
        <w:rPr>
          <w:rFonts w:ascii="仿宋_GB2312" w:hAnsi="仿宋_GB2312" w:eastAsia="仿宋_GB2312" w:cs="仿宋_GB2312"/>
          <w:sz w:val="32"/>
          <w:szCs w:val="32"/>
        </w:rPr>
        <w:t>52.95</w:t>
      </w:r>
      <w:r>
        <w:rPr>
          <w:rFonts w:hint="eastAsia" w:ascii="仿宋_GB2312" w:hAnsi="仿宋_GB2312" w:eastAsia="仿宋_GB2312" w:cs="仿宋_GB2312"/>
          <w:sz w:val="32"/>
          <w:szCs w:val="32"/>
        </w:rPr>
        <w:t>万元、临时困难学生资助</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万元、勤工助学</w:t>
      </w:r>
      <w:r>
        <w:rPr>
          <w:rFonts w:ascii="仿宋_GB2312" w:hAnsi="仿宋_GB2312" w:eastAsia="仿宋_GB2312" w:cs="仿宋_GB2312"/>
          <w:sz w:val="32"/>
          <w:szCs w:val="32"/>
        </w:rPr>
        <w:t>10.6</w:t>
      </w:r>
      <w:r>
        <w:rPr>
          <w:rFonts w:hint="eastAsia" w:ascii="仿宋_GB2312" w:hAnsi="仿宋_GB2312" w:eastAsia="仿宋_GB2312" w:cs="仿宋_GB2312"/>
          <w:sz w:val="32"/>
          <w:szCs w:val="32"/>
        </w:rPr>
        <w:t>万元。</w:t>
      </w:r>
    </w:p>
    <w:p>
      <w:pPr>
        <w:pageBreakBefore w:val="0"/>
        <w:kinsoku/>
        <w:wordWrap/>
        <w:overflowPunct/>
        <w:topLinePunct w:val="0"/>
        <w:bidi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一是根据《四川商务职业学院学生奖学金评定及管理办法》要求，</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年发放校内一等奖学金</w:t>
      </w:r>
      <w:r>
        <w:rPr>
          <w:rFonts w:ascii="仿宋_GB2312" w:hAnsi="仿宋_GB2312" w:eastAsia="仿宋_GB2312" w:cs="仿宋_GB2312"/>
          <w:sz w:val="32"/>
          <w:szCs w:val="32"/>
        </w:rPr>
        <w:t>33</w:t>
      </w:r>
      <w:r>
        <w:rPr>
          <w:rFonts w:hint="eastAsia" w:ascii="仿宋_GB2312" w:hAnsi="仿宋_GB2312" w:eastAsia="仿宋_GB2312" w:cs="仿宋_GB2312"/>
          <w:sz w:val="32"/>
          <w:szCs w:val="32"/>
        </w:rPr>
        <w:t>人每生每年</w:t>
      </w:r>
      <w:r>
        <w:rPr>
          <w:rFonts w:ascii="仿宋_GB2312" w:hAnsi="仿宋_GB2312" w:eastAsia="仿宋_GB2312" w:cs="仿宋_GB2312"/>
          <w:sz w:val="32"/>
          <w:szCs w:val="32"/>
        </w:rPr>
        <w:t>2000</w:t>
      </w:r>
      <w:r>
        <w:rPr>
          <w:rFonts w:hint="eastAsia" w:ascii="仿宋_GB2312" w:hAnsi="仿宋_GB2312" w:eastAsia="仿宋_GB2312" w:cs="仿宋_GB2312"/>
          <w:sz w:val="32"/>
          <w:szCs w:val="32"/>
        </w:rPr>
        <w:t>元、二等奖学金</w:t>
      </w:r>
      <w:r>
        <w:rPr>
          <w:rFonts w:ascii="仿宋_GB2312" w:hAnsi="仿宋_GB2312" w:eastAsia="仿宋_GB2312" w:cs="仿宋_GB2312"/>
          <w:sz w:val="32"/>
          <w:szCs w:val="32"/>
        </w:rPr>
        <w:t>105</w:t>
      </w:r>
      <w:r>
        <w:rPr>
          <w:rFonts w:hint="eastAsia" w:ascii="仿宋_GB2312" w:hAnsi="仿宋_GB2312" w:eastAsia="仿宋_GB2312" w:cs="仿宋_GB2312"/>
          <w:sz w:val="32"/>
          <w:szCs w:val="32"/>
        </w:rPr>
        <w:t>人每生每年</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元、三等奖学金</w:t>
      </w:r>
      <w:r>
        <w:rPr>
          <w:rFonts w:ascii="仿宋_GB2312" w:hAnsi="仿宋_GB2312" w:eastAsia="仿宋_GB2312" w:cs="仿宋_GB2312"/>
          <w:sz w:val="32"/>
          <w:szCs w:val="32"/>
        </w:rPr>
        <w:t>695</w:t>
      </w:r>
      <w:r>
        <w:rPr>
          <w:rFonts w:hint="eastAsia" w:ascii="仿宋_GB2312" w:hAnsi="仿宋_GB2312" w:eastAsia="仿宋_GB2312" w:cs="仿宋_GB2312"/>
          <w:sz w:val="32"/>
          <w:szCs w:val="32"/>
        </w:rPr>
        <w:t>人每生每年</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元、优秀外国留学生奖学金</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人每生每年</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元，发放校内奖学金</w:t>
      </w:r>
      <w:r>
        <w:rPr>
          <w:rFonts w:ascii="仿宋_GB2312" w:hAnsi="仿宋_GB2312" w:eastAsia="仿宋_GB2312" w:cs="仿宋_GB2312"/>
          <w:sz w:val="32"/>
          <w:szCs w:val="32"/>
        </w:rPr>
        <w:t>52.95</w:t>
      </w:r>
      <w:r>
        <w:rPr>
          <w:rFonts w:hint="eastAsia" w:ascii="仿宋_GB2312" w:hAnsi="仿宋_GB2312" w:eastAsia="仿宋_GB2312" w:cs="仿宋_GB2312"/>
          <w:sz w:val="32"/>
          <w:szCs w:val="32"/>
        </w:rPr>
        <w:t>万元。</w:t>
      </w:r>
    </w:p>
    <w:p>
      <w:pPr>
        <w:pageBreakBefore w:val="0"/>
        <w:kinsoku/>
        <w:wordWrap/>
        <w:overflowPunct/>
        <w:topLinePunct w:val="0"/>
        <w:bidi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二是根据《四川商务职业学院家庭经济困难学生临时困难补助管理办法》要求，</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年资助临时困难学生</w:t>
      </w:r>
      <w:r>
        <w:rPr>
          <w:rFonts w:ascii="仿宋_GB2312" w:hAnsi="仿宋_GB2312" w:eastAsia="仿宋_GB2312" w:cs="仿宋_GB2312"/>
          <w:sz w:val="32"/>
          <w:szCs w:val="32"/>
        </w:rPr>
        <w:t>37</w:t>
      </w:r>
      <w:r>
        <w:rPr>
          <w:rFonts w:hint="eastAsia" w:ascii="仿宋_GB2312" w:hAnsi="仿宋_GB2312" w:eastAsia="仿宋_GB2312" w:cs="仿宋_GB2312"/>
          <w:sz w:val="32"/>
          <w:szCs w:val="32"/>
        </w:rPr>
        <w:t>人，资助标准根据突发事件造</w:t>
      </w:r>
      <w:r>
        <w:rPr>
          <w:rFonts w:hint="eastAsia" w:ascii="仿宋_GB2312" w:hAnsi="仿宋_GB2312" w:eastAsia="仿宋_GB2312" w:cs="仿宋_GB2312"/>
          <w:color w:val="auto"/>
          <w:sz w:val="32"/>
          <w:szCs w:val="32"/>
        </w:rPr>
        <w:t>成的困难程度分为</w:t>
      </w:r>
      <w:r>
        <w:rPr>
          <w:rFonts w:ascii="仿宋_GB2312" w:hAnsi="仿宋_GB2312" w:eastAsia="仿宋_GB2312" w:cs="仿宋_GB2312"/>
          <w:color w:val="auto"/>
          <w:sz w:val="32"/>
          <w:szCs w:val="32"/>
        </w:rPr>
        <w:t>500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元和</w:t>
      </w:r>
      <w:r>
        <w:rPr>
          <w:rFonts w:ascii="仿宋_GB2312" w:hAnsi="仿宋_GB2312" w:eastAsia="仿宋_GB2312" w:cs="仿宋_GB2312"/>
          <w:sz w:val="32"/>
          <w:szCs w:val="32"/>
        </w:rPr>
        <w:t>2000</w:t>
      </w:r>
      <w:r>
        <w:rPr>
          <w:rFonts w:hint="eastAsia" w:ascii="仿宋_GB2312" w:hAnsi="仿宋_GB2312" w:eastAsia="仿宋_GB2312" w:cs="仿宋_GB2312"/>
          <w:sz w:val="32"/>
          <w:szCs w:val="32"/>
        </w:rPr>
        <w:t>元，发放临时困难学生资助费用</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万元。</w:t>
      </w:r>
    </w:p>
    <w:p>
      <w:pPr>
        <w:pageBreakBefore w:val="0"/>
        <w:kinsoku/>
        <w:wordWrap/>
        <w:overflowPunct/>
        <w:topLinePunct w:val="0"/>
        <w:bidi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三是根据《四川商务职业学院学生勤工助学管理办法》要求，经学院校内用人部门考核，按月发放勤工助学学生工资，工资标准为每月</w:t>
      </w:r>
      <w:r>
        <w:rPr>
          <w:rFonts w:ascii="仿宋_GB2312" w:hAnsi="仿宋_GB2312" w:eastAsia="仿宋_GB2312" w:cs="仿宋_GB2312"/>
          <w:sz w:val="32"/>
          <w:szCs w:val="32"/>
        </w:rPr>
        <w:t>200-400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年共计发放</w:t>
      </w:r>
      <w:r>
        <w:rPr>
          <w:rFonts w:ascii="仿宋_GB2312" w:hAnsi="仿宋_GB2312" w:eastAsia="仿宋_GB2312" w:cs="仿宋_GB2312"/>
          <w:sz w:val="32"/>
          <w:szCs w:val="32"/>
        </w:rPr>
        <w:t>407</w:t>
      </w:r>
      <w:r>
        <w:rPr>
          <w:rFonts w:hint="eastAsia" w:ascii="仿宋_GB2312" w:hAnsi="仿宋_GB2312" w:eastAsia="仿宋_GB2312" w:cs="仿宋_GB2312"/>
          <w:sz w:val="32"/>
          <w:szCs w:val="32"/>
        </w:rPr>
        <w:t>人次，发放勤工助学费用</w:t>
      </w:r>
      <w:r>
        <w:rPr>
          <w:rFonts w:ascii="仿宋_GB2312" w:hAnsi="仿宋_GB2312" w:eastAsia="仿宋_GB2312" w:cs="仿宋_GB2312"/>
          <w:sz w:val="32"/>
          <w:szCs w:val="32"/>
        </w:rPr>
        <w:t>10.6</w:t>
      </w:r>
      <w:r>
        <w:rPr>
          <w:rFonts w:hint="eastAsia" w:ascii="仿宋_GB2312" w:hAnsi="仿宋_GB2312" w:eastAsia="仿宋_GB2312" w:cs="仿宋_GB2312"/>
          <w:sz w:val="32"/>
          <w:szCs w:val="32"/>
        </w:rPr>
        <w:t>万元。</w:t>
      </w:r>
    </w:p>
    <w:p>
      <w:pPr>
        <w:pageBreakBefore w:val="0"/>
        <w:kinsoku/>
        <w:wordWrap/>
        <w:overflowPunct/>
        <w:topLinePunct w:val="0"/>
        <w:bidi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项目支付依据合规合法，资金支付与预算相符。</w:t>
      </w:r>
    </w:p>
    <w:p>
      <w:pPr>
        <w:pageBreakBefore w:val="0"/>
        <w:kinsoku/>
        <w:wordWrap/>
        <w:overflowPunct/>
        <w:topLinePunct w:val="0"/>
        <w:bidi w:val="0"/>
        <w:adjustRightInd w:val="0"/>
        <w:snapToGrid w:val="0"/>
        <w:spacing w:line="640" w:lineRule="exact"/>
        <w:ind w:firstLine="720"/>
        <w:rPr>
          <w:rFonts w:ascii="楷体_GB2312" w:hAnsi="宋体" w:eastAsia="楷体_GB2312"/>
          <w:b/>
          <w:sz w:val="32"/>
          <w:szCs w:val="32"/>
        </w:rPr>
      </w:pPr>
      <w:r>
        <w:rPr>
          <w:rFonts w:hint="eastAsia" w:ascii="楷体_GB2312" w:hAnsi="宋体" w:eastAsia="楷体_GB2312"/>
          <w:b/>
          <w:sz w:val="32"/>
          <w:szCs w:val="32"/>
        </w:rPr>
        <w:t>（二）项目财务管理情况</w:t>
      </w:r>
    </w:p>
    <w:p>
      <w:pPr>
        <w:pageBreakBefore w:val="0"/>
        <w:kinsoku/>
        <w:wordWrap/>
        <w:overflowPunct/>
        <w:topLinePunct w:val="0"/>
        <w:bidi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该项目严格按照《四川商务职业学院学生资助经费管理办法》执行，由学校财务资产管理处、纪检监察审计处、学生资助管理中心及各系部共同负责管理。财务管理制度合规，财务处理及时会计核算规范。</w:t>
      </w:r>
    </w:p>
    <w:p>
      <w:pPr>
        <w:pageBreakBefore w:val="0"/>
        <w:kinsoku/>
        <w:wordWrap/>
        <w:overflowPunct/>
        <w:topLinePunct w:val="0"/>
        <w:bidi w:val="0"/>
        <w:adjustRightInd w:val="0"/>
        <w:snapToGrid w:val="0"/>
        <w:spacing w:line="640" w:lineRule="exact"/>
        <w:ind w:firstLine="720"/>
        <w:rPr>
          <w:rFonts w:ascii="楷体_GB2312" w:hAnsi="宋体" w:eastAsia="楷体_GB2312"/>
          <w:b/>
          <w:sz w:val="32"/>
          <w:szCs w:val="32"/>
        </w:rPr>
      </w:pPr>
      <w:r>
        <w:rPr>
          <w:rFonts w:hint="eastAsia" w:ascii="楷体_GB2312" w:hAnsi="宋体" w:eastAsia="楷体_GB2312"/>
          <w:b/>
          <w:sz w:val="32"/>
          <w:szCs w:val="32"/>
        </w:rPr>
        <w:t>（三）项目组织实施情况</w:t>
      </w:r>
    </w:p>
    <w:p>
      <w:pPr>
        <w:pStyle w:val="13"/>
        <w:pageBreakBefore w:val="0"/>
        <w:widowControl/>
        <w:shd w:val="clear" w:color="auto" w:fill="FFFFFF"/>
        <w:kinsoku/>
        <w:wordWrap/>
        <w:overflowPunct/>
        <w:topLinePunct w:val="0"/>
        <w:bidi w:val="0"/>
        <w:spacing w:before="0" w:beforeAutospacing="0" w:after="0" w:afterAutospacing="0" w:line="640" w:lineRule="exact"/>
        <w:ind w:firstLine="56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项目执行过程规范合理、遴选公开公平。整个过程严格按照学生资助工作领导小组、学生资助管理机构、系部认定工作组、班级（或年级、专业）评议小组的四级认定工作机制进行，并受全校学生和学院纪检部门监督，监督机制健全，有关资料的归档和整理及时并且完整。资金的发放严格按照政策的要求发放到学生指定的银行卡上，资金使用合理，监督有效，不存在漏洞。</w:t>
      </w:r>
    </w:p>
    <w:p>
      <w:pPr>
        <w:pStyle w:val="13"/>
        <w:pageBreakBefore w:val="0"/>
        <w:widowControl/>
        <w:shd w:val="clear" w:color="auto" w:fill="FFFFFF"/>
        <w:kinsoku/>
        <w:wordWrap/>
        <w:overflowPunct/>
        <w:topLinePunct w:val="0"/>
        <w:bidi w:val="0"/>
        <w:spacing w:before="0" w:beforeAutospacing="0" w:after="0" w:afterAutospacing="0" w:line="640" w:lineRule="exact"/>
        <w:ind w:firstLine="560"/>
        <w:rPr>
          <w:rFonts w:ascii="微软雅黑" w:hAnsi="微软雅黑" w:eastAsia="黑体" w:cs="微软雅黑"/>
          <w:color w:val="333333"/>
          <w:sz w:val="32"/>
          <w:szCs w:val="32"/>
        </w:rPr>
      </w:pPr>
      <w:bookmarkStart w:id="334" w:name="_Toc387413756_WPSOffice_Level2"/>
      <w:bookmarkStart w:id="335" w:name="_Toc457042908_WPSOffice_Level2"/>
      <w:bookmarkStart w:id="336" w:name="_Toc575153263_WPSOffice_Level2"/>
      <w:bookmarkStart w:id="337" w:name="_Toc63608823_WPSOffice_Level2"/>
      <w:bookmarkStart w:id="338" w:name="_Toc1933816226_WPSOffice_Level2"/>
      <w:bookmarkStart w:id="339" w:name="_Toc133612832_WPSOffice_Level2"/>
      <w:bookmarkStart w:id="340" w:name="_Toc88720630_WPSOffice_Level2"/>
      <w:r>
        <w:rPr>
          <w:rFonts w:hint="eastAsia" w:ascii="黑体" w:hAnsi="宋体" w:eastAsia="黑体" w:cs="黑体"/>
          <w:color w:val="333333"/>
          <w:sz w:val="32"/>
          <w:szCs w:val="32"/>
          <w:shd w:val="clear" w:color="auto" w:fill="FFFFFF"/>
        </w:rPr>
        <w:t>三、项目绩效情况</w:t>
      </w:r>
      <w:bookmarkEnd w:id="334"/>
      <w:bookmarkEnd w:id="335"/>
      <w:bookmarkEnd w:id="336"/>
      <w:bookmarkEnd w:id="337"/>
      <w:bookmarkEnd w:id="338"/>
      <w:bookmarkEnd w:id="339"/>
      <w:bookmarkEnd w:id="340"/>
    </w:p>
    <w:p>
      <w:pPr>
        <w:pageBreakBefore w:val="0"/>
        <w:kinsoku/>
        <w:wordWrap/>
        <w:overflowPunct/>
        <w:topLinePunct w:val="0"/>
        <w:bidi w:val="0"/>
        <w:spacing w:line="640" w:lineRule="exact"/>
        <w:ind w:left="562"/>
        <w:rPr>
          <w:rFonts w:hint="eastAsia" w:ascii="楷体_GB2312" w:hAnsi="宋体" w:eastAsia="楷体_GB2312"/>
          <w:b/>
          <w:sz w:val="32"/>
          <w:szCs w:val="32"/>
        </w:rPr>
      </w:pPr>
      <w:r>
        <w:rPr>
          <w:rFonts w:hint="eastAsia" w:ascii="楷体_GB2312" w:hAnsi="宋体" w:eastAsia="楷体_GB2312"/>
          <w:b/>
          <w:sz w:val="32"/>
          <w:szCs w:val="32"/>
        </w:rPr>
        <w:t>（一）项目完成情况</w:t>
      </w:r>
    </w:p>
    <w:p>
      <w:pPr>
        <w:pStyle w:val="13"/>
        <w:pageBreakBefore w:val="0"/>
        <w:widowControl/>
        <w:shd w:val="clear" w:color="auto" w:fill="FFFFFF"/>
        <w:kinsoku/>
        <w:wordWrap/>
        <w:overflowPunct/>
        <w:topLinePunct w:val="0"/>
        <w:bidi w:val="0"/>
        <w:spacing w:before="0" w:beforeAutospacing="0" w:after="0" w:afterAutospacing="0" w:line="640" w:lineRule="exact"/>
        <w:ind w:firstLine="56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该项目建立了我院校内学生资助体系，实施过程严格按照国家和学校政策要求，坚持“公平、公正、公开”的原则，专款专用，是在国家资助外对学生资助工作的有力补充。截至</w:t>
      </w:r>
      <w:r>
        <w:rPr>
          <w:rFonts w:ascii="仿宋_GB2312" w:hAnsi="仿宋_GB2312" w:eastAsia="仿宋_GB2312" w:cs="仿宋_GB2312"/>
          <w:kern w:val="2"/>
          <w:sz w:val="32"/>
          <w:szCs w:val="32"/>
        </w:rPr>
        <w:t>2020</w:t>
      </w:r>
      <w:r>
        <w:rPr>
          <w:rFonts w:hint="eastAsia" w:ascii="仿宋_GB2312" w:hAnsi="仿宋_GB2312" w:eastAsia="仿宋_GB2312" w:cs="仿宋_GB2312"/>
          <w:kern w:val="2"/>
          <w:sz w:val="32"/>
          <w:szCs w:val="32"/>
        </w:rPr>
        <w:t>年</w:t>
      </w:r>
      <w:r>
        <w:rPr>
          <w:rFonts w:ascii="仿宋_GB2312" w:hAnsi="仿宋_GB2312" w:eastAsia="仿宋_GB2312" w:cs="仿宋_GB2312"/>
          <w:kern w:val="2"/>
          <w:sz w:val="32"/>
          <w:szCs w:val="32"/>
        </w:rPr>
        <w:t>12</w:t>
      </w:r>
      <w:r>
        <w:rPr>
          <w:rFonts w:hint="eastAsia" w:ascii="仿宋_GB2312" w:hAnsi="仿宋_GB2312" w:eastAsia="仿宋_GB2312" w:cs="仿宋_GB2312"/>
          <w:kern w:val="2"/>
          <w:sz w:val="32"/>
          <w:szCs w:val="32"/>
        </w:rPr>
        <w:t>月</w:t>
      </w:r>
      <w:r>
        <w:rPr>
          <w:rFonts w:ascii="仿宋_GB2312" w:hAnsi="仿宋_GB2312" w:eastAsia="仿宋_GB2312" w:cs="仿宋_GB2312"/>
          <w:kern w:val="2"/>
          <w:sz w:val="32"/>
          <w:szCs w:val="32"/>
        </w:rPr>
        <w:t>31</w:t>
      </w:r>
      <w:r>
        <w:rPr>
          <w:rFonts w:hint="eastAsia" w:ascii="仿宋_GB2312" w:hAnsi="仿宋_GB2312" w:eastAsia="仿宋_GB2312" w:cs="仿宋_GB2312"/>
          <w:kern w:val="2"/>
          <w:sz w:val="32"/>
          <w:szCs w:val="32"/>
        </w:rPr>
        <w:t>日该项目累计支出</w:t>
      </w:r>
      <w:r>
        <w:rPr>
          <w:rFonts w:ascii="仿宋_GB2312" w:hAnsi="仿宋_GB2312" w:eastAsia="仿宋_GB2312" w:cs="仿宋_GB2312"/>
          <w:kern w:val="2"/>
          <w:sz w:val="32"/>
          <w:szCs w:val="32"/>
        </w:rPr>
        <w:t>66.55</w:t>
      </w:r>
      <w:r>
        <w:rPr>
          <w:rFonts w:hint="eastAsia" w:ascii="仿宋_GB2312" w:hAnsi="仿宋_GB2312" w:eastAsia="仿宋_GB2312" w:cs="仿宋_GB2312"/>
          <w:kern w:val="2"/>
          <w:sz w:val="32"/>
          <w:szCs w:val="32"/>
        </w:rPr>
        <w:t>万元，其中发放校内奖学金</w:t>
      </w:r>
      <w:r>
        <w:rPr>
          <w:rFonts w:ascii="仿宋_GB2312" w:hAnsi="仿宋_GB2312" w:eastAsia="仿宋_GB2312" w:cs="仿宋_GB2312"/>
          <w:kern w:val="2"/>
          <w:sz w:val="32"/>
          <w:szCs w:val="32"/>
        </w:rPr>
        <w:t>844</w:t>
      </w:r>
      <w:r>
        <w:rPr>
          <w:rFonts w:hint="eastAsia" w:ascii="仿宋_GB2312" w:hAnsi="仿宋_GB2312" w:eastAsia="仿宋_GB2312" w:cs="仿宋_GB2312"/>
          <w:kern w:val="2"/>
          <w:sz w:val="32"/>
          <w:szCs w:val="32"/>
        </w:rPr>
        <w:t>人，金额</w:t>
      </w:r>
      <w:r>
        <w:rPr>
          <w:rFonts w:ascii="仿宋_GB2312" w:hAnsi="仿宋_GB2312" w:eastAsia="仿宋_GB2312" w:cs="仿宋_GB2312"/>
          <w:kern w:val="2"/>
          <w:sz w:val="32"/>
          <w:szCs w:val="32"/>
        </w:rPr>
        <w:t>52.95</w:t>
      </w:r>
      <w:r>
        <w:rPr>
          <w:rFonts w:hint="eastAsia" w:ascii="仿宋_GB2312" w:hAnsi="仿宋_GB2312" w:eastAsia="仿宋_GB2312" w:cs="仿宋_GB2312"/>
          <w:kern w:val="2"/>
          <w:sz w:val="32"/>
          <w:szCs w:val="32"/>
        </w:rPr>
        <w:t>万元、临时困难学生资助</w:t>
      </w:r>
      <w:r>
        <w:rPr>
          <w:rFonts w:ascii="仿宋_GB2312" w:hAnsi="仿宋_GB2312" w:eastAsia="仿宋_GB2312" w:cs="仿宋_GB2312"/>
          <w:kern w:val="2"/>
          <w:sz w:val="32"/>
          <w:szCs w:val="32"/>
        </w:rPr>
        <w:t>37</w:t>
      </w:r>
      <w:r>
        <w:rPr>
          <w:rFonts w:hint="eastAsia" w:ascii="仿宋_GB2312" w:hAnsi="仿宋_GB2312" w:eastAsia="仿宋_GB2312" w:cs="仿宋_GB2312"/>
          <w:kern w:val="2"/>
          <w:sz w:val="32"/>
          <w:szCs w:val="32"/>
        </w:rPr>
        <w:t>人，金额</w:t>
      </w:r>
      <w:r>
        <w:rPr>
          <w:rFonts w:ascii="仿宋_GB2312" w:hAnsi="仿宋_GB2312" w:eastAsia="仿宋_GB2312" w:cs="仿宋_GB2312"/>
          <w:kern w:val="2"/>
          <w:sz w:val="32"/>
          <w:szCs w:val="32"/>
        </w:rPr>
        <w:t>3</w:t>
      </w:r>
      <w:r>
        <w:rPr>
          <w:rFonts w:hint="eastAsia" w:ascii="仿宋_GB2312" w:hAnsi="仿宋_GB2312" w:eastAsia="仿宋_GB2312" w:cs="仿宋_GB2312"/>
          <w:kern w:val="2"/>
          <w:sz w:val="32"/>
          <w:szCs w:val="32"/>
        </w:rPr>
        <w:t>万元、勤工助学</w:t>
      </w:r>
      <w:r>
        <w:rPr>
          <w:rFonts w:ascii="仿宋_GB2312" w:hAnsi="仿宋_GB2312" w:eastAsia="仿宋_GB2312" w:cs="仿宋_GB2312"/>
          <w:kern w:val="2"/>
          <w:sz w:val="32"/>
          <w:szCs w:val="32"/>
        </w:rPr>
        <w:t>407</w:t>
      </w:r>
      <w:r>
        <w:rPr>
          <w:rFonts w:hint="eastAsia" w:ascii="仿宋_GB2312" w:hAnsi="仿宋_GB2312" w:eastAsia="仿宋_GB2312" w:cs="仿宋_GB2312"/>
          <w:kern w:val="2"/>
          <w:sz w:val="32"/>
          <w:szCs w:val="32"/>
        </w:rPr>
        <w:t>人次，金额</w:t>
      </w:r>
      <w:r>
        <w:rPr>
          <w:rFonts w:ascii="仿宋_GB2312" w:hAnsi="仿宋_GB2312" w:eastAsia="仿宋_GB2312" w:cs="仿宋_GB2312"/>
          <w:kern w:val="2"/>
          <w:sz w:val="32"/>
          <w:szCs w:val="32"/>
        </w:rPr>
        <w:t>10.6</w:t>
      </w:r>
      <w:r>
        <w:rPr>
          <w:rFonts w:hint="eastAsia" w:ascii="仿宋_GB2312" w:hAnsi="仿宋_GB2312" w:eastAsia="仿宋_GB2312" w:cs="仿宋_GB2312"/>
          <w:kern w:val="2"/>
          <w:sz w:val="32"/>
          <w:szCs w:val="32"/>
        </w:rPr>
        <w:t>万元。所有经费发放全部到位，资助经费的使用不仅对学生提供了物质帮助，还对学生的综合能力得到锻炼，取得了良好的育人效果。</w:t>
      </w:r>
    </w:p>
    <w:p>
      <w:pPr>
        <w:pageBreakBefore w:val="0"/>
        <w:kinsoku/>
        <w:wordWrap/>
        <w:overflowPunct/>
        <w:topLinePunct w:val="0"/>
        <w:bidi w:val="0"/>
        <w:spacing w:line="640" w:lineRule="exact"/>
        <w:ind w:left="562"/>
        <w:rPr>
          <w:rFonts w:hint="eastAsia" w:ascii="楷体_GB2312" w:hAnsi="宋体" w:eastAsia="楷体_GB2312"/>
          <w:b/>
          <w:sz w:val="32"/>
          <w:szCs w:val="32"/>
        </w:rPr>
      </w:pPr>
      <w:r>
        <w:rPr>
          <w:rFonts w:hint="eastAsia" w:ascii="楷体_GB2312" w:hAnsi="宋体" w:eastAsia="楷体_GB2312"/>
          <w:b/>
          <w:sz w:val="32"/>
          <w:szCs w:val="32"/>
        </w:rPr>
        <w:t>（二）项目效益情况</w:t>
      </w:r>
    </w:p>
    <w:p>
      <w:pPr>
        <w:pStyle w:val="13"/>
        <w:pageBreakBefore w:val="0"/>
        <w:widowControl/>
        <w:shd w:val="clear" w:color="auto" w:fill="FFFFFF"/>
        <w:kinsoku/>
        <w:wordWrap/>
        <w:overflowPunct/>
        <w:topLinePunct w:val="0"/>
        <w:bidi w:val="0"/>
        <w:spacing w:before="0" w:beforeAutospacing="0" w:after="0" w:afterAutospacing="0" w:line="640" w:lineRule="exact"/>
        <w:ind w:firstLine="560"/>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该项目进一步完善了我院学生资助体系，</w:t>
      </w:r>
      <w:r>
        <w:rPr>
          <w:rFonts w:hint="eastAsia" w:ascii="仿宋_GB2312" w:hAnsi="微软雅黑" w:eastAsia="仿宋_GB2312" w:cs="仿宋_GB2312"/>
          <w:sz w:val="32"/>
          <w:szCs w:val="32"/>
          <w:shd w:val="clear" w:color="auto" w:fill="FFFFFF"/>
        </w:rPr>
        <w:t>对一般家庭经济困难学生和因突发情况导致家庭经济困难的学生有一定</w:t>
      </w:r>
      <w:r>
        <w:rPr>
          <w:rFonts w:hint="eastAsia" w:ascii="仿宋_GB2312" w:hAnsi="微软雅黑" w:eastAsia="仿宋_GB2312" w:cs="仿宋_GB2312"/>
          <w:color w:val="000000"/>
          <w:sz w:val="32"/>
          <w:szCs w:val="32"/>
          <w:shd w:val="clear" w:color="auto" w:fill="FFFFFF"/>
        </w:rPr>
        <w:t>的帮助，同时通过奖学金的形式，达到了奖优的目的，不仅减轻了家庭经济困难学生的就学压力，还在学生中树典型、立榜样，有助于良好学风的形成，得到了学生的一致认可，产生了良好的社会效益。</w:t>
      </w:r>
    </w:p>
    <w:p>
      <w:pPr>
        <w:pStyle w:val="13"/>
        <w:pageBreakBefore w:val="0"/>
        <w:widowControl/>
        <w:shd w:val="clear" w:color="auto" w:fill="FFFFFF"/>
        <w:kinsoku/>
        <w:wordWrap/>
        <w:overflowPunct/>
        <w:topLinePunct w:val="0"/>
        <w:bidi w:val="0"/>
        <w:spacing w:before="0" w:beforeAutospacing="0" w:after="0" w:afterAutospacing="0" w:line="640" w:lineRule="exact"/>
        <w:ind w:firstLine="560"/>
        <w:rPr>
          <w:rFonts w:ascii="黑体" w:hAnsi="宋体" w:eastAsia="黑体" w:cs="黑体"/>
          <w:color w:val="333333"/>
          <w:sz w:val="32"/>
          <w:szCs w:val="32"/>
          <w:shd w:val="clear" w:color="auto" w:fill="FFFFFF"/>
        </w:rPr>
      </w:pPr>
      <w:bookmarkStart w:id="341" w:name="_Toc1995897331_WPSOffice_Level2"/>
      <w:bookmarkStart w:id="342" w:name="_Toc982743773_WPSOffice_Level2"/>
      <w:bookmarkStart w:id="343" w:name="_Toc842346188_WPSOffice_Level2"/>
      <w:bookmarkStart w:id="344" w:name="_Toc2142098796_WPSOffice_Level2"/>
      <w:bookmarkStart w:id="345" w:name="_Toc891355894_WPSOffice_Level2"/>
      <w:bookmarkStart w:id="346" w:name="_Toc1255654934_WPSOffice_Level2"/>
      <w:bookmarkStart w:id="347" w:name="_Toc1988694283_WPSOffice_Level2"/>
      <w:r>
        <w:rPr>
          <w:rFonts w:hint="eastAsia" w:ascii="黑体" w:hAnsi="宋体" w:eastAsia="黑体" w:cs="黑体"/>
          <w:color w:val="333333"/>
          <w:sz w:val="32"/>
          <w:szCs w:val="32"/>
          <w:shd w:val="clear" w:color="auto" w:fill="FFFFFF"/>
        </w:rPr>
        <w:t>四、问题及建议</w:t>
      </w:r>
      <w:bookmarkEnd w:id="341"/>
      <w:bookmarkEnd w:id="342"/>
      <w:bookmarkEnd w:id="343"/>
      <w:bookmarkEnd w:id="344"/>
      <w:bookmarkEnd w:id="345"/>
      <w:bookmarkEnd w:id="346"/>
      <w:bookmarkEnd w:id="347"/>
    </w:p>
    <w:p>
      <w:pPr>
        <w:pStyle w:val="13"/>
        <w:pageBreakBefore w:val="0"/>
        <w:widowControl/>
        <w:shd w:val="clear" w:color="auto" w:fill="FFFFFF"/>
        <w:kinsoku/>
        <w:wordWrap/>
        <w:overflowPunct/>
        <w:topLinePunct w:val="0"/>
        <w:bidi w:val="0"/>
        <w:spacing w:before="0" w:beforeAutospacing="0" w:after="0" w:afterAutospacing="0" w:line="640" w:lineRule="exact"/>
        <w:ind w:firstLine="642" w:firstLineChars="200"/>
        <w:rPr>
          <w:rFonts w:ascii="仿宋_GB2312" w:hAnsi="微软雅黑" w:eastAsia="仿宋_GB2312" w:cs="仿宋_GB2312"/>
          <w:color w:val="000000"/>
          <w:sz w:val="32"/>
          <w:szCs w:val="32"/>
          <w:shd w:val="clear" w:color="auto" w:fill="FFFFFF"/>
        </w:rPr>
      </w:pPr>
      <w:r>
        <w:rPr>
          <w:rFonts w:hint="eastAsia" w:ascii="楷体_GB2312" w:hAnsi="宋体" w:eastAsia="楷体_GB2312" w:cs="Times New Roman"/>
          <w:b/>
          <w:kern w:val="2"/>
          <w:sz w:val="32"/>
          <w:szCs w:val="32"/>
          <w:lang w:val="en-US" w:eastAsia="zh-CN" w:bidi="ar-SA"/>
        </w:rPr>
        <w:t>（一）存在问题。</w:t>
      </w:r>
      <w:r>
        <w:rPr>
          <w:rFonts w:hint="eastAsia" w:ascii="仿宋_GB2312" w:hAnsi="微软雅黑" w:eastAsia="仿宋_GB2312" w:cs="仿宋_GB2312"/>
          <w:color w:val="000000"/>
          <w:sz w:val="32"/>
          <w:szCs w:val="32"/>
          <w:shd w:val="clear" w:color="auto" w:fill="FFFFFF"/>
        </w:rPr>
        <w:t>对受助优秀学生典型事迹宣传力度有待加强。</w:t>
      </w:r>
    </w:p>
    <w:p>
      <w:pPr>
        <w:pageBreakBefore w:val="0"/>
        <w:kinsoku/>
        <w:wordWrap/>
        <w:overflowPunct/>
        <w:topLinePunct w:val="0"/>
        <w:bidi w:val="0"/>
        <w:spacing w:line="640" w:lineRule="exact"/>
        <w:ind w:firstLine="642" w:firstLineChars="200"/>
        <w:rPr>
          <w:rFonts w:ascii="仿宋_GB2312" w:hAnsi="微软雅黑" w:eastAsia="仿宋_GB2312" w:cs="仿宋_GB2312"/>
          <w:color w:val="000000"/>
          <w:kern w:val="0"/>
          <w:sz w:val="32"/>
          <w:szCs w:val="32"/>
          <w:shd w:val="clear" w:color="auto" w:fill="FFFFFF"/>
        </w:rPr>
      </w:pPr>
      <w:r>
        <w:rPr>
          <w:rFonts w:hint="eastAsia" w:ascii="楷体_GB2312" w:hAnsi="宋体" w:eastAsia="楷体_GB2312" w:cs="Times New Roman"/>
          <w:b/>
          <w:kern w:val="2"/>
          <w:sz w:val="32"/>
          <w:szCs w:val="32"/>
          <w:lang w:val="en-US" w:eastAsia="zh-CN" w:bidi="ar-SA"/>
        </w:rPr>
        <w:t>（二）整改建议。</w:t>
      </w:r>
      <w:r>
        <w:rPr>
          <w:rFonts w:hint="eastAsia" w:ascii="仿宋_GB2312" w:hAnsi="微软雅黑" w:eastAsia="仿宋_GB2312" w:cs="仿宋_GB2312"/>
          <w:color w:val="000000"/>
          <w:kern w:val="0"/>
          <w:sz w:val="32"/>
          <w:szCs w:val="32"/>
          <w:shd w:val="clear" w:color="auto" w:fill="FFFFFF"/>
        </w:rPr>
        <w:t>加大培树受助学生典型事迹的宣传力度，积极倡导正能量。创新受助学生典型事迹宣传方式，拓宽宣传途径。鼓励学生向在学习、实践、道德、公益等方面有突出表现的受助学生学习，强化优秀学生典型的引领示范作用，调动学生学习的积极性，在全校营造良好学习氛围。</w:t>
      </w:r>
    </w:p>
    <w:p>
      <w:pPr>
        <w:pageBreakBefore w:val="0"/>
        <w:kinsoku/>
        <w:wordWrap/>
        <w:overflowPunct/>
        <w:topLinePunct w:val="0"/>
        <w:bidi w:val="0"/>
        <w:snapToGrid w:val="0"/>
        <w:spacing w:line="640" w:lineRule="exact"/>
        <w:ind w:firstLine="440" w:firstLineChars="100"/>
        <w:rPr>
          <w:rFonts w:ascii="方正小标宋简体" w:hAnsi="宋体" w:eastAsia="方正小标宋简体"/>
          <w:sz w:val="44"/>
          <w:szCs w:val="44"/>
        </w:rPr>
      </w:pPr>
      <w:r>
        <w:rPr>
          <w:rFonts w:ascii="方正小标宋简体" w:hAnsi="宋体" w:eastAsia="方正小标宋简体"/>
          <w:sz w:val="44"/>
          <w:szCs w:val="44"/>
        </w:rPr>
        <w:br w:type="page"/>
      </w:r>
    </w:p>
    <w:p>
      <w:pPr>
        <w:pageBreakBefore w:val="0"/>
        <w:kinsoku/>
        <w:wordWrap/>
        <w:overflowPunct/>
        <w:topLinePunct w:val="0"/>
        <w:bidi w:val="0"/>
        <w:snapToGrid w:val="0"/>
        <w:spacing w:line="640" w:lineRule="exact"/>
        <w:ind w:firstLine="440" w:firstLineChars="100"/>
        <w:rPr>
          <w:rFonts w:ascii="方正小标宋简体" w:hAnsi="宋体" w:eastAsia="方正小标宋简体"/>
          <w:sz w:val="44"/>
          <w:szCs w:val="44"/>
        </w:rPr>
      </w:pPr>
      <w:bookmarkStart w:id="348" w:name="_Toc680146103_WPSOffice_Level2"/>
      <w:bookmarkStart w:id="349" w:name="_Toc1552561979_WPSOffice_Level2"/>
      <w:bookmarkStart w:id="350" w:name="_Toc1091965450_WPSOffice_Level2"/>
      <w:bookmarkStart w:id="351" w:name="_Toc219642394_WPSOffice_Level2"/>
      <w:bookmarkStart w:id="352" w:name="_Toc82524927_WPSOffice_Level2"/>
      <w:bookmarkStart w:id="353" w:name="_Toc1034936614_WPSOffice_Level2"/>
      <w:bookmarkStart w:id="354" w:name="_Toc931357857_WPSOffice_Level2"/>
      <w:r>
        <w:rPr>
          <w:rFonts w:ascii="方正小标宋简体" w:hAnsi="宋体" w:eastAsia="方正小标宋简体"/>
          <w:sz w:val="44"/>
          <w:szCs w:val="44"/>
        </w:rPr>
        <w:t>2020</w:t>
      </w:r>
      <w:r>
        <w:rPr>
          <w:rFonts w:hint="eastAsia" w:ascii="方正小标宋简体" w:hAnsi="宋体" w:eastAsia="方正小标宋简体"/>
          <w:sz w:val="44"/>
          <w:szCs w:val="44"/>
        </w:rPr>
        <w:t>年部门预算项目支出绩效自评报告</w:t>
      </w:r>
      <w:bookmarkEnd w:id="348"/>
      <w:bookmarkEnd w:id="349"/>
      <w:bookmarkEnd w:id="350"/>
      <w:bookmarkEnd w:id="351"/>
      <w:bookmarkEnd w:id="352"/>
      <w:bookmarkEnd w:id="353"/>
      <w:bookmarkEnd w:id="354"/>
    </w:p>
    <w:p>
      <w:pPr>
        <w:pageBreakBefore w:val="0"/>
        <w:tabs>
          <w:tab w:val="left" w:pos="3885"/>
        </w:tabs>
        <w:kinsoku/>
        <w:wordWrap/>
        <w:overflowPunct/>
        <w:topLinePunct w:val="0"/>
        <w:bidi w:val="0"/>
        <w:snapToGrid w:val="0"/>
        <w:spacing w:line="640" w:lineRule="exact"/>
        <w:jc w:val="center"/>
        <w:rPr>
          <w:rFonts w:hAnsi="宋体" w:eastAsia="仿宋_GB2312"/>
          <w:sz w:val="32"/>
          <w:szCs w:val="32"/>
        </w:rPr>
      </w:pPr>
      <w:r>
        <w:rPr>
          <w:rFonts w:hint="eastAsia" w:hAnsi="宋体" w:eastAsia="仿宋_GB2312"/>
          <w:sz w:val="32"/>
          <w:szCs w:val="32"/>
        </w:rPr>
        <w:t>（学生管理成本）</w:t>
      </w:r>
    </w:p>
    <w:p>
      <w:pPr>
        <w:pageBreakBefore w:val="0"/>
        <w:numPr>
          <w:ilvl w:val="0"/>
          <w:numId w:val="3"/>
        </w:numPr>
        <w:kinsoku/>
        <w:wordWrap/>
        <w:overflowPunct/>
        <w:topLinePunct w:val="0"/>
        <w:bidi w:val="0"/>
        <w:spacing w:line="640" w:lineRule="exact"/>
        <w:ind w:left="319" w:leftChars="152" w:firstLine="320" w:firstLineChars="100"/>
        <w:rPr>
          <w:rFonts w:ascii="黑体" w:hAnsi="黑体" w:eastAsia="黑体" w:cs="黑体"/>
          <w:sz w:val="32"/>
          <w:szCs w:val="32"/>
        </w:rPr>
      </w:pPr>
      <w:bookmarkStart w:id="355" w:name="_Toc1876338162_WPSOffice_Level2"/>
      <w:bookmarkStart w:id="356" w:name="_Toc1097521835_WPSOffice_Level2"/>
      <w:bookmarkStart w:id="357" w:name="_Toc1136814096_WPSOffice_Level2"/>
      <w:bookmarkStart w:id="358" w:name="_Toc919893777_WPSOffice_Level2"/>
      <w:bookmarkStart w:id="359" w:name="_Toc1639179391_WPSOffice_Level2"/>
      <w:bookmarkStart w:id="360" w:name="_Toc1739676848_WPSOffice_Level2"/>
      <w:bookmarkStart w:id="361" w:name="_Toc1981713087_WPSOffice_Level2"/>
      <w:r>
        <w:rPr>
          <w:rFonts w:hint="eastAsia" w:ascii="黑体" w:hAnsi="黑体" w:eastAsia="黑体" w:cs="黑体"/>
          <w:sz w:val="32"/>
          <w:szCs w:val="32"/>
        </w:rPr>
        <w:t>项目概况</w:t>
      </w:r>
      <w:bookmarkEnd w:id="355"/>
      <w:bookmarkEnd w:id="356"/>
      <w:bookmarkEnd w:id="357"/>
      <w:bookmarkEnd w:id="358"/>
      <w:bookmarkEnd w:id="359"/>
      <w:bookmarkEnd w:id="360"/>
      <w:bookmarkEnd w:id="361"/>
    </w:p>
    <w:p>
      <w:pPr>
        <w:pageBreakBefore w:val="0"/>
        <w:kinsoku/>
        <w:wordWrap/>
        <w:overflowPunct/>
        <w:topLinePunct w:val="0"/>
        <w:bidi w:val="0"/>
        <w:spacing w:line="64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因新冠疫情影响，</w:t>
      </w:r>
      <w:r>
        <w:rPr>
          <w:rFonts w:ascii="仿宋_GB2312" w:hAnsi="宋体" w:eastAsia="仿宋_GB2312"/>
          <w:sz w:val="32"/>
          <w:szCs w:val="32"/>
        </w:rPr>
        <w:t>2020</w:t>
      </w:r>
      <w:r>
        <w:rPr>
          <w:rFonts w:hint="eastAsia" w:ascii="仿宋_GB2312" w:hAnsi="宋体" w:eastAsia="仿宋_GB2312"/>
          <w:sz w:val="32"/>
          <w:szCs w:val="32"/>
        </w:rPr>
        <w:t>年上半年全体学生都不在校，食堂价格平抑金、差旅费和部分活动费用没有使用，因而预算费用没有用完。本项目主要开展的工作是上半年网上学生活动及下半年的校园活动及毕业生档案邮寄和心理健康教育工作。</w:t>
      </w:r>
    </w:p>
    <w:p>
      <w:pPr>
        <w:pageBreakBefore w:val="0"/>
        <w:kinsoku/>
        <w:wordWrap/>
        <w:overflowPunct/>
        <w:topLinePunct w:val="0"/>
        <w:bidi w:val="0"/>
        <w:spacing w:line="640" w:lineRule="exact"/>
        <w:ind w:firstLine="642" w:firstLineChars="200"/>
        <w:rPr>
          <w:rFonts w:ascii="仿宋" w:hAnsi="仿宋" w:eastAsia="仿宋" w:cs="仿宋"/>
          <w:sz w:val="32"/>
          <w:szCs w:val="32"/>
        </w:rPr>
      </w:pPr>
      <w:r>
        <w:rPr>
          <w:rFonts w:hint="eastAsia" w:ascii="楷体_GB2312" w:hAnsi="仿宋_GB2312" w:eastAsia="楷体_GB2312" w:cs="仿宋_GB2312"/>
          <w:b/>
          <w:sz w:val="32"/>
          <w:szCs w:val="32"/>
        </w:rPr>
        <w:t>（一）项目资金申报及批复情况</w:t>
      </w:r>
    </w:p>
    <w:p>
      <w:pPr>
        <w:pageBreakBefore w:val="0"/>
        <w:kinsoku/>
        <w:wordWrap/>
        <w:overflowPunct/>
        <w:topLinePunct w:val="0"/>
        <w:bidi w:val="0"/>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rPr>
        <w:t>校园活动项目资金主要为第二课堂、校园活动及商道文化节、志愿者服务、指尖非遗</w:t>
      </w:r>
      <w:r>
        <w:rPr>
          <w:rFonts w:ascii="仿宋_GB2312" w:hAnsi="宋体" w:eastAsia="仿宋_GB2312"/>
          <w:sz w:val="32"/>
          <w:szCs w:val="32"/>
        </w:rPr>
        <w:t>1+1</w:t>
      </w:r>
      <w:r>
        <w:rPr>
          <w:rFonts w:hint="eastAsia" w:ascii="仿宋_GB2312" w:hAnsi="宋体" w:eastAsia="仿宋_GB2312"/>
          <w:sz w:val="32"/>
          <w:szCs w:val="32"/>
        </w:rPr>
        <w:t>活动、社会实践（三下乡）、档案邮寄和心理健康教育等专项经费为主体。对项目资金按照学院规定进行专项申报、由部门负责人、主管院领导、财务资产处、财务分管院领导在内控平台进行审批同时准备相关项目支撑材料及经费预算请相关部门负责人进行审批。根据批复情况进行物资和相关服务的购买与租赁，校园活动项目经费严格按照学院的相关制度执行，无违规违纪行为。</w:t>
      </w:r>
    </w:p>
    <w:p>
      <w:pPr>
        <w:pageBreakBefore w:val="0"/>
        <w:tabs>
          <w:tab w:val="left" w:pos="3885"/>
        </w:tabs>
        <w:kinsoku/>
        <w:wordWrap/>
        <w:overflowPunct/>
        <w:topLinePunct w:val="0"/>
        <w:bidi w:val="0"/>
        <w:snapToGrid w:val="0"/>
        <w:spacing w:line="640" w:lineRule="exact"/>
        <w:ind w:firstLine="642" w:firstLineChars="200"/>
        <w:jc w:val="left"/>
        <w:rPr>
          <w:rFonts w:ascii="楷体_GB2312" w:hAnsi="仿宋_GB2312" w:eastAsia="楷体_GB2312" w:cs="仿宋_GB2312"/>
          <w:b/>
          <w:sz w:val="32"/>
          <w:szCs w:val="32"/>
        </w:rPr>
      </w:pPr>
      <w:r>
        <w:rPr>
          <w:rFonts w:hint="eastAsia" w:ascii="楷体_GB2312" w:hAnsi="仿宋_GB2312" w:eastAsia="楷体_GB2312" w:cs="仿宋_GB2312"/>
          <w:b/>
          <w:sz w:val="32"/>
          <w:szCs w:val="32"/>
        </w:rPr>
        <w:t>（二）项目绩效目标</w:t>
      </w:r>
    </w:p>
    <w:p>
      <w:pPr>
        <w:pageBreakBefore w:val="0"/>
        <w:kinsoku/>
        <w:wordWrap/>
        <w:overflowPunct/>
        <w:topLinePunct w:val="0"/>
        <w:bidi w:val="0"/>
        <w:spacing w:line="64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校园文化活动方面，</w:t>
      </w:r>
      <w:r>
        <w:rPr>
          <w:rFonts w:ascii="仿宋_GB2312" w:hAnsi="宋体" w:eastAsia="仿宋_GB2312"/>
          <w:sz w:val="32"/>
          <w:szCs w:val="32"/>
        </w:rPr>
        <w:t>2020</w:t>
      </w:r>
      <w:r>
        <w:rPr>
          <w:rFonts w:hint="eastAsia" w:ascii="仿宋_GB2312" w:hAnsi="宋体" w:eastAsia="仿宋_GB2312"/>
          <w:sz w:val="32"/>
          <w:szCs w:val="32"/>
        </w:rPr>
        <w:t>年主要按照“形象立起来、支部活起来、服务实起来、品牌亮起来”的思路和要求，开展“活力团支部、魅力团干部、实力团成员”的“三力创建”活动；筑牢思想根基，紧紧围绕“为党育人、为国育才”的初心使命开展党建带团建的青年思想引领工作。开展“一学一做”</w:t>
      </w:r>
      <w:r>
        <w:rPr>
          <w:rFonts w:ascii="仿宋_GB2312" w:hAnsi="宋体" w:eastAsia="仿宋_GB2312"/>
          <w:sz w:val="32"/>
          <w:szCs w:val="32"/>
        </w:rPr>
        <w:t>---</w:t>
      </w:r>
      <w:r>
        <w:rPr>
          <w:rFonts w:hint="eastAsia" w:ascii="仿宋_GB2312" w:hAnsi="宋体" w:eastAsia="仿宋_GB2312"/>
          <w:sz w:val="32"/>
          <w:szCs w:val="32"/>
        </w:rPr>
        <w:t>学习总书记讲话，做合格共青团员活动，以</w:t>
      </w:r>
      <w:r>
        <w:rPr>
          <w:rFonts w:ascii="仿宋_GB2312" w:hAnsi="宋体" w:eastAsia="仿宋_GB2312"/>
          <w:sz w:val="32"/>
          <w:szCs w:val="32"/>
        </w:rPr>
        <w:t>"</w:t>
      </w:r>
      <w:r>
        <w:rPr>
          <w:rFonts w:hint="eastAsia" w:ascii="仿宋_GB2312" w:hAnsi="宋体" w:eastAsia="仿宋_GB2312"/>
          <w:sz w:val="32"/>
          <w:szCs w:val="32"/>
        </w:rPr>
        <w:t>三会两制一课</w:t>
      </w:r>
      <w:r>
        <w:rPr>
          <w:rFonts w:ascii="仿宋_GB2312" w:hAnsi="宋体" w:eastAsia="仿宋_GB2312"/>
          <w:sz w:val="32"/>
          <w:szCs w:val="32"/>
        </w:rPr>
        <w:t>"</w:t>
      </w:r>
      <w:r>
        <w:rPr>
          <w:rFonts w:hint="eastAsia" w:ascii="仿宋_GB2312" w:hAnsi="宋体" w:eastAsia="仿宋_GB2312"/>
          <w:sz w:val="32"/>
          <w:szCs w:val="32"/>
        </w:rPr>
        <w:t>等团员教育管理制度为基本依据，集中开展组织生活会、入团仪式等工作。组织开展团员志愿服务、</w:t>
      </w:r>
      <w:r>
        <w:rPr>
          <w:rFonts w:ascii="仿宋_GB2312" w:hAnsi="宋体" w:eastAsia="仿宋_GB2312"/>
          <w:sz w:val="32"/>
          <w:szCs w:val="32"/>
        </w:rPr>
        <w:t>"</w:t>
      </w:r>
      <w:r>
        <w:rPr>
          <w:rFonts w:hint="eastAsia" w:ascii="仿宋_GB2312" w:hAnsi="宋体" w:eastAsia="仿宋_GB2312"/>
          <w:sz w:val="32"/>
          <w:szCs w:val="32"/>
        </w:rPr>
        <w:t>不忘初心跟党走</w:t>
      </w:r>
      <w:r>
        <w:rPr>
          <w:rFonts w:ascii="仿宋_GB2312" w:hAnsi="宋体" w:eastAsia="仿宋_GB2312"/>
          <w:sz w:val="32"/>
          <w:szCs w:val="32"/>
        </w:rPr>
        <w:t>"</w:t>
      </w:r>
      <w:r>
        <w:rPr>
          <w:rFonts w:hint="eastAsia" w:ascii="仿宋_GB2312" w:hAnsi="宋体" w:eastAsia="仿宋_GB2312"/>
          <w:sz w:val="32"/>
          <w:szCs w:val="32"/>
        </w:rPr>
        <w:t>网络主题团日、团员先锋岗</w:t>
      </w:r>
      <w:r>
        <w:rPr>
          <w:rFonts w:ascii="仿宋_GB2312" w:hAnsi="宋体" w:eastAsia="仿宋_GB2312"/>
          <w:sz w:val="32"/>
          <w:szCs w:val="32"/>
        </w:rPr>
        <w:t>(</w:t>
      </w:r>
      <w:r>
        <w:rPr>
          <w:rFonts w:hint="eastAsia" w:ascii="仿宋_GB2312" w:hAnsi="宋体" w:eastAsia="仿宋_GB2312"/>
          <w:sz w:val="32"/>
          <w:szCs w:val="32"/>
        </w:rPr>
        <w:t>队</w:t>
      </w:r>
      <w:r>
        <w:rPr>
          <w:rFonts w:ascii="仿宋_GB2312" w:hAnsi="宋体" w:eastAsia="仿宋_GB2312"/>
          <w:sz w:val="32"/>
          <w:szCs w:val="32"/>
        </w:rPr>
        <w:t>)</w:t>
      </w:r>
      <w:r>
        <w:rPr>
          <w:rFonts w:hint="eastAsia" w:ascii="仿宋_GB2312" w:hAnsi="宋体" w:eastAsia="仿宋_GB2312"/>
          <w:sz w:val="32"/>
          <w:szCs w:val="32"/>
        </w:rPr>
        <w:t>创建活动，开展青年大学习“网上主题团课”通过构建“导学、讲学、研学、比学、践学、督学“</w:t>
      </w:r>
      <w:r>
        <w:fldChar w:fldCharType="begin"/>
      </w:r>
      <w:r>
        <w:instrText xml:space="preserve"> HYPERLINK "https://baike.so.com/doc/5329214-5564387.html" \t "https://baike.so.com/doc/_blank" </w:instrText>
      </w:r>
      <w:r>
        <w:fldChar w:fldCharType="separate"/>
      </w:r>
      <w:r>
        <w:rPr>
          <w:rFonts w:hint="eastAsia" w:ascii="仿宋_GB2312" w:hAnsi="宋体" w:eastAsia="仿宋_GB2312"/>
          <w:sz w:val="32"/>
          <w:szCs w:val="32"/>
        </w:rPr>
        <w:t>六位一体</w:t>
      </w:r>
      <w:r>
        <w:rPr>
          <w:rFonts w:hint="eastAsia" w:ascii="仿宋_GB2312" w:hAnsi="宋体" w:eastAsia="仿宋_GB2312"/>
          <w:sz w:val="32"/>
          <w:szCs w:val="32"/>
        </w:rPr>
        <w:fldChar w:fldCharType="end"/>
      </w:r>
      <w:r>
        <w:rPr>
          <w:rFonts w:hint="eastAsia" w:ascii="仿宋_GB2312" w:hAnsi="宋体" w:eastAsia="仿宋_GB2312"/>
          <w:sz w:val="32"/>
          <w:szCs w:val="32"/>
        </w:rPr>
        <w:t>的学习体系。同时持续开展学风养成月活动，“经典诵读”“中国传统节日振兴工程”“非遗文化进校园”“高雅艺术进校园”“商道论坛”等系列活动。建设书香校园，组织荐书、读书和优秀读者评选、“四阅见习声”等活动。</w:t>
      </w:r>
    </w:p>
    <w:p>
      <w:pPr>
        <w:pageBreakBefore w:val="0"/>
        <w:kinsoku/>
        <w:wordWrap/>
        <w:overflowPunct/>
        <w:topLinePunct w:val="0"/>
        <w:bidi w:val="0"/>
        <w:spacing w:line="64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邮寄学生档案方面</w:t>
      </w:r>
      <w:r>
        <w:rPr>
          <w:rFonts w:hint="eastAsia" w:ascii="仿宋_GB2312" w:hAnsi="宋体" w:eastAsia="仿宋_GB2312"/>
          <w:color w:val="auto"/>
          <w:sz w:val="32"/>
          <w:szCs w:val="32"/>
        </w:rPr>
        <w:t>，主要用于</w:t>
      </w:r>
      <w:r>
        <w:rPr>
          <w:rFonts w:ascii="仿宋_GB2312" w:hAnsi="宋体" w:eastAsia="仿宋_GB2312"/>
          <w:color w:val="auto"/>
          <w:sz w:val="32"/>
          <w:szCs w:val="32"/>
        </w:rPr>
        <w:t>2020</w:t>
      </w:r>
      <w:r>
        <w:rPr>
          <w:rFonts w:hint="eastAsia" w:ascii="仿宋_GB2312" w:hAnsi="宋体" w:eastAsia="仿宋_GB2312"/>
          <w:color w:val="auto"/>
          <w:sz w:val="32"/>
          <w:szCs w:val="32"/>
        </w:rPr>
        <w:t>届毕业生档案相关工作，包括档案邮寄费用和毕业生档案整理相关材料费用等。项目计划在</w:t>
      </w:r>
      <w:r>
        <w:rPr>
          <w:rFonts w:ascii="仿宋_GB2312" w:hAnsi="宋体" w:eastAsia="仿宋_GB2312"/>
          <w:color w:val="auto"/>
          <w:sz w:val="32"/>
          <w:szCs w:val="32"/>
        </w:rPr>
        <w:t>2020</w:t>
      </w:r>
      <w:r>
        <w:rPr>
          <w:rFonts w:hint="eastAsia" w:ascii="仿宋_GB2312" w:hAnsi="宋体" w:eastAsia="仿宋_GB2312"/>
          <w:color w:val="auto"/>
          <w:sz w:val="32"/>
          <w:szCs w:val="32"/>
        </w:rPr>
        <w:t>年</w:t>
      </w:r>
      <w:r>
        <w:rPr>
          <w:rFonts w:ascii="仿宋_GB2312" w:hAnsi="宋体" w:eastAsia="仿宋_GB2312"/>
          <w:color w:val="auto"/>
          <w:sz w:val="32"/>
          <w:szCs w:val="32"/>
        </w:rPr>
        <w:t>9</w:t>
      </w:r>
      <w:r>
        <w:rPr>
          <w:rFonts w:hint="eastAsia" w:ascii="仿宋_GB2312" w:hAnsi="宋体" w:eastAsia="仿宋_GB2312"/>
          <w:color w:val="auto"/>
          <w:sz w:val="32"/>
          <w:szCs w:val="32"/>
        </w:rPr>
        <w:t>月之前完成。</w:t>
      </w:r>
    </w:p>
    <w:p>
      <w:pPr>
        <w:pageBreakBefore w:val="0"/>
        <w:kinsoku/>
        <w:wordWrap/>
        <w:overflowPunct/>
        <w:topLinePunct w:val="0"/>
        <w:bidi w:val="0"/>
        <w:spacing w:line="640" w:lineRule="exact"/>
        <w:ind w:firstLine="640" w:firstLineChars="200"/>
        <w:rPr>
          <w:rFonts w:hint="eastAsia" w:ascii="仿宋_GB2312" w:hAnsi="宋体" w:eastAsia="仿宋_GB2312"/>
          <w:sz w:val="32"/>
          <w:szCs w:val="32"/>
          <w:lang w:eastAsia="zh-CN"/>
        </w:rPr>
      </w:pPr>
      <w:r>
        <w:rPr>
          <w:rFonts w:ascii="仿宋_GB2312" w:hAnsi="宋体" w:eastAsia="仿宋_GB2312"/>
          <w:sz w:val="32"/>
          <w:szCs w:val="32"/>
        </w:rPr>
        <w:t>3.</w:t>
      </w:r>
      <w:r>
        <w:rPr>
          <w:rFonts w:hint="eastAsia" w:ascii="仿宋_GB2312" w:hAnsi="宋体" w:eastAsia="仿宋_GB2312"/>
          <w:sz w:val="32"/>
          <w:szCs w:val="32"/>
        </w:rPr>
        <w:t>心理健康教育方面，通过“</w:t>
      </w:r>
      <w:r>
        <w:rPr>
          <w:rFonts w:ascii="仿宋_GB2312" w:hAnsi="宋体" w:eastAsia="仿宋_GB2312"/>
          <w:sz w:val="32"/>
          <w:szCs w:val="32"/>
        </w:rPr>
        <w:t>3</w:t>
      </w:r>
      <w:r>
        <w:rPr>
          <w:rFonts w:hint="eastAsia" w:ascii="仿宋_GB2312" w:hAnsi="宋体" w:eastAsia="仿宋_GB2312"/>
          <w:sz w:val="32"/>
          <w:szCs w:val="32"/>
        </w:rPr>
        <w:t>·</w:t>
      </w:r>
      <w:r>
        <w:rPr>
          <w:rFonts w:ascii="仿宋_GB2312" w:hAnsi="宋体" w:eastAsia="仿宋_GB2312"/>
          <w:sz w:val="32"/>
          <w:szCs w:val="32"/>
        </w:rPr>
        <w:t>25</w:t>
      </w:r>
      <w:r>
        <w:rPr>
          <w:rFonts w:hint="eastAsia" w:ascii="仿宋_GB2312" w:hAnsi="宋体" w:eastAsia="仿宋_GB2312"/>
          <w:sz w:val="32"/>
          <w:szCs w:val="32"/>
        </w:rPr>
        <w:t>”真爱我</w:t>
      </w:r>
      <w:r>
        <w:rPr>
          <w:rFonts w:ascii="仿宋_GB2312" w:hAnsi="宋体" w:eastAsia="仿宋_GB2312"/>
          <w:sz w:val="32"/>
          <w:szCs w:val="32"/>
        </w:rPr>
        <w:t> </w:t>
      </w:r>
      <w:r>
        <w:rPr>
          <w:rFonts w:hint="eastAsia" w:ascii="仿宋_GB2312" w:hAnsi="宋体" w:eastAsia="仿宋_GB2312"/>
          <w:sz w:val="32"/>
          <w:szCs w:val="32"/>
        </w:rPr>
        <w:t>、“</w:t>
      </w:r>
      <w:r>
        <w:rPr>
          <w:rFonts w:ascii="仿宋_GB2312" w:hAnsi="宋体" w:eastAsia="仿宋_GB2312"/>
          <w:sz w:val="32"/>
          <w:szCs w:val="32"/>
        </w:rPr>
        <w:t>5</w:t>
      </w:r>
      <w:r>
        <w:rPr>
          <w:rFonts w:hint="eastAsia" w:ascii="仿宋_GB2312" w:hAnsi="宋体" w:eastAsia="仿宋_GB2312"/>
          <w:sz w:val="32"/>
          <w:szCs w:val="32"/>
        </w:rPr>
        <w:t>·</w:t>
      </w:r>
      <w:r>
        <w:rPr>
          <w:rFonts w:ascii="仿宋_GB2312" w:hAnsi="宋体" w:eastAsia="仿宋_GB2312"/>
          <w:sz w:val="32"/>
          <w:szCs w:val="32"/>
        </w:rPr>
        <w:t>25</w:t>
      </w:r>
      <w:r>
        <w:rPr>
          <w:rFonts w:hint="eastAsia" w:ascii="仿宋_GB2312" w:hAnsi="宋体" w:eastAsia="仿宋_GB2312"/>
          <w:sz w:val="32"/>
          <w:szCs w:val="32"/>
        </w:rPr>
        <w:t>”我爱我、“</w:t>
      </w:r>
      <w:r>
        <w:rPr>
          <w:rFonts w:ascii="仿宋_GB2312" w:hAnsi="宋体" w:eastAsia="仿宋_GB2312"/>
          <w:sz w:val="32"/>
          <w:szCs w:val="32"/>
        </w:rPr>
        <w:t>10</w:t>
      </w:r>
      <w:r>
        <w:rPr>
          <w:rFonts w:hint="eastAsia" w:ascii="仿宋_GB2312" w:hAnsi="宋体" w:eastAsia="仿宋_GB2312"/>
          <w:sz w:val="32"/>
          <w:szCs w:val="32"/>
        </w:rPr>
        <w:t>·</w:t>
      </w:r>
      <w:r>
        <w:rPr>
          <w:rFonts w:ascii="仿宋_GB2312" w:hAnsi="宋体" w:eastAsia="仿宋_GB2312"/>
          <w:sz w:val="32"/>
          <w:szCs w:val="32"/>
        </w:rPr>
        <w:t>10</w:t>
      </w:r>
      <w:r>
        <w:rPr>
          <w:rFonts w:hint="eastAsia" w:ascii="仿宋_GB2312" w:hAnsi="宋体" w:eastAsia="仿宋_GB2312"/>
          <w:sz w:val="32"/>
          <w:szCs w:val="32"/>
        </w:rPr>
        <w:t>”世界精神卫生日等特殊含义的时间节点举办大型的大学生心理健康宣传教育品牌活动，充分发挥校园心理文化活动的重要作用，紧紧围绕学生的思想动态开展活动，培育学生积极心理品质，全方位促进大学生心理健康发展。树立优秀典型促进心理健康工作健康发展，通过“优秀心理辅导员”、“优秀心理委员”、“心理活动先进班集体”、“优秀心理观察员”、“优秀心协干部”等各类评优评奖活动，心理健康宣传实践典型等先锋模范作用，彰显积极心理品质在学生成长发展中的重要意义，引领学生主动成长。有组织、有计划地对专职教师进行心理健康教育工作培训，鼓励并支持其参加各类专业培训和案例督导；重点培养系部联系心理健康教育工作的辅导员，有计划地安排他们参加各类心理健康教育业务培训，并完善制度，逐步实现联系心理工作辅导员持证上岗。</w:t>
      </w:r>
    </w:p>
    <w:p>
      <w:pPr>
        <w:pageBreakBefore w:val="0"/>
        <w:kinsoku/>
        <w:wordWrap/>
        <w:overflowPunct/>
        <w:topLinePunct w:val="0"/>
        <w:bidi w:val="0"/>
        <w:spacing w:line="640" w:lineRule="exact"/>
        <w:ind w:firstLine="642" w:firstLineChars="200"/>
        <w:rPr>
          <w:rFonts w:ascii="仿宋" w:hAnsi="仿宋" w:eastAsia="仿宋" w:cs="仿宋"/>
          <w:sz w:val="32"/>
          <w:szCs w:val="32"/>
        </w:rPr>
      </w:pPr>
      <w:r>
        <w:rPr>
          <w:rFonts w:hint="eastAsia" w:ascii="楷体_GB2312" w:hAnsi="宋体" w:eastAsia="楷体_GB2312"/>
          <w:b/>
          <w:sz w:val="32"/>
          <w:szCs w:val="32"/>
        </w:rPr>
        <w:t>（三）项目资金申报相符性</w:t>
      </w:r>
    </w:p>
    <w:p>
      <w:pPr>
        <w:pageBreakBefore w:val="0"/>
        <w:kinsoku/>
        <w:wordWrap/>
        <w:overflowPunct/>
        <w:topLinePunct w:val="0"/>
        <w:bidi w:val="0"/>
        <w:spacing w:line="640" w:lineRule="exact"/>
        <w:ind w:firstLine="640" w:firstLineChars="200"/>
        <w:rPr>
          <w:rFonts w:hint="eastAsia" w:ascii="仿宋_GB2312" w:hAnsi="宋体" w:eastAsia="仿宋_GB2312"/>
          <w:sz w:val="32"/>
          <w:szCs w:val="32"/>
          <w:lang w:eastAsia="zh-CN"/>
        </w:rPr>
      </w:pPr>
      <w:r>
        <w:rPr>
          <w:rFonts w:hint="eastAsia" w:ascii="仿宋_GB2312" w:hAnsi="宋体" w:eastAsia="仿宋_GB2312"/>
          <w:b w:val="0"/>
          <w:bCs w:val="0"/>
          <w:color w:val="auto"/>
          <w:sz w:val="32"/>
          <w:szCs w:val="32"/>
        </w:rPr>
        <w:t>校园活动、档案邮寄和心理健康的申报内容与具体实施内容相符，所有的工作都是根据具体情况向学院提出预算申请，根据学院</w:t>
      </w:r>
      <w:r>
        <w:rPr>
          <w:rFonts w:hint="eastAsia" w:ascii="仿宋_GB2312" w:hAnsi="宋体" w:eastAsia="仿宋_GB2312"/>
          <w:sz w:val="32"/>
          <w:szCs w:val="32"/>
        </w:rPr>
        <w:t>给出的相应校园活动专项经费情况制定活动经费的详细预算报请相关部门和负责人进行审批，资金的申报合理可行。</w:t>
      </w:r>
    </w:p>
    <w:p>
      <w:pPr>
        <w:pageBreakBefore w:val="0"/>
        <w:kinsoku/>
        <w:wordWrap/>
        <w:overflowPunct/>
        <w:topLinePunct w:val="0"/>
        <w:bidi w:val="0"/>
        <w:spacing w:line="640" w:lineRule="exact"/>
        <w:ind w:firstLine="640" w:firstLineChars="200"/>
        <w:rPr>
          <w:rFonts w:hint="eastAsia" w:ascii="黑体" w:hAnsi="黑体" w:eastAsia="黑体" w:cs="黑体"/>
          <w:sz w:val="32"/>
          <w:szCs w:val="32"/>
          <w:lang w:eastAsia="zh-CN"/>
        </w:rPr>
      </w:pPr>
      <w:r>
        <w:rPr>
          <w:rFonts w:ascii="仿宋" w:hAnsi="仿宋" w:eastAsia="仿宋" w:cs="仿宋"/>
          <w:sz w:val="32"/>
          <w:szCs w:val="32"/>
        </w:rPr>
        <w:t xml:space="preserve">  </w:t>
      </w:r>
      <w:r>
        <w:rPr>
          <w:rFonts w:ascii="黑体" w:hAnsi="黑体" w:eastAsia="黑体" w:cs="黑体"/>
          <w:sz w:val="32"/>
          <w:szCs w:val="32"/>
        </w:rPr>
        <w:t xml:space="preserve"> </w:t>
      </w:r>
      <w:bookmarkStart w:id="362" w:name="_Toc1776683201_WPSOffice_Level2"/>
      <w:bookmarkStart w:id="363" w:name="_Toc395137575_WPSOffice_Level2"/>
      <w:bookmarkStart w:id="364" w:name="_Toc1157670510_WPSOffice_Level2"/>
      <w:bookmarkStart w:id="365" w:name="_Toc117014564_WPSOffice_Level2"/>
      <w:bookmarkStart w:id="366" w:name="_Toc1394785980_WPSOffice_Level2"/>
      <w:r>
        <w:rPr>
          <w:rFonts w:hint="eastAsia" w:ascii="黑体" w:hAnsi="黑体" w:eastAsia="黑体" w:cs="黑体"/>
          <w:sz w:val="32"/>
          <w:szCs w:val="32"/>
        </w:rPr>
        <w:t>二、项目实施及管理情况</w:t>
      </w:r>
      <w:bookmarkEnd w:id="362"/>
      <w:bookmarkEnd w:id="363"/>
      <w:bookmarkEnd w:id="364"/>
      <w:bookmarkEnd w:id="365"/>
      <w:bookmarkEnd w:id="366"/>
    </w:p>
    <w:p>
      <w:pPr>
        <w:pageBreakBefore w:val="0"/>
        <w:kinsoku/>
        <w:wordWrap/>
        <w:overflowPunct/>
        <w:topLinePunct w:val="0"/>
        <w:bidi w:val="0"/>
        <w:spacing w:line="640" w:lineRule="exact"/>
        <w:ind w:firstLine="642" w:firstLineChars="200"/>
        <w:rPr>
          <w:rFonts w:hint="eastAsia" w:ascii="楷体_GB2312" w:hAnsi="宋体" w:eastAsia="楷体_GB2312"/>
          <w:b/>
          <w:sz w:val="32"/>
          <w:szCs w:val="32"/>
          <w:lang w:val="zh-CN" w:eastAsia="zh-CN"/>
        </w:rPr>
      </w:pPr>
      <w:r>
        <w:rPr>
          <w:rFonts w:ascii="楷体_GB2312" w:hAnsi="宋体" w:eastAsia="楷体_GB2312"/>
          <w:b/>
          <w:sz w:val="32"/>
          <w:szCs w:val="32"/>
        </w:rPr>
        <w:t xml:space="preserve">  </w:t>
      </w:r>
      <w:r>
        <w:rPr>
          <w:rFonts w:hint="eastAsia" w:ascii="楷体_GB2312" w:hAnsi="宋体" w:eastAsia="楷体_GB2312"/>
          <w:b/>
          <w:sz w:val="32"/>
          <w:szCs w:val="32"/>
          <w:lang w:val="zh-CN"/>
        </w:rPr>
        <w:t>（一）资金计划、到位及使用情况</w:t>
      </w:r>
    </w:p>
    <w:p>
      <w:pPr>
        <w:pageBreakBefore w:val="0"/>
        <w:kinsoku/>
        <w:wordWrap/>
        <w:overflowPunct/>
        <w:topLinePunct w:val="0"/>
        <w:bidi w:val="0"/>
        <w:spacing w:line="64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资金到位时，能够满足各项校园活动及时有效的开展。</w:t>
      </w:r>
    </w:p>
    <w:p>
      <w:pPr>
        <w:pageBreakBefore w:val="0"/>
        <w:kinsoku/>
        <w:wordWrap/>
        <w:overflowPunct/>
        <w:topLinePunct w:val="0"/>
        <w:bidi w:val="0"/>
        <w:spacing w:line="64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资金使用。校园活动项目资金按照相关活动的专项资金进行使用，开展校园活动时需要购买商品和服务由使用部门会同财务资产处、监察审计处、工会等部门招标、询价、考察共同决定，支付依据合规合法，校园活动中资金支付与预算相符，严格按照学院的相关制度执行。</w:t>
      </w:r>
    </w:p>
    <w:p>
      <w:pPr>
        <w:pageBreakBefore w:val="0"/>
        <w:kinsoku/>
        <w:wordWrap/>
        <w:overflowPunct/>
        <w:topLinePunct w:val="0"/>
        <w:bidi w:val="0"/>
        <w:spacing w:line="640" w:lineRule="exact"/>
        <w:ind w:firstLine="642" w:firstLineChars="200"/>
        <w:rPr>
          <w:rFonts w:hint="eastAsia" w:ascii="楷体_GB2312" w:hAnsi="宋体" w:eastAsia="楷体_GB2312"/>
          <w:b/>
          <w:sz w:val="32"/>
          <w:szCs w:val="32"/>
          <w:lang w:eastAsia="zh-CN"/>
        </w:rPr>
      </w:pPr>
      <w:r>
        <w:rPr>
          <w:rFonts w:hint="eastAsia" w:ascii="楷体_GB2312" w:hAnsi="宋体" w:eastAsia="楷体_GB2312"/>
          <w:b/>
          <w:sz w:val="32"/>
          <w:szCs w:val="32"/>
        </w:rPr>
        <w:t>（二）项目财务管理情况</w:t>
      </w:r>
    </w:p>
    <w:p>
      <w:pPr>
        <w:pageBreakBefore w:val="0"/>
        <w:kinsoku/>
        <w:wordWrap/>
        <w:overflowPunct/>
        <w:topLinePunct w:val="0"/>
        <w:bidi w:val="0"/>
        <w:spacing w:line="640" w:lineRule="exact"/>
        <w:ind w:firstLine="640" w:firstLineChars="200"/>
        <w:rPr>
          <w:rFonts w:ascii="仿宋" w:hAnsi="仿宋" w:eastAsia="仿宋" w:cs="仿宋"/>
          <w:sz w:val="32"/>
          <w:szCs w:val="32"/>
        </w:rPr>
      </w:pPr>
      <w:r>
        <w:rPr>
          <w:rFonts w:hint="eastAsia" w:ascii="仿宋_GB2312" w:hAnsi="宋体" w:eastAsia="仿宋_GB2312"/>
          <w:sz w:val="32"/>
          <w:szCs w:val="32"/>
        </w:rPr>
        <w:t>校园活动项目财务管理是由学生处（团委）在上一年度提出申请，学院根据部门申请制定本年度专项经费预算，在本年度使用相关专项经费之前由部门提出详细的校园活动预算申请书，通过内控系统和纸质材料向部门负责人、部门主管副院长、财务资产处、财务主管副院长分级预算签署、多部门协同购买、学生处整理报账单、逐级签字报账。整个项目资金管理中，参与人员执行过程规范、财务资产处理及时、会计核算规范。</w:t>
      </w:r>
    </w:p>
    <w:p>
      <w:pPr>
        <w:pageBreakBefore w:val="0"/>
        <w:kinsoku/>
        <w:wordWrap/>
        <w:overflowPunct/>
        <w:topLinePunct w:val="0"/>
        <w:bidi w:val="0"/>
        <w:spacing w:line="640" w:lineRule="exact"/>
        <w:ind w:firstLine="642" w:firstLineChars="200"/>
        <w:rPr>
          <w:rFonts w:ascii="楷体_GB2312" w:hAnsi="宋体" w:eastAsia="楷体_GB2312"/>
          <w:b/>
          <w:sz w:val="32"/>
          <w:szCs w:val="32"/>
        </w:rPr>
      </w:pPr>
      <w:r>
        <w:rPr>
          <w:rFonts w:hint="eastAsia" w:ascii="楷体_GB2312" w:hAnsi="宋体" w:eastAsia="楷体_GB2312"/>
          <w:b/>
          <w:sz w:val="32"/>
          <w:szCs w:val="32"/>
        </w:rPr>
        <w:t>（三）项目组织实施情况</w:t>
      </w:r>
    </w:p>
    <w:p>
      <w:pPr>
        <w:pageBreakBefore w:val="0"/>
        <w:kinsoku/>
        <w:wordWrap/>
        <w:overflowPunct/>
        <w:topLinePunct w:val="0"/>
        <w:bidi w:val="0"/>
        <w:spacing w:line="64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校园活动项目所涉及的项目，按照学院相关规定购买商品和服务是使用部门会同财务资产处、监察审计处、工会等部门进行招标、询价、考察共同决定，主要依托京东、淘宝平台。根据金额大小，按照学院财务管理制度要求采取学生处</w:t>
      </w:r>
      <w:r>
        <w:rPr>
          <w:rFonts w:ascii="仿宋_GB2312" w:hAnsi="宋体" w:eastAsia="仿宋_GB2312"/>
          <w:sz w:val="32"/>
          <w:szCs w:val="32"/>
        </w:rPr>
        <w:t>(</w:t>
      </w:r>
      <w:r>
        <w:rPr>
          <w:rFonts w:hint="eastAsia" w:ascii="仿宋_GB2312" w:hAnsi="宋体" w:eastAsia="仿宋_GB2312"/>
          <w:sz w:val="32"/>
          <w:szCs w:val="32"/>
        </w:rPr>
        <w:t>团委</w:t>
      </w:r>
      <w:r>
        <w:rPr>
          <w:rFonts w:ascii="仿宋_GB2312" w:hAnsi="宋体" w:eastAsia="仿宋_GB2312"/>
          <w:sz w:val="32"/>
          <w:szCs w:val="32"/>
        </w:rPr>
        <w:t>)</w:t>
      </w:r>
      <w:r>
        <w:rPr>
          <w:rFonts w:hint="eastAsia" w:ascii="仿宋_GB2312" w:hAnsi="宋体" w:eastAsia="仿宋_GB2312"/>
          <w:sz w:val="32"/>
          <w:szCs w:val="32"/>
        </w:rPr>
        <w:t>双人办理、学生处</w:t>
      </w:r>
      <w:r>
        <w:rPr>
          <w:rFonts w:ascii="仿宋_GB2312" w:hAnsi="宋体" w:eastAsia="仿宋_GB2312"/>
          <w:sz w:val="32"/>
          <w:szCs w:val="32"/>
        </w:rPr>
        <w:t>(</w:t>
      </w:r>
      <w:r>
        <w:rPr>
          <w:rFonts w:hint="eastAsia" w:ascii="仿宋_GB2312" w:hAnsi="宋体" w:eastAsia="仿宋_GB2312"/>
          <w:sz w:val="32"/>
          <w:szCs w:val="32"/>
        </w:rPr>
        <w:t>团委</w:t>
      </w:r>
      <w:r>
        <w:rPr>
          <w:rFonts w:ascii="仿宋_GB2312" w:hAnsi="宋体" w:eastAsia="仿宋_GB2312"/>
          <w:sz w:val="32"/>
          <w:szCs w:val="32"/>
        </w:rPr>
        <w:t>)</w:t>
      </w:r>
      <w:r>
        <w:rPr>
          <w:rFonts w:hint="eastAsia" w:ascii="仿宋_GB2312" w:hAnsi="宋体" w:eastAsia="仿宋_GB2312"/>
          <w:sz w:val="32"/>
          <w:szCs w:val="32"/>
        </w:rPr>
        <w:t>与财务资产处双部门办理、</w:t>
      </w:r>
      <w:r>
        <w:rPr>
          <w:rFonts w:ascii="仿宋_GB2312" w:hAnsi="宋体" w:eastAsia="仿宋_GB2312"/>
          <w:sz w:val="32"/>
          <w:szCs w:val="32"/>
        </w:rPr>
        <w:t>3-4</w:t>
      </w:r>
      <w:r>
        <w:rPr>
          <w:rFonts w:hint="eastAsia" w:ascii="仿宋_GB2312" w:hAnsi="宋体" w:eastAsia="仿宋_GB2312"/>
          <w:sz w:val="32"/>
          <w:szCs w:val="32"/>
        </w:rPr>
        <w:t>个部门协同办理的方式。本项目中多为学生处（团委）与财务资产处、工会负责询价购买，纪检监审处负责监督流程的合规性。</w:t>
      </w:r>
    </w:p>
    <w:p>
      <w:pPr>
        <w:pageBreakBefore w:val="0"/>
        <w:kinsoku/>
        <w:wordWrap/>
        <w:overflowPunct/>
        <w:topLinePunct w:val="0"/>
        <w:bidi w:val="0"/>
        <w:spacing w:line="640" w:lineRule="exact"/>
        <w:ind w:firstLine="640" w:firstLineChars="200"/>
        <w:rPr>
          <w:rFonts w:hint="eastAsia" w:ascii="仿宋" w:hAnsi="仿宋" w:eastAsia="仿宋" w:cs="仿宋"/>
          <w:sz w:val="32"/>
          <w:szCs w:val="32"/>
          <w:lang w:eastAsia="zh-CN"/>
        </w:rPr>
      </w:pPr>
      <w:bookmarkStart w:id="367" w:name="_Toc987579076_WPSOffice_Level2"/>
      <w:bookmarkStart w:id="368" w:name="_Toc834605520_WPSOffice_Level2"/>
      <w:bookmarkStart w:id="369" w:name="_Toc1448097431_WPSOffice_Level2"/>
      <w:bookmarkStart w:id="370" w:name="_Toc1615060422_WPSOffice_Level2"/>
      <w:bookmarkStart w:id="371" w:name="_Toc190409350_WPSOffice_Level2"/>
      <w:r>
        <w:rPr>
          <w:rFonts w:hint="eastAsia" w:ascii="黑体" w:hAnsi="黑体" w:eastAsia="黑体" w:cs="黑体"/>
          <w:sz w:val="32"/>
          <w:szCs w:val="32"/>
        </w:rPr>
        <w:t>三、项目绩效情况</w:t>
      </w:r>
      <w:bookmarkEnd w:id="367"/>
      <w:bookmarkEnd w:id="368"/>
      <w:bookmarkEnd w:id="369"/>
      <w:bookmarkEnd w:id="370"/>
      <w:bookmarkEnd w:id="371"/>
      <w:r>
        <w:rPr>
          <w:rFonts w:ascii="仿宋" w:hAnsi="仿宋" w:eastAsia="仿宋" w:cs="仿宋"/>
          <w:sz w:val="32"/>
          <w:szCs w:val="32"/>
        </w:rPr>
        <w:t xml:space="preserve"> </w:t>
      </w:r>
    </w:p>
    <w:p>
      <w:pPr>
        <w:pageBreakBefore w:val="0"/>
        <w:kinsoku/>
        <w:wordWrap/>
        <w:overflowPunct/>
        <w:topLinePunct w:val="0"/>
        <w:bidi w:val="0"/>
        <w:spacing w:line="640" w:lineRule="exact"/>
        <w:ind w:firstLine="642" w:firstLineChars="200"/>
        <w:rPr>
          <w:rFonts w:hint="eastAsia" w:ascii="楷体_GB2312" w:hAnsi="宋体" w:eastAsia="楷体_GB2312"/>
          <w:b/>
          <w:sz w:val="32"/>
          <w:szCs w:val="32"/>
          <w:lang w:val="zh-CN" w:eastAsia="zh-CN"/>
        </w:rPr>
      </w:pPr>
      <w:r>
        <w:rPr>
          <w:rFonts w:hint="eastAsia" w:ascii="楷体_GB2312" w:hAnsi="宋体" w:eastAsia="楷体_GB2312"/>
          <w:b/>
          <w:sz w:val="32"/>
          <w:szCs w:val="32"/>
          <w:lang w:val="zh-CN"/>
        </w:rPr>
        <w:t>（一）项目完成情况</w:t>
      </w:r>
    </w:p>
    <w:p>
      <w:pPr>
        <w:pageBreakBefore w:val="0"/>
        <w:kinsoku/>
        <w:wordWrap/>
        <w:overflowPunct/>
        <w:topLinePunct w:val="0"/>
        <w:bidi w:val="0"/>
        <w:spacing w:line="64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校园活动严格按照计划保质保量完成，截止评价时点的已完成计划内校园活动内容，在资金成本控制方面遵循节约的原则严格控制成本。在资金的预算范围内完成校园活动育人目标的预期。</w:t>
      </w:r>
    </w:p>
    <w:p>
      <w:pPr>
        <w:pageBreakBefore w:val="0"/>
        <w:kinsoku/>
        <w:wordWrap/>
        <w:overflowPunct/>
        <w:topLinePunct w:val="0"/>
        <w:bidi w:val="0"/>
        <w:spacing w:line="640" w:lineRule="exact"/>
        <w:ind w:firstLine="642" w:firstLineChars="200"/>
        <w:rPr>
          <w:rFonts w:ascii="仿宋" w:hAnsi="仿宋" w:eastAsia="仿宋" w:cs="仿宋"/>
          <w:sz w:val="32"/>
          <w:szCs w:val="32"/>
        </w:rPr>
      </w:pPr>
      <w:r>
        <w:rPr>
          <w:rFonts w:hint="eastAsia" w:ascii="楷体_GB2312" w:hAnsi="宋体" w:eastAsia="楷体_GB2312"/>
          <w:b/>
          <w:sz w:val="32"/>
          <w:szCs w:val="32"/>
          <w:lang w:val="zh-CN"/>
        </w:rPr>
        <w:t>（二）项目效益情况</w:t>
      </w:r>
    </w:p>
    <w:p>
      <w:pPr>
        <w:pageBreakBefore w:val="0"/>
        <w:kinsoku/>
        <w:wordWrap/>
        <w:overflowPunct/>
        <w:topLinePunct w:val="0"/>
        <w:bidi w:val="0"/>
        <w:adjustRightInd w:val="0"/>
        <w:snapToGrid w:val="0"/>
        <w:spacing w:line="640" w:lineRule="exact"/>
        <w:ind w:firstLine="72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校园活动方面，通过校园活动项目进一步提升学生的综合素质和职业能力，彰显商道校园文化特色。为加强培育和践行社会主义核心价值观，引导学生不断增强“四个意识”、坚定“四个自信”、做到“两个维护”，为商院学生铸魂立根打好底色。①第</w:t>
      </w:r>
      <w:r>
        <w:rPr>
          <w:rFonts w:ascii="仿宋_GB2312" w:hAnsi="宋体" w:eastAsia="仿宋_GB2312"/>
          <w:sz w:val="32"/>
          <w:szCs w:val="32"/>
        </w:rPr>
        <w:t>14</w:t>
      </w:r>
      <w:r>
        <w:rPr>
          <w:rFonts w:hint="eastAsia" w:ascii="仿宋_GB2312" w:hAnsi="宋体" w:eastAsia="仿宋_GB2312"/>
          <w:sz w:val="32"/>
          <w:szCs w:val="32"/>
        </w:rPr>
        <w:t>届商道文化节闭幕式暨喜迎党代会传承商文化、奋进新时代文艺晚会在和盛校区隆重举行，包含育人成果汇报颁奖仪式以及学院艺术团、各系部艺术团、教师代表选送的精彩节目为我院</w:t>
      </w:r>
      <w:r>
        <w:rPr>
          <w:rFonts w:ascii="仿宋_GB2312" w:hAnsi="宋体" w:eastAsia="仿宋_GB2312"/>
          <w:sz w:val="32"/>
          <w:szCs w:val="32"/>
        </w:rPr>
        <w:t>2020</w:t>
      </w:r>
      <w:r>
        <w:rPr>
          <w:rFonts w:hint="eastAsia" w:ascii="仿宋_GB2312" w:hAnsi="宋体" w:eastAsia="仿宋_GB2312"/>
          <w:sz w:val="32"/>
          <w:szCs w:val="32"/>
        </w:rPr>
        <w:t>年商道文化节圆满闭幕画上句号。②</w:t>
      </w:r>
      <w:r>
        <w:rPr>
          <w:rFonts w:ascii="仿宋_GB2312" w:hAnsi="宋体" w:eastAsia="仿宋_GB2312"/>
          <w:sz w:val="32"/>
          <w:szCs w:val="32"/>
        </w:rPr>
        <w:t>2020</w:t>
      </w:r>
      <w:r>
        <w:rPr>
          <w:rFonts w:hint="eastAsia" w:ascii="仿宋_GB2312" w:hAnsi="宋体" w:eastAsia="仿宋_GB2312"/>
          <w:sz w:val="32"/>
          <w:szCs w:val="32"/>
        </w:rPr>
        <w:t>年我院社团经费主要用于两校区社联组织的正常运营、学院大型社团活动的开展、优秀社团活动的支持，具体如下：完成两校区社联常规运行及内部月度、学期、年度优秀的评选和奖励；完成七项大型社团活动：线上社团文化节（</w:t>
      </w:r>
      <w:r>
        <w:rPr>
          <w:rFonts w:ascii="仿宋_GB2312" w:hAnsi="宋体" w:eastAsia="仿宋_GB2312"/>
          <w:sz w:val="32"/>
          <w:szCs w:val="32"/>
        </w:rPr>
        <w:t>3</w:t>
      </w:r>
      <w:r>
        <w:rPr>
          <w:rFonts w:hint="eastAsia" w:ascii="仿宋_GB2312" w:hAnsi="宋体" w:eastAsia="仿宋_GB2312"/>
          <w:sz w:val="32"/>
          <w:szCs w:val="32"/>
        </w:rPr>
        <w:t>项主题活动</w:t>
      </w:r>
      <w:r>
        <w:rPr>
          <w:rFonts w:ascii="仿宋_GB2312" w:hAnsi="宋体" w:eastAsia="仿宋_GB2312"/>
          <w:sz w:val="32"/>
          <w:szCs w:val="32"/>
        </w:rPr>
        <w:t>4</w:t>
      </w:r>
      <w:r>
        <w:rPr>
          <w:rFonts w:hint="eastAsia" w:ascii="仿宋_GB2312" w:hAnsi="宋体" w:eastAsia="仿宋_GB2312"/>
          <w:sz w:val="32"/>
          <w:szCs w:val="32"/>
        </w:rPr>
        <w:t>个竞赛项目）、两校区社联干部</w:t>
      </w:r>
      <w:r>
        <w:rPr>
          <w:rFonts w:ascii="仿宋_GB2312" w:hAnsi="宋体" w:eastAsia="仿宋_GB2312"/>
          <w:sz w:val="32"/>
          <w:szCs w:val="32"/>
        </w:rPr>
        <w:t>6</w:t>
      </w:r>
      <w:r>
        <w:rPr>
          <w:rFonts w:hint="eastAsia" w:ascii="仿宋_GB2312" w:hAnsi="宋体" w:eastAsia="仿宋_GB2312"/>
          <w:sz w:val="32"/>
          <w:szCs w:val="32"/>
        </w:rPr>
        <w:t>月换届、</w:t>
      </w:r>
      <w:r>
        <w:rPr>
          <w:rFonts w:ascii="仿宋_GB2312" w:hAnsi="宋体" w:eastAsia="仿宋_GB2312"/>
          <w:sz w:val="32"/>
          <w:szCs w:val="32"/>
        </w:rPr>
        <w:t>9</w:t>
      </w:r>
      <w:r>
        <w:rPr>
          <w:rFonts w:hint="eastAsia" w:ascii="仿宋_GB2312" w:hAnsi="宋体" w:eastAsia="仿宋_GB2312"/>
          <w:sz w:val="32"/>
          <w:szCs w:val="32"/>
        </w:rPr>
        <w:t>月两校区社团社联换届、趣味运动会、禁毒文化周、民族文化节、经典诵读视频大赛；完成</w:t>
      </w:r>
      <w:r>
        <w:rPr>
          <w:rFonts w:ascii="仿宋_GB2312" w:hAnsi="宋体" w:eastAsia="仿宋_GB2312"/>
          <w:sz w:val="32"/>
          <w:szCs w:val="32"/>
        </w:rPr>
        <w:t>71</w:t>
      </w:r>
      <w:r>
        <w:rPr>
          <w:rFonts w:hint="eastAsia" w:ascii="仿宋_GB2312" w:hAnsi="宋体" w:eastAsia="仿宋_GB2312"/>
          <w:sz w:val="32"/>
          <w:szCs w:val="32"/>
        </w:rPr>
        <w:t>个社团中资金不足社团活动奖品支持，重点帮扶</w:t>
      </w:r>
      <w:r>
        <w:rPr>
          <w:rFonts w:ascii="仿宋_GB2312" w:hAnsi="宋体" w:eastAsia="仿宋_GB2312"/>
          <w:sz w:val="32"/>
          <w:szCs w:val="32"/>
        </w:rPr>
        <w:t>3</w:t>
      </w:r>
      <w:r>
        <w:rPr>
          <w:rFonts w:hint="eastAsia" w:ascii="仿宋_GB2312" w:hAnsi="宋体" w:eastAsia="仿宋_GB2312"/>
          <w:sz w:val="32"/>
          <w:szCs w:val="32"/>
        </w:rPr>
        <w:t>次社团大型活动。</w:t>
      </w:r>
    </w:p>
    <w:p>
      <w:pPr>
        <w:pageBreakBefore w:val="0"/>
        <w:kinsoku/>
        <w:wordWrap/>
        <w:overflowPunct/>
        <w:topLinePunct w:val="0"/>
        <w:bidi w:val="0"/>
        <w:adjustRightInd w:val="0"/>
        <w:snapToGrid w:val="0"/>
        <w:spacing w:line="640" w:lineRule="exact"/>
        <w:ind w:firstLine="72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档案邮寄方面，完成了</w:t>
      </w:r>
      <w:r>
        <w:rPr>
          <w:rFonts w:ascii="仿宋_GB2312" w:hAnsi="宋体" w:eastAsia="仿宋_GB2312"/>
          <w:sz w:val="32"/>
          <w:szCs w:val="32"/>
        </w:rPr>
        <w:t>2020</w:t>
      </w:r>
      <w:r>
        <w:rPr>
          <w:rFonts w:hint="eastAsia" w:ascii="仿宋_GB2312" w:hAnsi="宋体" w:eastAsia="仿宋_GB2312"/>
          <w:sz w:val="32"/>
          <w:szCs w:val="32"/>
        </w:rPr>
        <w:t>届毕业生档案邮寄工作，共邮寄包裹</w:t>
      </w:r>
      <w:r>
        <w:rPr>
          <w:rFonts w:ascii="仿宋_GB2312" w:hAnsi="宋体" w:eastAsia="仿宋_GB2312"/>
          <w:sz w:val="32"/>
          <w:szCs w:val="32"/>
        </w:rPr>
        <w:t>2469</w:t>
      </w:r>
      <w:r>
        <w:rPr>
          <w:rFonts w:hint="eastAsia" w:ascii="仿宋_GB2312" w:hAnsi="宋体" w:eastAsia="仿宋_GB2312"/>
          <w:sz w:val="32"/>
          <w:szCs w:val="32"/>
        </w:rPr>
        <w:t>件，其中转生本学生档案，按升本学校要求统一打包邮寄，邮寄包裹</w:t>
      </w:r>
      <w:r>
        <w:rPr>
          <w:rFonts w:ascii="仿宋_GB2312" w:hAnsi="宋体" w:eastAsia="仿宋_GB2312"/>
          <w:sz w:val="32"/>
          <w:szCs w:val="32"/>
        </w:rPr>
        <w:t>13</w:t>
      </w:r>
      <w:r>
        <w:rPr>
          <w:rFonts w:hint="eastAsia" w:ascii="仿宋_GB2312" w:hAnsi="宋体" w:eastAsia="仿宋_GB2312"/>
          <w:sz w:val="32"/>
          <w:szCs w:val="32"/>
        </w:rPr>
        <w:t>件，费用按包裹重量计算。在</w:t>
      </w:r>
      <w:r>
        <w:rPr>
          <w:rFonts w:ascii="仿宋_GB2312" w:hAnsi="宋体" w:eastAsia="仿宋_GB2312"/>
          <w:sz w:val="32"/>
          <w:szCs w:val="32"/>
        </w:rPr>
        <w:t>2020</w:t>
      </w:r>
      <w:r>
        <w:rPr>
          <w:rFonts w:hint="eastAsia" w:ascii="仿宋_GB2312" w:hAnsi="宋体" w:eastAsia="仿宋_GB2312"/>
          <w:sz w:val="32"/>
          <w:szCs w:val="32"/>
        </w:rPr>
        <w:t>年</w:t>
      </w:r>
      <w:r>
        <w:rPr>
          <w:rFonts w:ascii="仿宋_GB2312" w:hAnsi="宋体" w:eastAsia="仿宋_GB2312"/>
          <w:sz w:val="32"/>
          <w:szCs w:val="32"/>
        </w:rPr>
        <w:t>7</w:t>
      </w:r>
      <w:r>
        <w:rPr>
          <w:rFonts w:hint="eastAsia" w:ascii="仿宋_GB2312" w:hAnsi="宋体" w:eastAsia="仿宋_GB2312"/>
          <w:sz w:val="32"/>
          <w:szCs w:val="32"/>
        </w:rPr>
        <w:t>月之内</w:t>
      </w:r>
      <w:r>
        <w:rPr>
          <w:rFonts w:ascii="仿宋_GB2312" w:hAnsi="宋体" w:eastAsia="仿宋_GB2312"/>
          <w:sz w:val="32"/>
          <w:szCs w:val="32"/>
        </w:rPr>
        <w:t>100%</w:t>
      </w:r>
      <w:r>
        <w:rPr>
          <w:rFonts w:hint="eastAsia" w:ascii="仿宋_GB2312" w:hAnsi="宋体" w:eastAsia="仿宋_GB2312"/>
          <w:sz w:val="32"/>
          <w:szCs w:val="32"/>
        </w:rPr>
        <w:t>完成毕业生档案邮寄工作，且整个过程未出差错。</w:t>
      </w:r>
    </w:p>
    <w:p>
      <w:pPr>
        <w:pageBreakBefore w:val="0"/>
        <w:kinsoku/>
        <w:wordWrap/>
        <w:overflowPunct/>
        <w:topLinePunct w:val="0"/>
        <w:bidi w:val="0"/>
        <w:adjustRightInd w:val="0"/>
        <w:snapToGrid w:val="0"/>
        <w:spacing w:line="640" w:lineRule="exact"/>
        <w:ind w:firstLine="72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心理健康工作方面，①居家学习期间，对</w:t>
      </w:r>
      <w:r>
        <w:rPr>
          <w:rFonts w:ascii="仿宋_GB2312" w:hAnsi="宋体" w:eastAsia="仿宋_GB2312"/>
          <w:sz w:val="32"/>
          <w:szCs w:val="32"/>
        </w:rPr>
        <w:t>18</w:t>
      </w:r>
      <w:r>
        <w:rPr>
          <w:rFonts w:hint="eastAsia" w:ascii="仿宋_GB2312" w:hAnsi="宋体" w:eastAsia="仿宋_GB2312"/>
          <w:sz w:val="32"/>
          <w:szCs w:val="32"/>
        </w:rPr>
        <w:t>、</w:t>
      </w:r>
      <w:r>
        <w:rPr>
          <w:rFonts w:ascii="仿宋_GB2312" w:hAnsi="宋体" w:eastAsia="仿宋_GB2312"/>
          <w:sz w:val="32"/>
          <w:szCs w:val="32"/>
        </w:rPr>
        <w:t>19</w:t>
      </w:r>
      <w:r>
        <w:rPr>
          <w:rFonts w:hint="eastAsia" w:ascii="仿宋_GB2312" w:hAnsi="宋体" w:eastAsia="仿宋_GB2312"/>
          <w:sz w:val="32"/>
          <w:szCs w:val="32"/>
        </w:rPr>
        <w:t>级</w:t>
      </w:r>
      <w:r>
        <w:rPr>
          <w:rFonts w:ascii="仿宋_GB2312" w:hAnsi="宋体" w:eastAsia="仿宋_GB2312"/>
          <w:sz w:val="32"/>
          <w:szCs w:val="32"/>
        </w:rPr>
        <w:t>4925</w:t>
      </w:r>
      <w:r>
        <w:rPr>
          <w:rFonts w:hint="eastAsia" w:ascii="仿宋_GB2312" w:hAnsi="宋体" w:eastAsia="仿宋_GB2312"/>
          <w:sz w:val="32"/>
          <w:szCs w:val="32"/>
        </w:rPr>
        <w:t>名学生开展网上心理普查，全面掌握疫情期间学生心理状态及完善心理健康档案。②进行</w:t>
      </w:r>
      <w:r>
        <w:rPr>
          <w:rFonts w:ascii="仿宋_GB2312" w:hAnsi="宋体" w:eastAsia="仿宋_GB2312"/>
          <w:sz w:val="32"/>
          <w:szCs w:val="32"/>
        </w:rPr>
        <w:t>19</w:t>
      </w:r>
      <w:r>
        <w:rPr>
          <w:rFonts w:hint="eastAsia" w:ascii="仿宋_GB2312" w:hAnsi="宋体" w:eastAsia="仿宋_GB2312"/>
          <w:sz w:val="32"/>
          <w:szCs w:val="32"/>
        </w:rPr>
        <w:t>级学生</w:t>
      </w:r>
      <w:r>
        <w:rPr>
          <w:rFonts w:ascii="仿宋_GB2312" w:hAnsi="宋体" w:eastAsia="仿宋_GB2312"/>
          <w:sz w:val="32"/>
          <w:szCs w:val="32"/>
        </w:rPr>
        <w:t>2020-2021</w:t>
      </w:r>
      <w:r>
        <w:rPr>
          <w:rFonts w:hint="eastAsia" w:ascii="仿宋_GB2312" w:hAnsi="宋体" w:eastAsia="仿宋_GB2312"/>
          <w:sz w:val="32"/>
          <w:szCs w:val="32"/>
        </w:rPr>
        <w:t>第一学期开学心理普查工作。③开展三项健康教育宣传活动：开展“聚力同心，战役同行”第</w:t>
      </w:r>
      <w:r>
        <w:rPr>
          <w:rFonts w:ascii="仿宋_GB2312" w:hAnsi="宋体" w:eastAsia="仿宋_GB2312"/>
          <w:sz w:val="32"/>
          <w:szCs w:val="32"/>
        </w:rPr>
        <w:t>16</w:t>
      </w:r>
      <w:r>
        <w:rPr>
          <w:rFonts w:hint="eastAsia" w:ascii="仿宋_GB2312" w:hAnsi="宋体" w:eastAsia="仿宋_GB2312"/>
          <w:sz w:val="32"/>
          <w:szCs w:val="32"/>
        </w:rPr>
        <w:t>届</w:t>
      </w:r>
      <w:r>
        <w:rPr>
          <w:rFonts w:ascii="仿宋_GB2312" w:hAnsi="宋体" w:eastAsia="仿宋_GB2312"/>
          <w:sz w:val="32"/>
          <w:szCs w:val="32"/>
        </w:rPr>
        <w:t>5</w:t>
      </w:r>
      <w:r>
        <w:rPr>
          <w:rFonts w:hint="eastAsia" w:ascii="仿宋_GB2312" w:hAnsi="宋体" w:eastAsia="仿宋_GB2312"/>
          <w:sz w:val="32"/>
          <w:szCs w:val="32"/>
        </w:rPr>
        <w:t>·</w:t>
      </w:r>
      <w:r>
        <w:rPr>
          <w:rFonts w:ascii="仿宋_GB2312" w:hAnsi="宋体" w:eastAsia="仿宋_GB2312"/>
          <w:sz w:val="32"/>
          <w:szCs w:val="32"/>
        </w:rPr>
        <w:t>25</w:t>
      </w:r>
      <w:r>
        <w:rPr>
          <w:rFonts w:hint="eastAsia" w:ascii="仿宋_GB2312" w:hAnsi="宋体" w:eastAsia="仿宋_GB2312"/>
          <w:sz w:val="32"/>
          <w:szCs w:val="32"/>
        </w:rPr>
        <w:t>大学生心理健康教育宣传月；</w:t>
      </w:r>
      <w:r>
        <w:rPr>
          <w:rFonts w:ascii="仿宋_GB2312" w:hAnsi="宋体" w:eastAsia="仿宋_GB2312"/>
          <w:sz w:val="32"/>
          <w:szCs w:val="32"/>
        </w:rPr>
        <w:t>325</w:t>
      </w:r>
      <w:r>
        <w:rPr>
          <w:rFonts w:hint="eastAsia" w:ascii="仿宋_GB2312" w:hAnsi="宋体" w:eastAsia="仿宋_GB2312"/>
          <w:sz w:val="32"/>
          <w:szCs w:val="32"/>
        </w:rPr>
        <w:t>“真爱我”为题的小视频大赛，“以你之眼发现生命之美”摄影比赛；</w:t>
      </w:r>
      <w:r>
        <w:rPr>
          <w:rFonts w:ascii="仿宋_GB2312" w:hAnsi="宋体" w:eastAsia="仿宋_GB2312"/>
          <w:sz w:val="32"/>
          <w:szCs w:val="32"/>
        </w:rPr>
        <w:t>10</w:t>
      </w:r>
      <w:r>
        <w:rPr>
          <w:rFonts w:hint="eastAsia" w:ascii="仿宋_GB2312" w:hAnsi="宋体" w:eastAsia="仿宋_GB2312"/>
          <w:sz w:val="32"/>
          <w:szCs w:val="32"/>
        </w:rPr>
        <w:t>月</w:t>
      </w:r>
      <w:r>
        <w:rPr>
          <w:rFonts w:ascii="仿宋_GB2312" w:hAnsi="宋体" w:eastAsia="仿宋_GB2312"/>
          <w:sz w:val="32"/>
          <w:szCs w:val="32"/>
        </w:rPr>
        <w:t>10</w:t>
      </w:r>
      <w:r>
        <w:rPr>
          <w:rFonts w:hint="eastAsia" w:ascii="仿宋_GB2312" w:hAnsi="宋体" w:eastAsia="仿宋_GB2312"/>
          <w:sz w:val="32"/>
          <w:szCs w:val="32"/>
        </w:rPr>
        <w:t>日世界精神卫生日，策划组织了“</w:t>
      </w:r>
      <w:r>
        <w:rPr>
          <w:rFonts w:ascii="仿宋_GB2312" w:hAnsi="宋体" w:eastAsia="仿宋_GB2312"/>
          <w:sz w:val="32"/>
          <w:szCs w:val="32"/>
        </w:rPr>
        <w:t>we show</w:t>
      </w:r>
      <w:r>
        <w:rPr>
          <w:rFonts w:hint="eastAsia" w:ascii="仿宋_GB2312" w:hAnsi="宋体" w:eastAsia="仿宋_GB2312"/>
          <w:sz w:val="32"/>
          <w:szCs w:val="32"/>
        </w:rPr>
        <w:t>”</w:t>
      </w:r>
      <w:r>
        <w:rPr>
          <w:rFonts w:ascii="仿宋_GB2312" w:hAnsi="宋体" w:eastAsia="仿宋_GB2312"/>
          <w:sz w:val="32"/>
          <w:szCs w:val="32"/>
        </w:rPr>
        <w:t>——</w:t>
      </w:r>
      <w:r>
        <w:rPr>
          <w:rFonts w:hint="eastAsia" w:ascii="仿宋_GB2312" w:hAnsi="宋体" w:eastAsia="仿宋_GB2312"/>
          <w:sz w:val="32"/>
          <w:szCs w:val="32"/>
        </w:rPr>
        <w:t>我院首届寝室音乐视频大赛；开展“防艾知识知多少，竞技抢答全知道”</w:t>
      </w:r>
      <w:r>
        <w:rPr>
          <w:rFonts w:ascii="仿宋_GB2312" w:hAnsi="宋体" w:eastAsia="仿宋_GB2312"/>
          <w:sz w:val="32"/>
          <w:szCs w:val="32"/>
        </w:rPr>
        <w:t>12.1</w:t>
      </w:r>
      <w:r>
        <w:rPr>
          <w:rFonts w:hint="eastAsia" w:ascii="仿宋_GB2312" w:hAnsi="宋体" w:eastAsia="仿宋_GB2312"/>
          <w:sz w:val="32"/>
          <w:szCs w:val="32"/>
        </w:rPr>
        <w:t>世界艾滋病日宣传教育活动。④为学生工作系统的全体工作人员就《心理辅导中的基本会谈技术》和《疫情环境下辅导员的自我情绪关照》做专题培训；</w:t>
      </w:r>
      <w:r>
        <w:rPr>
          <w:rFonts w:ascii="仿宋_GB2312" w:hAnsi="宋体" w:eastAsia="仿宋_GB2312"/>
          <w:sz w:val="32"/>
          <w:szCs w:val="32"/>
        </w:rPr>
        <w:t>10</w:t>
      </w:r>
      <w:r>
        <w:rPr>
          <w:rFonts w:hint="eastAsia" w:ascii="仿宋_GB2312" w:hAnsi="宋体" w:eastAsia="仿宋_GB2312"/>
          <w:sz w:val="32"/>
          <w:szCs w:val="32"/>
        </w:rPr>
        <w:t>月</w:t>
      </w:r>
      <w:r>
        <w:rPr>
          <w:rFonts w:ascii="仿宋_GB2312" w:hAnsi="宋体" w:eastAsia="仿宋_GB2312"/>
          <w:sz w:val="32"/>
          <w:szCs w:val="32"/>
        </w:rPr>
        <w:t>10</w:t>
      </w:r>
      <w:r>
        <w:rPr>
          <w:rFonts w:hint="eastAsia" w:ascii="仿宋_GB2312" w:hAnsi="宋体" w:eastAsia="仿宋_GB2312"/>
          <w:sz w:val="32"/>
          <w:szCs w:val="32"/>
        </w:rPr>
        <w:t>日世界精神卫生日宣传教育周期间，对</w:t>
      </w:r>
      <w:r>
        <w:rPr>
          <w:rFonts w:ascii="仿宋_GB2312" w:hAnsi="宋体" w:eastAsia="仿宋_GB2312"/>
          <w:sz w:val="32"/>
          <w:szCs w:val="32"/>
        </w:rPr>
        <w:t>19</w:t>
      </w:r>
      <w:r>
        <w:rPr>
          <w:rFonts w:hint="eastAsia" w:ascii="仿宋_GB2312" w:hAnsi="宋体" w:eastAsia="仿宋_GB2312"/>
          <w:sz w:val="32"/>
          <w:szCs w:val="32"/>
        </w:rPr>
        <w:t>级</w:t>
      </w:r>
      <w:r>
        <w:rPr>
          <w:rFonts w:ascii="仿宋_GB2312" w:hAnsi="宋体" w:eastAsia="仿宋_GB2312"/>
          <w:sz w:val="32"/>
          <w:szCs w:val="32"/>
        </w:rPr>
        <w:t>3000</w:t>
      </w:r>
      <w:r>
        <w:rPr>
          <w:rFonts w:hint="eastAsia" w:ascii="仿宋_GB2312" w:hAnsi="宋体" w:eastAsia="仿宋_GB2312"/>
          <w:sz w:val="32"/>
          <w:szCs w:val="32"/>
        </w:rPr>
        <w:t>多名大学生开展了“生命健康教育”专题讲座；</w:t>
      </w:r>
      <w:r>
        <w:rPr>
          <w:rFonts w:ascii="仿宋_GB2312" w:hAnsi="宋体" w:eastAsia="仿宋_GB2312"/>
          <w:sz w:val="32"/>
          <w:szCs w:val="32"/>
        </w:rPr>
        <w:t>20</w:t>
      </w:r>
      <w:r>
        <w:rPr>
          <w:rFonts w:hint="eastAsia" w:ascii="仿宋_GB2312" w:hAnsi="宋体" w:eastAsia="仿宋_GB2312"/>
          <w:sz w:val="32"/>
          <w:szCs w:val="32"/>
        </w:rPr>
        <w:t>级新生全面开展入学适应的专题讲座；对寝室室长和心理委员开展“同伴危机识别”培训。</w:t>
      </w:r>
    </w:p>
    <w:p>
      <w:pPr>
        <w:pageBreakBefore w:val="0"/>
        <w:kinsoku/>
        <w:wordWrap/>
        <w:overflowPunct/>
        <w:topLinePunct w:val="0"/>
        <w:bidi w:val="0"/>
        <w:spacing w:line="640" w:lineRule="exact"/>
        <w:ind w:left="638" w:leftChars="304"/>
        <w:rPr>
          <w:rFonts w:hint="eastAsia" w:ascii="黑体" w:hAnsi="黑体" w:eastAsia="黑体" w:cs="黑体"/>
          <w:sz w:val="32"/>
          <w:szCs w:val="32"/>
          <w:lang w:eastAsia="zh-CN"/>
        </w:rPr>
      </w:pPr>
      <w:bookmarkStart w:id="372" w:name="_Toc1193478631_WPSOffice_Level2"/>
      <w:bookmarkStart w:id="373" w:name="_Toc229848947_WPSOffice_Level2"/>
      <w:bookmarkStart w:id="374" w:name="_Toc2064429679_WPSOffice_Level2"/>
      <w:bookmarkStart w:id="375" w:name="_Toc823967739_WPSOffice_Level2"/>
      <w:bookmarkStart w:id="376" w:name="_Toc499175970_WPSOffice_Level2"/>
      <w:bookmarkStart w:id="377" w:name="_Toc983944202_WPSOffice_Level2"/>
      <w:bookmarkStart w:id="378" w:name="_Toc1854830799_WPSOffice_Level2"/>
      <w:r>
        <w:rPr>
          <w:rFonts w:hint="eastAsia" w:ascii="黑体" w:hAnsi="黑体" w:eastAsia="黑体" w:cs="黑体"/>
          <w:sz w:val="32"/>
          <w:szCs w:val="32"/>
        </w:rPr>
        <w:t>四、问题及建议</w:t>
      </w:r>
      <w:bookmarkEnd w:id="372"/>
      <w:bookmarkEnd w:id="373"/>
      <w:bookmarkEnd w:id="374"/>
      <w:bookmarkEnd w:id="375"/>
      <w:bookmarkEnd w:id="376"/>
    </w:p>
    <w:p>
      <w:pPr>
        <w:pageBreakBefore w:val="0"/>
        <w:kinsoku/>
        <w:wordWrap/>
        <w:overflowPunct/>
        <w:topLinePunct w:val="0"/>
        <w:bidi w:val="0"/>
        <w:spacing w:line="640" w:lineRule="exact"/>
        <w:ind w:left="638" w:leftChars="304"/>
        <w:rPr>
          <w:rFonts w:ascii="仿宋" w:hAnsi="仿宋" w:eastAsia="仿宋" w:cs="仿宋"/>
          <w:sz w:val="32"/>
          <w:szCs w:val="32"/>
        </w:rPr>
      </w:pPr>
      <w:r>
        <w:rPr>
          <w:rFonts w:hint="eastAsia" w:ascii="楷体_GB2312" w:hAnsi="宋体" w:eastAsia="楷体_GB2312"/>
          <w:b/>
          <w:sz w:val="32"/>
          <w:szCs w:val="32"/>
          <w:lang w:val="zh-CN"/>
        </w:rPr>
        <w:t>（一）存在问题</w:t>
      </w:r>
      <w:bookmarkEnd w:id="377"/>
      <w:bookmarkEnd w:id="378"/>
    </w:p>
    <w:p>
      <w:pPr>
        <w:pageBreakBefore w:val="0"/>
        <w:kinsoku/>
        <w:wordWrap/>
        <w:overflowPunct/>
        <w:topLinePunct w:val="0"/>
        <w:bidi w:val="0"/>
        <w:adjustRightInd w:val="0"/>
        <w:snapToGrid w:val="0"/>
        <w:spacing w:line="640" w:lineRule="exact"/>
        <w:ind w:firstLine="72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校园活动方面，在校园活动中部分活动学生的参与度不够，校园活动的后期宣传、提炼总结不到位。</w:t>
      </w:r>
    </w:p>
    <w:p>
      <w:pPr>
        <w:pageBreakBefore w:val="0"/>
        <w:kinsoku/>
        <w:wordWrap/>
        <w:overflowPunct/>
        <w:topLinePunct w:val="0"/>
        <w:bidi w:val="0"/>
        <w:adjustRightInd w:val="0"/>
        <w:snapToGrid w:val="0"/>
        <w:spacing w:line="640" w:lineRule="exact"/>
        <w:ind w:firstLine="72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邮寄档案方面，有些毕业生对档案邮寄去向模糊不清。</w:t>
      </w:r>
    </w:p>
    <w:p>
      <w:pPr>
        <w:pageBreakBefore w:val="0"/>
        <w:kinsoku/>
        <w:wordWrap/>
        <w:overflowPunct/>
        <w:topLinePunct w:val="0"/>
        <w:bidi w:val="0"/>
        <w:adjustRightInd w:val="0"/>
        <w:snapToGrid w:val="0"/>
        <w:spacing w:line="640" w:lineRule="exact"/>
        <w:ind w:firstLine="72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心理健康工作方面，川教〔</w:t>
      </w:r>
      <w:r>
        <w:rPr>
          <w:rFonts w:ascii="仿宋_GB2312" w:hAnsi="宋体" w:eastAsia="仿宋_GB2312"/>
          <w:sz w:val="32"/>
          <w:szCs w:val="32"/>
        </w:rPr>
        <w:t>2005</w:t>
      </w:r>
      <w:r>
        <w:rPr>
          <w:rFonts w:hint="eastAsia" w:ascii="仿宋_GB2312" w:hAnsi="宋体" w:eastAsia="仿宋_GB2312"/>
          <w:sz w:val="32"/>
          <w:szCs w:val="32"/>
        </w:rPr>
        <w:t>〕</w:t>
      </w:r>
      <w:r>
        <w:rPr>
          <w:rFonts w:ascii="仿宋_GB2312" w:hAnsi="宋体" w:eastAsia="仿宋_GB2312"/>
          <w:sz w:val="32"/>
          <w:szCs w:val="32"/>
        </w:rPr>
        <w:t>219</w:t>
      </w:r>
      <w:r>
        <w:rPr>
          <w:rFonts w:hint="eastAsia" w:ascii="仿宋_GB2312" w:hAnsi="宋体" w:eastAsia="仿宋_GB2312"/>
          <w:sz w:val="32"/>
          <w:szCs w:val="32"/>
        </w:rPr>
        <w:t>号文件四川省教育厅关于印发《四川省大学生心理健康教育工作规范》的通知中工作保障条件一条明确指出，为确保大学生心理健康教育的经费投入，按照学生人均</w:t>
      </w:r>
      <w:r>
        <w:rPr>
          <w:rFonts w:ascii="仿宋_GB2312" w:hAnsi="宋体" w:eastAsia="仿宋_GB2312"/>
          <w:sz w:val="32"/>
          <w:szCs w:val="32"/>
        </w:rPr>
        <w:t>5</w:t>
      </w:r>
      <w:r>
        <w:rPr>
          <w:rFonts w:hint="eastAsia" w:ascii="仿宋_GB2312" w:hAnsi="宋体" w:eastAsia="仿宋_GB2312"/>
          <w:sz w:val="32"/>
          <w:szCs w:val="32"/>
        </w:rPr>
        <w:t>到</w:t>
      </w:r>
      <w:r>
        <w:rPr>
          <w:rFonts w:ascii="仿宋_GB2312" w:hAnsi="宋体" w:eastAsia="仿宋_GB2312"/>
          <w:sz w:val="32"/>
          <w:szCs w:val="32"/>
        </w:rPr>
        <w:t>10</w:t>
      </w:r>
      <w:r>
        <w:rPr>
          <w:rFonts w:hint="eastAsia" w:ascii="仿宋_GB2312" w:hAnsi="宋体" w:eastAsia="仿宋_GB2312"/>
          <w:sz w:val="32"/>
          <w:szCs w:val="32"/>
        </w:rPr>
        <w:t>元的标准划拨大学生心理健康教育工作的专项经费，并争取逐年有所增加。我院学生现总人数为</w:t>
      </w:r>
      <w:r>
        <w:rPr>
          <w:rFonts w:ascii="仿宋_GB2312" w:hAnsi="宋体" w:eastAsia="仿宋_GB2312"/>
          <w:sz w:val="32"/>
          <w:szCs w:val="32"/>
        </w:rPr>
        <w:t>10000</w:t>
      </w:r>
      <w:r>
        <w:rPr>
          <w:rFonts w:hint="eastAsia" w:ascii="仿宋_GB2312" w:hAnsi="宋体" w:eastAsia="仿宋_GB2312"/>
          <w:sz w:val="32"/>
          <w:szCs w:val="32"/>
        </w:rPr>
        <w:t>人左右，目前专项资金为每年</w:t>
      </w:r>
      <w:r>
        <w:rPr>
          <w:rFonts w:ascii="仿宋_GB2312" w:hAnsi="宋体" w:eastAsia="仿宋_GB2312"/>
          <w:sz w:val="32"/>
          <w:szCs w:val="32"/>
        </w:rPr>
        <w:t>6</w:t>
      </w:r>
      <w:r>
        <w:rPr>
          <w:rFonts w:hint="eastAsia" w:ascii="仿宋_GB2312" w:hAnsi="宋体" w:eastAsia="仿宋_GB2312"/>
          <w:sz w:val="32"/>
          <w:szCs w:val="32"/>
        </w:rPr>
        <w:t>万，因为专项工作经费有限，大量用于开展学生活动后，可支持师资队伍成长的占比极小，心理健康工作的开展局限性突出</w:t>
      </w:r>
      <w:r>
        <w:rPr>
          <w:rFonts w:ascii="仿宋_GB2312" w:hAnsi="宋体" w:eastAsia="仿宋_GB2312"/>
          <w:sz w:val="32"/>
          <w:szCs w:val="32"/>
        </w:rPr>
        <w:t>,</w:t>
      </w:r>
      <w:r>
        <w:rPr>
          <w:rFonts w:hint="eastAsia" w:ascii="仿宋_GB2312" w:hAnsi="宋体" w:eastAsia="仿宋_GB2312"/>
          <w:sz w:val="32"/>
          <w:szCs w:val="32"/>
        </w:rPr>
        <w:t>无法满足心理健康教师这一特殊岗位的成长要求。</w:t>
      </w:r>
    </w:p>
    <w:p>
      <w:pPr>
        <w:pageBreakBefore w:val="0"/>
        <w:kinsoku/>
        <w:wordWrap/>
        <w:overflowPunct/>
        <w:topLinePunct w:val="0"/>
        <w:bidi w:val="0"/>
        <w:spacing w:line="640" w:lineRule="exact"/>
        <w:ind w:left="638" w:leftChars="304"/>
        <w:rPr>
          <w:rFonts w:ascii="楷体_GB2312" w:hAnsi="宋体" w:eastAsia="楷体_GB2312"/>
          <w:b/>
          <w:sz w:val="32"/>
          <w:szCs w:val="32"/>
          <w:lang w:val="zh-CN"/>
        </w:rPr>
      </w:pPr>
      <w:r>
        <w:rPr>
          <w:rFonts w:hint="eastAsia" w:ascii="楷体_GB2312" w:hAnsi="宋体" w:eastAsia="楷体_GB2312"/>
          <w:b/>
          <w:sz w:val="32"/>
          <w:szCs w:val="32"/>
        </w:rPr>
        <w:t>（二）整改</w:t>
      </w:r>
      <w:r>
        <w:rPr>
          <w:rFonts w:hint="eastAsia" w:ascii="楷体_GB2312" w:hAnsi="宋体" w:eastAsia="楷体_GB2312"/>
          <w:b/>
          <w:sz w:val="32"/>
          <w:szCs w:val="32"/>
          <w:lang w:val="zh-CN"/>
        </w:rPr>
        <w:t>建议</w:t>
      </w:r>
    </w:p>
    <w:p>
      <w:pPr>
        <w:pageBreakBefore w:val="0"/>
        <w:kinsoku/>
        <w:wordWrap/>
        <w:overflowPunct/>
        <w:topLinePunct w:val="0"/>
        <w:bidi w:val="0"/>
        <w:adjustRightInd w:val="0"/>
        <w:snapToGrid w:val="0"/>
        <w:spacing w:line="640" w:lineRule="exact"/>
        <w:ind w:firstLine="720"/>
        <w:rPr>
          <w:rFonts w:ascii="仿宋_GB2312" w:hAnsi="宋体" w:eastAsia="仿宋_GB2312"/>
          <w:sz w:val="32"/>
          <w:szCs w:val="32"/>
          <w:lang w:val="zh-CN"/>
        </w:rPr>
      </w:pPr>
      <w:r>
        <w:rPr>
          <w:rFonts w:ascii="仿宋_GB2312" w:hAnsi="宋体" w:eastAsia="仿宋_GB2312"/>
          <w:sz w:val="32"/>
          <w:szCs w:val="32"/>
        </w:rPr>
        <w:t>1.</w:t>
      </w:r>
      <w:r>
        <w:rPr>
          <w:rFonts w:hint="eastAsia" w:ascii="仿宋_GB2312" w:hAnsi="宋体" w:eastAsia="仿宋_GB2312"/>
          <w:sz w:val="32"/>
          <w:szCs w:val="32"/>
          <w:lang w:val="zh-CN"/>
        </w:rPr>
        <w:t>通过采取对</w:t>
      </w:r>
      <w:r>
        <w:rPr>
          <w:rFonts w:hint="eastAsia" w:ascii="仿宋_GB2312" w:hAnsi="宋体" w:eastAsia="仿宋_GB2312"/>
          <w:sz w:val="32"/>
          <w:szCs w:val="32"/>
        </w:rPr>
        <w:t>各系团总支、各班团支部以及</w:t>
      </w:r>
      <w:r>
        <w:rPr>
          <w:rFonts w:hint="eastAsia" w:ascii="仿宋_GB2312" w:hAnsi="宋体" w:eastAsia="仿宋_GB2312"/>
          <w:sz w:val="32"/>
          <w:szCs w:val="32"/>
          <w:lang w:val="zh-CN"/>
        </w:rPr>
        <w:t>学生走访、谈话等形式，旨在了解学生</w:t>
      </w:r>
      <w:r>
        <w:rPr>
          <w:rFonts w:hint="eastAsia" w:ascii="仿宋_GB2312" w:hAnsi="宋体" w:eastAsia="仿宋_GB2312"/>
          <w:sz w:val="32"/>
          <w:szCs w:val="32"/>
        </w:rPr>
        <w:t>对校园活动需求</w:t>
      </w:r>
      <w:r>
        <w:rPr>
          <w:rFonts w:hint="eastAsia" w:ascii="仿宋_GB2312" w:hAnsi="宋体" w:eastAsia="仿宋_GB2312"/>
          <w:sz w:val="32"/>
          <w:szCs w:val="32"/>
          <w:lang w:val="zh-CN"/>
        </w:rPr>
        <w:t>情况；充分利用</w:t>
      </w:r>
      <w:r>
        <w:rPr>
          <w:rFonts w:hint="eastAsia" w:ascii="仿宋_GB2312" w:hAnsi="宋体" w:eastAsia="仿宋_GB2312"/>
          <w:sz w:val="32"/>
          <w:szCs w:val="32"/>
        </w:rPr>
        <w:t>新媒体</w:t>
      </w:r>
      <w:r>
        <w:rPr>
          <w:rFonts w:hint="eastAsia" w:ascii="仿宋_GB2312" w:hAnsi="宋体" w:eastAsia="仿宋_GB2312"/>
          <w:sz w:val="32"/>
          <w:szCs w:val="32"/>
          <w:lang w:val="zh-CN"/>
        </w:rPr>
        <w:t>，</w:t>
      </w:r>
      <w:r>
        <w:rPr>
          <w:rFonts w:hint="eastAsia" w:ascii="仿宋_GB2312" w:hAnsi="宋体" w:eastAsia="仿宋_GB2312"/>
          <w:sz w:val="32"/>
          <w:szCs w:val="32"/>
        </w:rPr>
        <w:t>加强宣传使更多的学生了解和参与到学校的活动中</w:t>
      </w:r>
      <w:r>
        <w:rPr>
          <w:rFonts w:hint="eastAsia" w:ascii="仿宋_GB2312" w:hAnsi="宋体" w:eastAsia="仿宋_GB2312"/>
          <w:sz w:val="32"/>
          <w:szCs w:val="32"/>
          <w:lang w:val="zh-CN"/>
        </w:rPr>
        <w:t>。</w:t>
      </w:r>
      <w:r>
        <w:rPr>
          <w:rFonts w:hint="eastAsia" w:ascii="仿宋_GB2312" w:hAnsi="宋体" w:eastAsia="仿宋_GB2312"/>
          <w:sz w:val="32"/>
          <w:szCs w:val="32"/>
        </w:rPr>
        <w:t>及时总结提炼在校园活动中得失，为后期的活动打好基础。</w:t>
      </w:r>
      <w:r>
        <w:rPr>
          <w:rFonts w:ascii="仿宋_GB2312" w:hAnsi="宋体" w:eastAsia="仿宋_GB2312"/>
          <w:sz w:val="32"/>
          <w:szCs w:val="32"/>
          <w:lang w:val="zh-CN"/>
        </w:rPr>
        <w:t> </w:t>
      </w:r>
    </w:p>
    <w:p>
      <w:pPr>
        <w:pageBreakBefore w:val="0"/>
        <w:kinsoku/>
        <w:wordWrap/>
        <w:overflowPunct/>
        <w:topLinePunct w:val="0"/>
        <w:bidi w:val="0"/>
        <w:adjustRightInd w:val="0"/>
        <w:snapToGrid w:val="0"/>
        <w:spacing w:line="640" w:lineRule="exact"/>
        <w:ind w:firstLine="72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在档案邮寄前对档案取向要求学生认真核对，在邮寄过程中，通过短信通知或系统查询等方式告知档案邮寄具体情况。</w:t>
      </w:r>
    </w:p>
    <w:p>
      <w:pPr>
        <w:pageBreakBefore w:val="0"/>
        <w:kinsoku/>
        <w:wordWrap/>
        <w:overflowPunct/>
        <w:topLinePunct w:val="0"/>
        <w:bidi w:val="0"/>
        <w:adjustRightInd w:val="0"/>
        <w:snapToGrid w:val="0"/>
        <w:spacing w:line="640" w:lineRule="exact"/>
        <w:ind w:firstLine="72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lang w:val="zh-CN"/>
        </w:rPr>
        <w:t>根据学院财政情况，适当提高心理健康专项拨款。以</w:t>
      </w:r>
      <w:r>
        <w:rPr>
          <w:rFonts w:hint="eastAsia" w:ascii="仿宋_GB2312" w:hAnsi="宋体" w:eastAsia="仿宋_GB2312"/>
          <w:sz w:val="32"/>
          <w:szCs w:val="32"/>
        </w:rPr>
        <w:t>加强创新心理健康教育活动形式，拓展心理健康教育途径，引进先进的心理健康教育理念，分层分类开展心理健康教育，吸引学生主动参与活动，充分挖掘学生心理潜能，培养积极心理品质，促进学生身心和谐发展，从而更大程度的实现心理健康知识的普及和传播。</w:t>
      </w:r>
    </w:p>
    <w:p>
      <w:pPr>
        <w:pageBreakBefore w:val="0"/>
        <w:kinsoku/>
        <w:wordWrap/>
        <w:overflowPunct/>
        <w:topLinePunct w:val="0"/>
        <w:bidi w:val="0"/>
        <w:spacing w:line="640" w:lineRule="exact"/>
        <w:ind w:firstLine="640" w:firstLineChars="200"/>
        <w:rPr>
          <w:rFonts w:ascii="仿宋" w:hAnsi="仿宋" w:eastAsia="仿宋" w:cs="仿宋"/>
          <w:sz w:val="32"/>
          <w:szCs w:val="32"/>
        </w:rPr>
      </w:pPr>
    </w:p>
    <w:p>
      <w:pPr>
        <w:pageBreakBefore w:val="0"/>
        <w:kinsoku/>
        <w:wordWrap/>
        <w:overflowPunct/>
        <w:topLinePunct w:val="0"/>
        <w:bidi w:val="0"/>
        <w:spacing w:line="640" w:lineRule="exact"/>
        <w:jc w:val="center"/>
        <w:rPr>
          <w:rFonts w:ascii="黑体" w:hAnsi="黑体" w:eastAsia="黑体"/>
          <w:color w:val="000000"/>
          <w:sz w:val="44"/>
          <w:szCs w:val="44"/>
        </w:rPr>
      </w:pPr>
      <w:bookmarkStart w:id="379" w:name="_Toc15396618"/>
      <w:r>
        <w:rPr>
          <w:rFonts w:ascii="仿宋" w:hAnsi="仿宋" w:eastAsia="仿宋" w:cs="仿宋"/>
          <w:sz w:val="32"/>
          <w:szCs w:val="32"/>
        </w:rPr>
        <w:br w:type="page"/>
      </w:r>
    </w:p>
    <w:p>
      <w:pPr>
        <w:pageBreakBefore w:val="0"/>
        <w:kinsoku/>
        <w:wordWrap/>
        <w:overflowPunct/>
        <w:topLinePunct w:val="0"/>
        <w:bidi w:val="0"/>
        <w:spacing w:line="640" w:lineRule="exact"/>
        <w:jc w:val="center"/>
        <w:outlineLvl w:val="0"/>
        <w:rPr>
          <w:rFonts w:ascii="仿宋" w:hAnsi="仿宋" w:eastAsia="仿宋"/>
          <w:color w:val="000000"/>
        </w:rPr>
      </w:pPr>
      <w:bookmarkStart w:id="380" w:name="_Toc21146"/>
      <w:bookmarkStart w:id="381" w:name="_Toc1141094357_WPSOffice_Level1"/>
      <w:bookmarkStart w:id="382" w:name="_Toc832251443_WPSOffice_Level1"/>
      <w:r>
        <w:rPr>
          <w:rFonts w:hint="eastAsia" w:ascii="黑体" w:hAnsi="黑体" w:eastAsia="黑体"/>
          <w:color w:val="000000"/>
          <w:sz w:val="44"/>
          <w:szCs w:val="44"/>
        </w:rPr>
        <w:t>第</w:t>
      </w:r>
      <w:r>
        <w:rPr>
          <w:rStyle w:val="19"/>
          <w:rFonts w:hint="eastAsia" w:ascii="黑体" w:hAnsi="黑体" w:eastAsia="黑体"/>
          <w:b w:val="0"/>
        </w:rPr>
        <w:t>五部分</w:t>
      </w:r>
      <w:r>
        <w:rPr>
          <w:rStyle w:val="19"/>
          <w:rFonts w:ascii="黑体" w:hAnsi="黑体" w:eastAsia="黑体"/>
          <w:b w:val="0"/>
        </w:rPr>
        <w:t xml:space="preserve"> </w:t>
      </w:r>
      <w:r>
        <w:rPr>
          <w:rStyle w:val="19"/>
          <w:rFonts w:hint="eastAsia" w:ascii="黑体" w:hAnsi="黑体" w:eastAsia="黑体"/>
          <w:b w:val="0"/>
        </w:rPr>
        <w:t>附表</w:t>
      </w:r>
      <w:bookmarkEnd w:id="141"/>
      <w:bookmarkEnd w:id="379"/>
      <w:bookmarkEnd w:id="380"/>
      <w:bookmarkEnd w:id="381"/>
      <w:bookmarkEnd w:id="382"/>
      <w:bookmarkStart w:id="383" w:name="_Toc15396619"/>
    </w:p>
    <w:p>
      <w:pPr>
        <w:pStyle w:val="5"/>
        <w:pageBreakBefore w:val="0"/>
        <w:kinsoku/>
        <w:wordWrap/>
        <w:overflowPunct/>
        <w:topLinePunct w:val="0"/>
        <w:bidi w:val="0"/>
        <w:spacing w:line="640" w:lineRule="exact"/>
        <w:rPr>
          <w:rFonts w:hint="eastAsia" w:ascii="黑体" w:hAnsi="黑体" w:eastAsia="黑体" w:cs="黑体"/>
          <w:b w:val="0"/>
          <w:bCs w:val="0"/>
          <w:kern w:val="2"/>
          <w:sz w:val="32"/>
          <w:szCs w:val="32"/>
          <w:lang w:val="en-US" w:eastAsia="zh-CN" w:bidi="ar-SA"/>
        </w:rPr>
      </w:pPr>
      <w:bookmarkStart w:id="384" w:name="_Toc16886"/>
      <w:bookmarkStart w:id="385" w:name="_Toc1269995390_WPSOffice_Level2"/>
      <w:bookmarkStart w:id="386" w:name="_Toc657150739_WPSOffice_Level2"/>
      <w:r>
        <w:rPr>
          <w:rFonts w:hint="eastAsia" w:ascii="黑体" w:hAnsi="黑体" w:eastAsia="黑体" w:cs="黑体"/>
          <w:b w:val="0"/>
          <w:bCs w:val="0"/>
          <w:kern w:val="2"/>
          <w:sz w:val="32"/>
          <w:szCs w:val="32"/>
          <w:lang w:val="en-US" w:eastAsia="zh-CN" w:bidi="ar-SA"/>
        </w:rPr>
        <w:t>一、收入支出决算总表</w:t>
      </w:r>
      <w:bookmarkEnd w:id="383"/>
      <w:bookmarkEnd w:id="384"/>
      <w:bookmarkEnd w:id="385"/>
      <w:bookmarkEnd w:id="386"/>
    </w:p>
    <w:p>
      <w:pPr>
        <w:pStyle w:val="5"/>
        <w:pageBreakBefore w:val="0"/>
        <w:kinsoku/>
        <w:wordWrap/>
        <w:overflowPunct/>
        <w:topLinePunct w:val="0"/>
        <w:bidi w:val="0"/>
        <w:spacing w:line="640" w:lineRule="exact"/>
        <w:rPr>
          <w:rFonts w:hint="eastAsia" w:ascii="黑体" w:hAnsi="黑体" w:eastAsia="黑体" w:cs="黑体"/>
          <w:b w:val="0"/>
          <w:bCs w:val="0"/>
          <w:kern w:val="2"/>
          <w:sz w:val="32"/>
          <w:szCs w:val="32"/>
          <w:lang w:val="en-US" w:eastAsia="zh-CN" w:bidi="ar-SA"/>
        </w:rPr>
      </w:pPr>
      <w:bookmarkStart w:id="387" w:name="_Toc1245183244_WPSOffice_Level2"/>
      <w:bookmarkStart w:id="388" w:name="_Toc15396620"/>
      <w:bookmarkStart w:id="389" w:name="_Toc32630"/>
      <w:bookmarkStart w:id="390" w:name="_Toc935493342_WPSOffice_Level2"/>
      <w:r>
        <w:rPr>
          <w:rFonts w:hint="eastAsia" w:ascii="黑体" w:hAnsi="黑体" w:eastAsia="黑体" w:cs="黑体"/>
          <w:b w:val="0"/>
          <w:bCs w:val="0"/>
          <w:kern w:val="2"/>
          <w:sz w:val="32"/>
          <w:szCs w:val="32"/>
          <w:lang w:val="en-US" w:eastAsia="zh-CN" w:bidi="ar-SA"/>
        </w:rPr>
        <w:t>二、收入决算表</w:t>
      </w:r>
      <w:bookmarkEnd w:id="387"/>
      <w:bookmarkEnd w:id="388"/>
      <w:bookmarkEnd w:id="389"/>
      <w:bookmarkEnd w:id="390"/>
    </w:p>
    <w:p>
      <w:pPr>
        <w:pStyle w:val="5"/>
        <w:pageBreakBefore w:val="0"/>
        <w:kinsoku/>
        <w:wordWrap/>
        <w:overflowPunct/>
        <w:topLinePunct w:val="0"/>
        <w:bidi w:val="0"/>
        <w:spacing w:line="640" w:lineRule="exact"/>
        <w:rPr>
          <w:rFonts w:hint="eastAsia" w:ascii="黑体" w:hAnsi="黑体" w:eastAsia="黑体" w:cs="黑体"/>
          <w:b w:val="0"/>
          <w:bCs w:val="0"/>
          <w:kern w:val="2"/>
          <w:sz w:val="32"/>
          <w:szCs w:val="32"/>
          <w:lang w:val="en-US" w:eastAsia="zh-CN" w:bidi="ar-SA"/>
        </w:rPr>
      </w:pPr>
      <w:bookmarkStart w:id="391" w:name="_Toc1111267519_WPSOffice_Level2"/>
      <w:bookmarkStart w:id="392" w:name="_Toc15396621"/>
      <w:bookmarkStart w:id="393" w:name="_Toc16364"/>
      <w:bookmarkStart w:id="394" w:name="_Toc1589989666_WPSOffice_Level2"/>
      <w:r>
        <w:rPr>
          <w:rFonts w:hint="eastAsia" w:ascii="黑体" w:hAnsi="黑体" w:eastAsia="黑体" w:cs="黑体"/>
          <w:b w:val="0"/>
          <w:bCs w:val="0"/>
          <w:kern w:val="2"/>
          <w:sz w:val="32"/>
          <w:szCs w:val="32"/>
          <w:lang w:val="en-US" w:eastAsia="zh-CN" w:bidi="ar-SA"/>
        </w:rPr>
        <w:t>三、支出决算表</w:t>
      </w:r>
      <w:bookmarkEnd w:id="391"/>
      <w:bookmarkEnd w:id="392"/>
      <w:bookmarkEnd w:id="393"/>
      <w:bookmarkEnd w:id="394"/>
    </w:p>
    <w:p>
      <w:pPr>
        <w:pStyle w:val="5"/>
        <w:pageBreakBefore w:val="0"/>
        <w:kinsoku/>
        <w:wordWrap/>
        <w:overflowPunct/>
        <w:topLinePunct w:val="0"/>
        <w:bidi w:val="0"/>
        <w:spacing w:line="640" w:lineRule="exact"/>
        <w:rPr>
          <w:rFonts w:hint="eastAsia" w:ascii="黑体" w:hAnsi="黑体" w:eastAsia="黑体" w:cs="黑体"/>
          <w:b w:val="0"/>
          <w:bCs w:val="0"/>
          <w:kern w:val="2"/>
          <w:sz w:val="32"/>
          <w:szCs w:val="32"/>
          <w:lang w:val="en-US" w:eastAsia="zh-CN" w:bidi="ar-SA"/>
        </w:rPr>
      </w:pPr>
      <w:bookmarkStart w:id="395" w:name="_Toc153"/>
      <w:bookmarkStart w:id="396" w:name="_Toc15396622"/>
      <w:bookmarkStart w:id="397" w:name="_Toc1703653603_WPSOffice_Level2"/>
      <w:bookmarkStart w:id="398" w:name="_Toc1076926480_WPSOffice_Level2"/>
      <w:r>
        <w:rPr>
          <w:rFonts w:hint="eastAsia" w:ascii="黑体" w:hAnsi="黑体" w:eastAsia="黑体" w:cs="黑体"/>
          <w:b w:val="0"/>
          <w:bCs w:val="0"/>
          <w:kern w:val="2"/>
          <w:sz w:val="32"/>
          <w:szCs w:val="32"/>
          <w:lang w:val="en-US" w:eastAsia="zh-CN" w:bidi="ar-SA"/>
        </w:rPr>
        <w:t>四、财政拨款收入支出决算总表</w:t>
      </w:r>
      <w:bookmarkEnd w:id="395"/>
      <w:bookmarkEnd w:id="396"/>
      <w:bookmarkEnd w:id="397"/>
      <w:bookmarkEnd w:id="398"/>
    </w:p>
    <w:p>
      <w:pPr>
        <w:pStyle w:val="5"/>
        <w:pageBreakBefore w:val="0"/>
        <w:kinsoku/>
        <w:wordWrap/>
        <w:overflowPunct/>
        <w:topLinePunct w:val="0"/>
        <w:bidi w:val="0"/>
        <w:spacing w:line="640" w:lineRule="exact"/>
        <w:rPr>
          <w:rFonts w:hint="eastAsia" w:ascii="黑体" w:hAnsi="黑体" w:eastAsia="黑体" w:cs="黑体"/>
          <w:b w:val="0"/>
          <w:bCs w:val="0"/>
          <w:kern w:val="2"/>
          <w:sz w:val="32"/>
          <w:szCs w:val="32"/>
          <w:lang w:val="en-US" w:eastAsia="zh-CN" w:bidi="ar-SA"/>
        </w:rPr>
      </w:pPr>
      <w:bookmarkStart w:id="399" w:name="_Toc1906280528_WPSOffice_Level2"/>
      <w:bookmarkStart w:id="400" w:name="_Toc12700"/>
      <w:bookmarkStart w:id="401" w:name="_Toc15396623"/>
      <w:bookmarkStart w:id="402" w:name="_Toc1574888575_WPSOffice_Level2"/>
      <w:r>
        <w:rPr>
          <w:rFonts w:hint="eastAsia" w:ascii="黑体" w:hAnsi="黑体" w:eastAsia="黑体" w:cs="黑体"/>
          <w:b w:val="0"/>
          <w:bCs w:val="0"/>
          <w:kern w:val="2"/>
          <w:sz w:val="32"/>
          <w:szCs w:val="32"/>
          <w:lang w:val="en-US" w:eastAsia="zh-CN" w:bidi="ar-SA"/>
        </w:rPr>
        <w:t>五、财政拨款支出决算明细表</w:t>
      </w:r>
      <w:bookmarkEnd w:id="399"/>
      <w:bookmarkEnd w:id="400"/>
      <w:bookmarkEnd w:id="401"/>
      <w:bookmarkEnd w:id="402"/>
      <w:bookmarkStart w:id="403" w:name="_Toc15396624"/>
    </w:p>
    <w:p>
      <w:pPr>
        <w:pStyle w:val="5"/>
        <w:pageBreakBefore w:val="0"/>
        <w:kinsoku/>
        <w:wordWrap/>
        <w:overflowPunct/>
        <w:topLinePunct w:val="0"/>
        <w:bidi w:val="0"/>
        <w:spacing w:line="640" w:lineRule="exact"/>
        <w:rPr>
          <w:rFonts w:hint="eastAsia" w:ascii="黑体" w:hAnsi="黑体" w:eastAsia="黑体" w:cs="黑体"/>
          <w:b w:val="0"/>
          <w:bCs w:val="0"/>
          <w:kern w:val="2"/>
          <w:sz w:val="32"/>
          <w:szCs w:val="32"/>
          <w:lang w:val="en-US" w:eastAsia="zh-CN" w:bidi="ar-SA"/>
        </w:rPr>
      </w:pPr>
      <w:bookmarkStart w:id="404" w:name="_Toc234829288_WPSOffice_Level2"/>
      <w:bookmarkStart w:id="405" w:name="_Toc6628"/>
      <w:bookmarkStart w:id="406" w:name="_Toc2045682968_WPSOffice_Level2"/>
      <w:r>
        <w:rPr>
          <w:rFonts w:hint="eastAsia" w:ascii="黑体" w:hAnsi="黑体" w:eastAsia="黑体" w:cs="黑体"/>
          <w:b w:val="0"/>
          <w:bCs w:val="0"/>
          <w:kern w:val="2"/>
          <w:sz w:val="32"/>
          <w:szCs w:val="32"/>
          <w:lang w:val="en-US" w:eastAsia="zh-CN" w:bidi="ar-SA"/>
        </w:rPr>
        <w:t>六、一般公共预算财政拨款支出决算表</w:t>
      </w:r>
      <w:bookmarkEnd w:id="403"/>
      <w:bookmarkEnd w:id="404"/>
      <w:bookmarkEnd w:id="405"/>
      <w:bookmarkEnd w:id="406"/>
    </w:p>
    <w:p>
      <w:pPr>
        <w:pStyle w:val="5"/>
        <w:pageBreakBefore w:val="0"/>
        <w:kinsoku/>
        <w:wordWrap/>
        <w:overflowPunct/>
        <w:topLinePunct w:val="0"/>
        <w:bidi w:val="0"/>
        <w:spacing w:line="640" w:lineRule="exact"/>
        <w:rPr>
          <w:rFonts w:hint="eastAsia" w:ascii="黑体" w:hAnsi="黑体" w:eastAsia="黑体" w:cs="黑体"/>
          <w:b w:val="0"/>
          <w:bCs w:val="0"/>
          <w:kern w:val="2"/>
          <w:sz w:val="32"/>
          <w:szCs w:val="32"/>
          <w:lang w:val="en-US" w:eastAsia="zh-CN" w:bidi="ar-SA"/>
        </w:rPr>
      </w:pPr>
      <w:bookmarkStart w:id="407" w:name="_Toc12744"/>
      <w:bookmarkStart w:id="408" w:name="_Toc1146843059_WPSOffice_Level2"/>
      <w:bookmarkStart w:id="409" w:name="_Toc15396625"/>
      <w:bookmarkStart w:id="410" w:name="_Toc1446413868_WPSOffice_Level2"/>
      <w:r>
        <w:rPr>
          <w:rFonts w:hint="eastAsia" w:ascii="黑体" w:hAnsi="黑体" w:eastAsia="黑体" w:cs="黑体"/>
          <w:b w:val="0"/>
          <w:bCs w:val="0"/>
          <w:kern w:val="2"/>
          <w:sz w:val="32"/>
          <w:szCs w:val="32"/>
          <w:lang w:val="en-US" w:eastAsia="zh-CN" w:bidi="ar-SA"/>
        </w:rPr>
        <w:t>七、一般公共预算财政拨款支出决算明细表</w:t>
      </w:r>
      <w:bookmarkEnd w:id="407"/>
      <w:bookmarkEnd w:id="408"/>
      <w:bookmarkEnd w:id="409"/>
      <w:bookmarkEnd w:id="410"/>
    </w:p>
    <w:p>
      <w:pPr>
        <w:pStyle w:val="5"/>
        <w:pageBreakBefore w:val="0"/>
        <w:kinsoku/>
        <w:wordWrap/>
        <w:overflowPunct/>
        <w:topLinePunct w:val="0"/>
        <w:bidi w:val="0"/>
        <w:spacing w:line="640" w:lineRule="exact"/>
        <w:rPr>
          <w:rFonts w:hint="eastAsia" w:ascii="黑体" w:hAnsi="黑体" w:eastAsia="黑体" w:cs="黑体"/>
          <w:b w:val="0"/>
          <w:bCs w:val="0"/>
          <w:kern w:val="2"/>
          <w:sz w:val="32"/>
          <w:szCs w:val="32"/>
          <w:lang w:val="en-US" w:eastAsia="zh-CN" w:bidi="ar-SA"/>
        </w:rPr>
      </w:pPr>
      <w:bookmarkStart w:id="411" w:name="_Toc1645173883_WPSOffice_Level2"/>
      <w:bookmarkStart w:id="412" w:name="_Toc28627"/>
      <w:bookmarkStart w:id="413" w:name="_Toc15396626"/>
      <w:bookmarkStart w:id="414" w:name="_Toc1503713230_WPSOffice_Level2"/>
      <w:r>
        <w:rPr>
          <w:rFonts w:hint="eastAsia" w:ascii="黑体" w:hAnsi="黑体" w:eastAsia="黑体" w:cs="黑体"/>
          <w:b w:val="0"/>
          <w:bCs w:val="0"/>
          <w:kern w:val="2"/>
          <w:sz w:val="32"/>
          <w:szCs w:val="32"/>
          <w:lang w:val="en-US" w:eastAsia="zh-CN" w:bidi="ar-SA"/>
        </w:rPr>
        <w:t>八、一般公共预算财政拨款基本支出决算表</w:t>
      </w:r>
      <w:bookmarkEnd w:id="411"/>
      <w:bookmarkEnd w:id="412"/>
      <w:bookmarkEnd w:id="413"/>
      <w:bookmarkEnd w:id="414"/>
    </w:p>
    <w:p>
      <w:pPr>
        <w:pStyle w:val="5"/>
        <w:pageBreakBefore w:val="0"/>
        <w:kinsoku/>
        <w:wordWrap/>
        <w:overflowPunct/>
        <w:topLinePunct w:val="0"/>
        <w:bidi w:val="0"/>
        <w:spacing w:line="640" w:lineRule="exact"/>
        <w:rPr>
          <w:rFonts w:hint="eastAsia" w:ascii="黑体" w:hAnsi="黑体" w:eastAsia="黑体" w:cs="黑体"/>
          <w:b w:val="0"/>
          <w:bCs w:val="0"/>
          <w:kern w:val="2"/>
          <w:sz w:val="32"/>
          <w:szCs w:val="32"/>
          <w:lang w:val="en-US" w:eastAsia="zh-CN" w:bidi="ar-SA"/>
        </w:rPr>
      </w:pPr>
      <w:bookmarkStart w:id="415" w:name="_Toc31931"/>
      <w:bookmarkStart w:id="416" w:name="_Toc15396627"/>
      <w:bookmarkStart w:id="417" w:name="_Toc121836862_WPSOffice_Level2"/>
      <w:bookmarkStart w:id="418" w:name="_Toc1628556203_WPSOffice_Level2"/>
      <w:r>
        <w:rPr>
          <w:rFonts w:hint="eastAsia" w:ascii="黑体" w:hAnsi="黑体" w:eastAsia="黑体" w:cs="黑体"/>
          <w:b w:val="0"/>
          <w:bCs w:val="0"/>
          <w:kern w:val="2"/>
          <w:sz w:val="32"/>
          <w:szCs w:val="32"/>
          <w:lang w:val="en-US" w:eastAsia="zh-CN" w:bidi="ar-SA"/>
        </w:rPr>
        <w:t>九、一般公共预算财政拨款项目支出决算表</w:t>
      </w:r>
      <w:bookmarkEnd w:id="415"/>
      <w:bookmarkEnd w:id="416"/>
      <w:bookmarkEnd w:id="417"/>
      <w:bookmarkEnd w:id="418"/>
    </w:p>
    <w:p>
      <w:pPr>
        <w:pStyle w:val="5"/>
        <w:pageBreakBefore w:val="0"/>
        <w:kinsoku/>
        <w:wordWrap/>
        <w:overflowPunct/>
        <w:topLinePunct w:val="0"/>
        <w:bidi w:val="0"/>
        <w:spacing w:line="640" w:lineRule="exact"/>
        <w:rPr>
          <w:rFonts w:hint="eastAsia" w:ascii="黑体" w:hAnsi="黑体" w:eastAsia="黑体" w:cs="黑体"/>
          <w:b w:val="0"/>
          <w:bCs w:val="0"/>
          <w:kern w:val="2"/>
          <w:sz w:val="32"/>
          <w:szCs w:val="32"/>
          <w:lang w:val="en-US" w:eastAsia="zh-CN" w:bidi="ar-SA"/>
        </w:rPr>
      </w:pPr>
      <w:bookmarkStart w:id="419" w:name="_Toc14430"/>
      <w:bookmarkStart w:id="420" w:name="_Toc411677528_WPSOffice_Level2"/>
      <w:bookmarkStart w:id="421" w:name="_Toc15396628"/>
      <w:bookmarkStart w:id="422" w:name="_Toc328438799_WPSOffice_Level2"/>
      <w:r>
        <w:rPr>
          <w:rFonts w:hint="eastAsia" w:ascii="黑体" w:hAnsi="黑体" w:eastAsia="黑体" w:cs="黑体"/>
          <w:b w:val="0"/>
          <w:bCs w:val="0"/>
          <w:kern w:val="2"/>
          <w:sz w:val="32"/>
          <w:szCs w:val="32"/>
          <w:lang w:val="en-US" w:eastAsia="zh-CN" w:bidi="ar-SA"/>
        </w:rPr>
        <w:t>十、一般公共预算财政拨款“三公”经费支出决算表</w:t>
      </w:r>
      <w:bookmarkEnd w:id="419"/>
      <w:bookmarkEnd w:id="420"/>
      <w:bookmarkEnd w:id="421"/>
      <w:bookmarkEnd w:id="422"/>
    </w:p>
    <w:p>
      <w:pPr>
        <w:pStyle w:val="5"/>
        <w:pageBreakBefore w:val="0"/>
        <w:kinsoku/>
        <w:wordWrap/>
        <w:overflowPunct/>
        <w:topLinePunct w:val="0"/>
        <w:bidi w:val="0"/>
        <w:spacing w:line="640" w:lineRule="exact"/>
        <w:rPr>
          <w:rFonts w:hint="eastAsia" w:ascii="黑体" w:hAnsi="黑体" w:eastAsia="黑体" w:cs="黑体"/>
          <w:b w:val="0"/>
          <w:bCs w:val="0"/>
          <w:kern w:val="2"/>
          <w:sz w:val="32"/>
          <w:szCs w:val="32"/>
          <w:lang w:val="en-US" w:eastAsia="zh-CN" w:bidi="ar-SA"/>
        </w:rPr>
      </w:pPr>
      <w:bookmarkStart w:id="423" w:name="_Toc1807161387_WPSOffice_Level2"/>
      <w:bookmarkStart w:id="424" w:name="_Toc15396629"/>
      <w:bookmarkStart w:id="425" w:name="_Toc30739"/>
      <w:bookmarkStart w:id="426" w:name="_Toc1926623179_WPSOffice_Level2"/>
      <w:r>
        <w:rPr>
          <w:rFonts w:hint="eastAsia" w:ascii="黑体" w:hAnsi="黑体" w:eastAsia="黑体" w:cs="黑体"/>
          <w:b w:val="0"/>
          <w:bCs w:val="0"/>
          <w:kern w:val="2"/>
          <w:sz w:val="32"/>
          <w:szCs w:val="32"/>
          <w:lang w:val="en-US" w:eastAsia="zh-CN" w:bidi="ar-SA"/>
        </w:rPr>
        <w:t>十一、政府性基金预算财政拨款收入支出决算表</w:t>
      </w:r>
      <w:bookmarkEnd w:id="423"/>
      <w:bookmarkEnd w:id="424"/>
      <w:bookmarkEnd w:id="425"/>
      <w:bookmarkEnd w:id="426"/>
    </w:p>
    <w:p>
      <w:pPr>
        <w:pStyle w:val="5"/>
        <w:pageBreakBefore w:val="0"/>
        <w:kinsoku/>
        <w:wordWrap/>
        <w:overflowPunct/>
        <w:topLinePunct w:val="0"/>
        <w:bidi w:val="0"/>
        <w:spacing w:line="640" w:lineRule="exact"/>
        <w:rPr>
          <w:rFonts w:hint="eastAsia" w:ascii="黑体" w:hAnsi="黑体" w:eastAsia="黑体" w:cs="黑体"/>
          <w:b w:val="0"/>
          <w:bCs w:val="0"/>
          <w:kern w:val="2"/>
          <w:sz w:val="32"/>
          <w:szCs w:val="32"/>
          <w:lang w:val="en-US" w:eastAsia="zh-CN" w:bidi="ar-SA"/>
        </w:rPr>
      </w:pPr>
      <w:bookmarkStart w:id="427" w:name="_Toc21509"/>
      <w:bookmarkStart w:id="428" w:name="_Toc15396630"/>
      <w:bookmarkStart w:id="429" w:name="_Toc1474437305_WPSOffice_Level2"/>
      <w:bookmarkStart w:id="430" w:name="_Toc952966989_WPSOffice_Level2"/>
      <w:r>
        <w:rPr>
          <w:rFonts w:hint="eastAsia" w:ascii="黑体" w:hAnsi="黑体" w:eastAsia="黑体" w:cs="黑体"/>
          <w:b w:val="0"/>
          <w:bCs w:val="0"/>
          <w:kern w:val="2"/>
          <w:sz w:val="32"/>
          <w:szCs w:val="32"/>
          <w:lang w:val="en-US" w:eastAsia="zh-CN" w:bidi="ar-SA"/>
        </w:rPr>
        <w:t>十二、政府性基金预算财政拨款“三公”经费支出决算表</w:t>
      </w:r>
      <w:bookmarkEnd w:id="427"/>
      <w:bookmarkEnd w:id="428"/>
      <w:bookmarkEnd w:id="429"/>
      <w:bookmarkEnd w:id="430"/>
    </w:p>
    <w:p>
      <w:pPr>
        <w:pStyle w:val="5"/>
        <w:pageBreakBefore w:val="0"/>
        <w:kinsoku/>
        <w:wordWrap/>
        <w:overflowPunct/>
        <w:topLinePunct w:val="0"/>
        <w:bidi w:val="0"/>
        <w:spacing w:line="640" w:lineRule="exact"/>
        <w:rPr>
          <w:rFonts w:hint="eastAsia" w:ascii="黑体" w:hAnsi="黑体" w:eastAsia="黑体" w:cs="黑体"/>
          <w:b w:val="0"/>
          <w:bCs w:val="0"/>
          <w:kern w:val="2"/>
          <w:sz w:val="32"/>
          <w:szCs w:val="32"/>
          <w:lang w:val="en-US" w:eastAsia="zh-CN" w:bidi="ar-SA"/>
        </w:rPr>
      </w:pPr>
      <w:bookmarkStart w:id="431" w:name="_Toc15396631"/>
      <w:bookmarkStart w:id="432" w:name="_Toc1058297821_WPSOffice_Level2"/>
      <w:bookmarkStart w:id="433" w:name="_Toc22062"/>
      <w:bookmarkStart w:id="434" w:name="_Toc2145391868_WPSOffice_Level2"/>
      <w:r>
        <w:rPr>
          <w:rFonts w:hint="eastAsia" w:ascii="黑体" w:hAnsi="黑体" w:eastAsia="黑体" w:cs="黑体"/>
          <w:b w:val="0"/>
          <w:bCs w:val="0"/>
          <w:kern w:val="2"/>
          <w:sz w:val="32"/>
          <w:szCs w:val="32"/>
          <w:lang w:val="en-US" w:eastAsia="zh-CN" w:bidi="ar-SA"/>
        </w:rPr>
        <w:t>十三、国有资本经营预算财政拨款收入支出决算表</w:t>
      </w:r>
      <w:bookmarkEnd w:id="431"/>
      <w:bookmarkEnd w:id="432"/>
      <w:bookmarkEnd w:id="433"/>
      <w:bookmarkEnd w:id="434"/>
    </w:p>
    <w:p>
      <w:pPr>
        <w:pageBreakBefore w:val="0"/>
        <w:kinsoku/>
        <w:wordWrap/>
        <w:overflowPunct/>
        <w:topLinePunct w:val="0"/>
        <w:bidi w:val="0"/>
        <w:spacing w:line="640" w:lineRule="exact"/>
        <w:rPr>
          <w:rFonts w:hint="eastAsia" w:ascii="黑体" w:hAnsi="黑体" w:eastAsia="黑体" w:cs="黑体"/>
          <w:b w:val="0"/>
          <w:bCs w:val="0"/>
          <w:kern w:val="2"/>
          <w:sz w:val="32"/>
          <w:szCs w:val="32"/>
          <w:lang w:val="en-US" w:eastAsia="zh-CN" w:bidi="ar-SA"/>
        </w:rPr>
      </w:pPr>
      <w:bookmarkStart w:id="435" w:name="_Toc510125438_WPSOffice_Level2"/>
      <w:bookmarkStart w:id="436" w:name="_Toc6180"/>
      <w:bookmarkStart w:id="437" w:name="_Toc1879383319_WPSOffice_Level2"/>
      <w:r>
        <w:rPr>
          <w:rFonts w:hint="eastAsia" w:ascii="黑体" w:hAnsi="黑体" w:eastAsia="黑体" w:cs="黑体"/>
          <w:b w:val="0"/>
          <w:bCs w:val="0"/>
          <w:kern w:val="2"/>
          <w:sz w:val="32"/>
          <w:szCs w:val="32"/>
          <w:lang w:val="en-US" w:eastAsia="zh-CN" w:bidi="ar-SA"/>
        </w:rPr>
        <w:t>十四、国有资本经营预算财政拨款支出决算表</w:t>
      </w:r>
      <w:bookmarkEnd w:id="435"/>
      <w:bookmarkEnd w:id="436"/>
      <w:bookmarkEnd w:id="437"/>
    </w:p>
    <w:p>
      <w:pPr>
        <w:pageBreakBefore w:val="0"/>
        <w:kinsoku/>
        <w:wordWrap/>
        <w:overflowPunct/>
        <w:topLinePunct w:val="0"/>
        <w:bidi w:val="0"/>
        <w:spacing w:line="640" w:lineRule="exact"/>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65062197"/>
    <w:multiLevelType w:val="singleLevel"/>
    <w:tmpl w:val="65062197"/>
    <w:lvl w:ilvl="0" w:tentative="0">
      <w:start w:val="2"/>
      <w:numFmt w:val="chineseCounting"/>
      <w:suff w:val="nothing"/>
      <w:lvlText w:val="（%1）"/>
      <w:lvlJc w:val="left"/>
      <w:rPr>
        <w:rFonts w:hint="eastAsia" w:cs="Times New Roman"/>
      </w:rPr>
    </w:lvl>
  </w:abstractNum>
  <w:abstractNum w:abstractNumId="2">
    <w:nsid w:val="681EEBAF"/>
    <w:multiLevelType w:val="singleLevel"/>
    <w:tmpl w:val="681EEBAF"/>
    <w:lvl w:ilvl="0" w:tentative="0">
      <w:start w:val="1"/>
      <w:numFmt w:val="chineseCounting"/>
      <w:suff w:val="nothing"/>
      <w:lvlText w:val="%1、"/>
      <w:lvlJc w:val="left"/>
      <w:rPr>
        <w:rFonts w:hint="eastAsia"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0Nzg2OGE5Njk3N2U0YmZjODIxNzAzMGM2MTE2Y2QifQ=="/>
  </w:docVars>
  <w:rsids>
    <w:rsidRoot w:val="0A8F20CA"/>
    <w:rsid w:val="0005306E"/>
    <w:rsid w:val="000A5D31"/>
    <w:rsid w:val="00142EC7"/>
    <w:rsid w:val="00222602"/>
    <w:rsid w:val="002678A0"/>
    <w:rsid w:val="0030168A"/>
    <w:rsid w:val="00490632"/>
    <w:rsid w:val="005F24FA"/>
    <w:rsid w:val="00611903"/>
    <w:rsid w:val="007F6C6F"/>
    <w:rsid w:val="008D251D"/>
    <w:rsid w:val="00905FCD"/>
    <w:rsid w:val="00910F11"/>
    <w:rsid w:val="009748AF"/>
    <w:rsid w:val="00A17CF6"/>
    <w:rsid w:val="00BB01AE"/>
    <w:rsid w:val="00BE1C7C"/>
    <w:rsid w:val="00CE39E8"/>
    <w:rsid w:val="00DB20AB"/>
    <w:rsid w:val="00E2217C"/>
    <w:rsid w:val="04C57584"/>
    <w:rsid w:val="06732DD2"/>
    <w:rsid w:val="08E95411"/>
    <w:rsid w:val="094A7F3A"/>
    <w:rsid w:val="09780429"/>
    <w:rsid w:val="0A8F20CA"/>
    <w:rsid w:val="0B7C7ECF"/>
    <w:rsid w:val="0C41761E"/>
    <w:rsid w:val="0CBE3D51"/>
    <w:rsid w:val="0DD00B0A"/>
    <w:rsid w:val="0E9F9E19"/>
    <w:rsid w:val="1003303A"/>
    <w:rsid w:val="102A6976"/>
    <w:rsid w:val="121B6AA8"/>
    <w:rsid w:val="12216C91"/>
    <w:rsid w:val="13987ED4"/>
    <w:rsid w:val="16273291"/>
    <w:rsid w:val="165F2A2B"/>
    <w:rsid w:val="16B54C34"/>
    <w:rsid w:val="17905A7F"/>
    <w:rsid w:val="1A080580"/>
    <w:rsid w:val="1C803B4C"/>
    <w:rsid w:val="1F9137F1"/>
    <w:rsid w:val="1FD261A2"/>
    <w:rsid w:val="233F7106"/>
    <w:rsid w:val="235E01A0"/>
    <w:rsid w:val="2372299A"/>
    <w:rsid w:val="257941E5"/>
    <w:rsid w:val="266B0C57"/>
    <w:rsid w:val="28C11A28"/>
    <w:rsid w:val="29656152"/>
    <w:rsid w:val="2BF832AE"/>
    <w:rsid w:val="2C0F5012"/>
    <w:rsid w:val="2CE23175"/>
    <w:rsid w:val="2DB51B56"/>
    <w:rsid w:val="2E8B0D06"/>
    <w:rsid w:val="2ED95618"/>
    <w:rsid w:val="32A41A99"/>
    <w:rsid w:val="32B50419"/>
    <w:rsid w:val="35FBC98F"/>
    <w:rsid w:val="37793BAC"/>
    <w:rsid w:val="37DBE6D8"/>
    <w:rsid w:val="37FE3936"/>
    <w:rsid w:val="380508CA"/>
    <w:rsid w:val="38B65C27"/>
    <w:rsid w:val="396401AD"/>
    <w:rsid w:val="3986114C"/>
    <w:rsid w:val="3D587077"/>
    <w:rsid w:val="3E19749C"/>
    <w:rsid w:val="3E500225"/>
    <w:rsid w:val="3F2F14C4"/>
    <w:rsid w:val="3FFD59F7"/>
    <w:rsid w:val="40943520"/>
    <w:rsid w:val="43610097"/>
    <w:rsid w:val="44223914"/>
    <w:rsid w:val="446F35A0"/>
    <w:rsid w:val="44DA48C9"/>
    <w:rsid w:val="460FB3DC"/>
    <w:rsid w:val="47682077"/>
    <w:rsid w:val="48D44811"/>
    <w:rsid w:val="4B1015AD"/>
    <w:rsid w:val="4FD2765D"/>
    <w:rsid w:val="504276AD"/>
    <w:rsid w:val="50570E00"/>
    <w:rsid w:val="549B3A55"/>
    <w:rsid w:val="550C6474"/>
    <w:rsid w:val="55FD6B2B"/>
    <w:rsid w:val="577F3FBE"/>
    <w:rsid w:val="59FFF3AE"/>
    <w:rsid w:val="5A1043D4"/>
    <w:rsid w:val="5A117823"/>
    <w:rsid w:val="5BAC2695"/>
    <w:rsid w:val="5E15459F"/>
    <w:rsid w:val="60E61BA9"/>
    <w:rsid w:val="61095605"/>
    <w:rsid w:val="61500EA9"/>
    <w:rsid w:val="638F53D2"/>
    <w:rsid w:val="6470717E"/>
    <w:rsid w:val="69CE028B"/>
    <w:rsid w:val="69ED32D6"/>
    <w:rsid w:val="69F071BD"/>
    <w:rsid w:val="6A5E10CC"/>
    <w:rsid w:val="6BBA2C5B"/>
    <w:rsid w:val="6CEB1A97"/>
    <w:rsid w:val="6E032416"/>
    <w:rsid w:val="6F2B60ED"/>
    <w:rsid w:val="70765450"/>
    <w:rsid w:val="71947BC0"/>
    <w:rsid w:val="71AF8115"/>
    <w:rsid w:val="72E721AF"/>
    <w:rsid w:val="74A9311A"/>
    <w:rsid w:val="74B4020F"/>
    <w:rsid w:val="779E259E"/>
    <w:rsid w:val="797112E0"/>
    <w:rsid w:val="7D9C9657"/>
    <w:rsid w:val="7E337D4A"/>
    <w:rsid w:val="7F1E0C56"/>
    <w:rsid w:val="7FA765BB"/>
    <w:rsid w:val="8FF5DF1A"/>
    <w:rsid w:val="BB67813C"/>
    <w:rsid w:val="D7DBA860"/>
    <w:rsid w:val="D9FF10E5"/>
    <w:rsid w:val="EFF2FFD1"/>
    <w:rsid w:val="FF4BC175"/>
    <w:rsid w:val="FFE5B26C"/>
    <w:rsid w:val="FFEA88C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20"/>
    <w:qFormat/>
    <w:uiPriority w:val="99"/>
    <w:pPr>
      <w:keepNext/>
      <w:keepLines/>
      <w:spacing w:before="260" w:after="260" w:line="416" w:lineRule="auto"/>
      <w:outlineLvl w:val="1"/>
    </w:pPr>
    <w:rPr>
      <w:rFonts w:ascii="Calibri Light" w:hAnsi="Calibri Light"/>
      <w:b/>
      <w:bCs/>
      <w:sz w:val="32"/>
      <w:szCs w:val="32"/>
    </w:rPr>
  </w:style>
  <w:style w:type="paragraph" w:styleId="6">
    <w:name w:val="heading 3"/>
    <w:basedOn w:val="1"/>
    <w:next w:val="1"/>
    <w:link w:val="21"/>
    <w:qFormat/>
    <w:uiPriority w:val="99"/>
    <w:pPr>
      <w:spacing w:before="100" w:beforeAutospacing="1" w:after="100" w:afterAutospacing="1"/>
      <w:jc w:val="left"/>
      <w:outlineLvl w:val="2"/>
    </w:pPr>
    <w:rPr>
      <w:rFonts w:ascii="宋体" w:hAnsi="宋体"/>
      <w:b/>
      <w:bCs/>
      <w:kern w:val="0"/>
      <w:sz w:val="27"/>
      <w:szCs w:val="27"/>
    </w:rPr>
  </w:style>
  <w:style w:type="character" w:default="1" w:styleId="15">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2"/>
    <w:qFormat/>
    <w:uiPriority w:val="99"/>
    <w:pPr>
      <w:spacing w:beforeLines="30"/>
    </w:pPr>
    <w:rPr>
      <w:rFonts w:ascii="仿宋_GB2312" w:eastAsia="仿宋_GB2312"/>
      <w:kern w:val="0"/>
      <w:sz w:val="30"/>
    </w:rPr>
  </w:style>
  <w:style w:type="paragraph" w:styleId="3">
    <w:name w:val="Body Text First Indent"/>
    <w:basedOn w:val="2"/>
    <w:qFormat/>
    <w:locked/>
    <w:uiPriority w:val="0"/>
    <w:pPr>
      <w:spacing w:line="500" w:lineRule="exact"/>
      <w:ind w:firstLine="420"/>
    </w:pPr>
    <w:rPr>
      <w:rFonts w:eastAsia="宋体"/>
      <w:sz w:val="28"/>
    </w:rPr>
  </w:style>
  <w:style w:type="paragraph" w:styleId="7">
    <w:name w:val="annotation text"/>
    <w:basedOn w:val="1"/>
    <w:link w:val="23"/>
    <w:qFormat/>
    <w:uiPriority w:val="99"/>
    <w:pPr>
      <w:jc w:val="left"/>
    </w:pPr>
  </w:style>
  <w:style w:type="paragraph" w:styleId="8">
    <w:name w:val="Balloon Text"/>
    <w:basedOn w:val="1"/>
    <w:link w:val="30"/>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2">
    <w:name w:val="toc 2"/>
    <w:basedOn w:val="1"/>
    <w:next w:val="1"/>
    <w:qFormat/>
    <w:uiPriority w:val="99"/>
    <w:pPr>
      <w:tabs>
        <w:tab w:val="right" w:leader="dot" w:pos="8296"/>
      </w:tabs>
      <w:ind w:left="420" w:leftChars="200"/>
    </w:pPr>
  </w:style>
  <w:style w:type="paragraph" w:styleId="13">
    <w:name w:val="Normal (Web)"/>
    <w:basedOn w:val="1"/>
    <w:qFormat/>
    <w:uiPriority w:val="99"/>
    <w:pPr>
      <w:spacing w:before="100" w:beforeAutospacing="1" w:after="100" w:afterAutospacing="1"/>
      <w:jc w:val="left"/>
    </w:pPr>
    <w:rPr>
      <w:rFonts w:ascii="Calibri" w:hAnsi="Calibri"/>
      <w:kern w:val="0"/>
      <w:sz w:val="24"/>
    </w:rPr>
  </w:style>
  <w:style w:type="character" w:styleId="16">
    <w:name w:val="Strong"/>
    <w:basedOn w:val="15"/>
    <w:qFormat/>
    <w:uiPriority w:val="99"/>
    <w:rPr>
      <w:rFonts w:cs="Times New Roman"/>
      <w:b/>
    </w:rPr>
  </w:style>
  <w:style w:type="character" w:styleId="17">
    <w:name w:val="Hyperlink"/>
    <w:basedOn w:val="15"/>
    <w:qFormat/>
    <w:uiPriority w:val="99"/>
    <w:rPr>
      <w:rFonts w:cs="Times New Roman"/>
      <w:color w:val="0563C1"/>
      <w:u w:val="single"/>
    </w:rPr>
  </w:style>
  <w:style w:type="character" w:styleId="18">
    <w:name w:val="annotation reference"/>
    <w:basedOn w:val="15"/>
    <w:qFormat/>
    <w:uiPriority w:val="99"/>
    <w:rPr>
      <w:rFonts w:cs="Times New Roman"/>
      <w:sz w:val="21"/>
      <w:szCs w:val="21"/>
    </w:rPr>
  </w:style>
  <w:style w:type="character" w:customStyle="1" w:styleId="19">
    <w:name w:val="Heading 1 Char"/>
    <w:basedOn w:val="15"/>
    <w:link w:val="4"/>
    <w:qFormat/>
    <w:locked/>
    <w:uiPriority w:val="99"/>
    <w:rPr>
      <w:rFonts w:cs="Times New Roman"/>
      <w:b/>
      <w:bCs/>
      <w:kern w:val="44"/>
      <w:sz w:val="44"/>
      <w:szCs w:val="44"/>
    </w:rPr>
  </w:style>
  <w:style w:type="character" w:customStyle="1" w:styleId="20">
    <w:name w:val="Heading 2 Char"/>
    <w:basedOn w:val="15"/>
    <w:link w:val="5"/>
    <w:qFormat/>
    <w:locked/>
    <w:uiPriority w:val="99"/>
    <w:rPr>
      <w:rFonts w:ascii="Calibri Light" w:hAnsi="Calibri Light" w:eastAsia="宋体" w:cs="Times New Roman"/>
      <w:b/>
      <w:bCs/>
      <w:sz w:val="32"/>
      <w:szCs w:val="32"/>
    </w:rPr>
  </w:style>
  <w:style w:type="character" w:customStyle="1" w:styleId="21">
    <w:name w:val="Heading 3 Char"/>
    <w:basedOn w:val="15"/>
    <w:link w:val="6"/>
    <w:semiHidden/>
    <w:qFormat/>
    <w:locked/>
    <w:uiPriority w:val="99"/>
    <w:rPr>
      <w:rFonts w:cs="Times New Roman"/>
      <w:b/>
      <w:bCs/>
      <w:sz w:val="32"/>
      <w:szCs w:val="32"/>
    </w:rPr>
  </w:style>
  <w:style w:type="character" w:customStyle="1" w:styleId="22">
    <w:name w:val="Body Text Char"/>
    <w:basedOn w:val="15"/>
    <w:link w:val="2"/>
    <w:semiHidden/>
    <w:qFormat/>
    <w:locked/>
    <w:uiPriority w:val="99"/>
    <w:rPr>
      <w:rFonts w:cs="Times New Roman"/>
      <w:sz w:val="24"/>
      <w:szCs w:val="24"/>
    </w:rPr>
  </w:style>
  <w:style w:type="character" w:customStyle="1" w:styleId="23">
    <w:name w:val="Comment Text Char"/>
    <w:basedOn w:val="15"/>
    <w:link w:val="7"/>
    <w:semiHidden/>
    <w:qFormat/>
    <w:locked/>
    <w:uiPriority w:val="99"/>
    <w:rPr>
      <w:rFonts w:cs="Times New Roman"/>
      <w:sz w:val="24"/>
      <w:szCs w:val="24"/>
    </w:rPr>
  </w:style>
  <w:style w:type="character" w:customStyle="1" w:styleId="24">
    <w:name w:val="Footer Char"/>
    <w:basedOn w:val="15"/>
    <w:link w:val="9"/>
    <w:semiHidden/>
    <w:qFormat/>
    <w:locked/>
    <w:uiPriority w:val="99"/>
    <w:rPr>
      <w:rFonts w:cs="Times New Roman"/>
      <w:sz w:val="18"/>
      <w:szCs w:val="18"/>
    </w:rPr>
  </w:style>
  <w:style w:type="character" w:customStyle="1" w:styleId="25">
    <w:name w:val="Header Char"/>
    <w:basedOn w:val="15"/>
    <w:link w:val="10"/>
    <w:semiHidden/>
    <w:qFormat/>
    <w:locked/>
    <w:uiPriority w:val="99"/>
    <w:rPr>
      <w:rFonts w:cs="Times New Roman"/>
      <w:sz w:val="18"/>
      <w:szCs w:val="18"/>
    </w:rPr>
  </w:style>
  <w:style w:type="paragraph" w:styleId="26">
    <w:name w:val="List Paragraph"/>
    <w:basedOn w:val="1"/>
    <w:qFormat/>
    <w:uiPriority w:val="99"/>
    <w:pPr>
      <w:ind w:firstLine="420" w:firstLineChars="200"/>
    </w:pPr>
  </w:style>
  <w:style w:type="paragraph" w:customStyle="1" w:styleId="27">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28">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29">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character" w:customStyle="1" w:styleId="30">
    <w:name w:val="Balloon Text Char"/>
    <w:basedOn w:val="15"/>
    <w:link w:val="8"/>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ZH\Desktop\&#24037;&#20316;&#31807;2.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ZH\Desktop\&#24037;&#20316;&#31807;3.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ZH\Desktop\&#24037;&#20316;&#31807;3.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ZH\Desktop\&#24037;&#20316;&#31807;2.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ZH\Desktop\&#24037;&#20316;&#31807;2.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ZH\Desktop\&#24037;&#20316;&#31807;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51944444444444"/>
          <c:y val="0.0324074074074074"/>
        </c:manualLayout>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true"/>
        <c:ser>
          <c:idx val="0"/>
          <c:order val="0"/>
          <c:tx>
            <c:strRef>
              <c:f>[工作簿2.xlsx]Sheet1!$B$1</c:f>
              <c:strCache>
                <c:ptCount val="1"/>
                <c:pt idx="0">
                  <c:v>收、支决算总计变动情况图</c:v>
                </c:pt>
              </c:strCache>
            </c:strRef>
          </c:tx>
          <c:spPr/>
          <c:invertIfNegative val="false"/>
          <c:dPt>
            <c:idx val="0"/>
            <c:invertIfNegative val="false"/>
            <c:bubble3D val="false"/>
            <c:spPr>
              <a:solidFill>
                <a:schemeClr val="accent1"/>
              </a:solidFill>
              <a:ln>
                <a:noFill/>
              </a:ln>
              <a:effectLst/>
            </c:spPr>
          </c:dPt>
          <c:dPt>
            <c:idx val="1"/>
            <c:invertIfNegative val="false"/>
            <c:bubble3D val="false"/>
            <c:spPr>
              <a:solidFill>
                <a:schemeClr val="accent2"/>
              </a:solidFill>
              <a:ln>
                <a:no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[工作簿2.xlsx]Sheet1!$A$2:$A$3</c:f>
              <c:strCache>
                <c:ptCount val="2"/>
                <c:pt idx="0">
                  <c:v>2019年</c:v>
                </c:pt>
                <c:pt idx="1">
                  <c:v>2020年</c:v>
                </c:pt>
              </c:strCache>
            </c:strRef>
          </c:cat>
          <c:val>
            <c:numRef>
              <c:f>[工作簿2.xlsx]Sheet1!$B$2:$B$3</c:f>
              <c:numCache>
                <c:formatCode>General</c:formatCode>
                <c:ptCount val="2"/>
                <c:pt idx="0">
                  <c:v>15183.93</c:v>
                </c:pt>
                <c:pt idx="1">
                  <c:v>14555.4</c:v>
                </c:pt>
              </c:numCache>
            </c:numRef>
          </c:val>
        </c:ser>
        <c:dLbls>
          <c:showLegendKey val="false"/>
          <c:showVal val="true"/>
          <c:showCatName val="false"/>
          <c:showSerName val="false"/>
          <c:showPercent val="false"/>
          <c:showBubbleSize val="false"/>
        </c:dLbls>
        <c:gapWidth val="219"/>
        <c:overlap val="-27"/>
        <c:axId val="345578020"/>
        <c:axId val="435964682"/>
      </c:barChart>
      <c:catAx>
        <c:axId val="345578020"/>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35964682"/>
        <c:crosses val="autoZero"/>
        <c:auto val="true"/>
        <c:lblAlgn val="ctr"/>
        <c:lblOffset val="100"/>
        <c:noMultiLvlLbl val="false"/>
      </c:catAx>
      <c:valAx>
        <c:axId val="435964682"/>
        <c:scaling>
          <c:orientation val="minMax"/>
          <c:min val="0"/>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45578020"/>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[工作簿3.xlsx]Sheet1!$B$4</c:f>
              <c:strCache>
                <c:ptCount val="1"/>
                <c:pt idx="0">
                  <c:v>收入决算结构图</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[工作簿3.xlsx]Sheet1!$A$5:$A$7</c:f>
              <c:strCache>
                <c:ptCount val="3"/>
                <c:pt idx="0">
                  <c:v>一般公共预算财政拨款收入</c:v>
                </c:pt>
                <c:pt idx="1">
                  <c:v>事业收入</c:v>
                </c:pt>
                <c:pt idx="2">
                  <c:v>其他收入</c:v>
                </c:pt>
              </c:strCache>
            </c:strRef>
          </c:cat>
          <c:val>
            <c:numRef>
              <c:f>[工作簿3.xlsx]Sheet1!$B$5:$B$7</c:f>
              <c:numCache>
                <c:formatCode>General</c:formatCode>
                <c:ptCount val="3"/>
                <c:pt idx="0">
                  <c:v>11263.58</c:v>
                </c:pt>
                <c:pt idx="1">
                  <c:v>3261.04</c:v>
                </c:pt>
                <c:pt idx="2">
                  <c:v>30.78</c:v>
                </c:pt>
              </c:numCache>
            </c:numRef>
          </c:val>
        </c:ser>
        <c:ser>
          <c:idx val="1"/>
          <c:order val="1"/>
          <c:tx>
            <c:strRef>
              <c:f>[工作簿3.xlsx]Sheet1!$C$4</c:f>
              <c:strCache>
                <c:ptCount val="1"/>
                <c:pt idx="0">
                  <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[工作簿3.xlsx]Sheet1!$A$5:$A$7</c:f>
              <c:strCache>
                <c:ptCount val="3"/>
                <c:pt idx="0">
                  <c:v>一般公共预算财政拨款收入</c:v>
                </c:pt>
                <c:pt idx="1">
                  <c:v>事业收入</c:v>
                </c:pt>
                <c:pt idx="2">
                  <c:v>其他收入</c:v>
                </c:pt>
              </c:strCache>
            </c:strRef>
          </c:cat>
          <c:val>
            <c:numRef>
              <c:f>[工作簿3.xlsx]Sheet1!$C$5:$C$7</c:f>
              <c:numCache>
                <c:formatCode>0%</c:formatCode>
                <c:ptCount val="3"/>
                <c:pt idx="0">
                  <c:v>0.773842010525303</c:v>
                </c:pt>
                <c:pt idx="1">
                  <c:v>0.224043310386523</c:v>
                </c:pt>
                <c:pt idx="2">
                  <c:v>0.01</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manualLayout>
          <c:xMode val="edge"/>
          <c:yMode val="edge"/>
          <c:x val="0.415833333333333"/>
          <c:y val="0.0277777777777778"/>
        </c:manualLayout>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[工作簿3.xlsx]Sheet1!$A$10:$A$12</c:f>
              <c:strCache>
                <c:ptCount val="3"/>
                <c:pt idx="1">
                  <c:v>基本支出</c:v>
                </c:pt>
                <c:pt idx="2">
                  <c:v>项目支出</c:v>
                </c:pt>
              </c:strCache>
            </c:strRef>
          </c:cat>
          <c:val>
            <c:numRef>
              <c:f>[工作簿3.xlsx]Sheet1!$B$10:$B$12</c:f>
              <c:numCache>
                <c:formatCode>General</c:formatCode>
                <c:ptCount val="3"/>
                <c:pt idx="0">
                  <c:v>0</c:v>
                </c:pt>
                <c:pt idx="1">
                  <c:v>9383.25</c:v>
                </c:pt>
                <c:pt idx="2">
                  <c:v>5167.12</c:v>
                </c:pt>
              </c:numCache>
            </c:numRef>
          </c:val>
        </c:ser>
        <c:ser>
          <c:idx val="1"/>
          <c:order val="1"/>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[工作簿3.xlsx]Sheet1!$A$10:$A$12</c:f>
              <c:strCache>
                <c:ptCount val="3"/>
                <c:pt idx="1">
                  <c:v>基本支出</c:v>
                </c:pt>
                <c:pt idx="2">
                  <c:v>项目支出</c:v>
                </c:pt>
              </c:strCache>
            </c:strRef>
          </c:cat>
          <c:val>
            <c:numRef>
              <c:f>[工作簿3.xlsx]Sheet1!$C$10:$C$12</c:f>
              <c:numCache>
                <c:formatCode>General</c:formatCode>
                <c:ptCount val="3"/>
                <c:pt idx="1" c:formatCode="0.00%">
                  <c:v>0.644880508193262</c:v>
                </c:pt>
                <c:pt idx="2" c:formatCode="0.00%">
                  <c:v>0.355119491806738</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false"/>
      <c:spPr>
        <a:noFill/>
        <a:ln>
          <a:noFill/>
        </a:ln>
        <a:effectLst/>
      </c:spPr>
    </c:title>
    <c:autoTitleDeleted val="false"/>
    <c:plotArea>
      <c:layout/>
      <c:barChart>
        <c:barDir val="col"/>
        <c:grouping val="clustered"/>
        <c:varyColors val="true"/>
        <c:ser>
          <c:idx val="0"/>
          <c:order val="0"/>
          <c:tx>
            <c:strRef>
              <c:f>[工作簿2.xlsx]Sheet1!$B$19</c:f>
              <c:strCache>
                <c:ptCount val="1"/>
                <c:pt idx="0">
                  <c:v>一般公共预算财政拨款支出决算变动情况</c:v>
                </c:pt>
              </c:strCache>
            </c:strRef>
          </c:tx>
          <c:spPr/>
          <c:invertIfNegative val="false"/>
          <c:dPt>
            <c:idx val="0"/>
            <c:invertIfNegative val="false"/>
            <c:bubble3D val="false"/>
            <c:spPr>
              <a:solidFill>
                <a:schemeClr val="accent1"/>
              </a:solidFill>
              <a:ln>
                <a:noFill/>
              </a:ln>
              <a:effectLst/>
            </c:spPr>
          </c:dPt>
          <c:dPt>
            <c:idx val="1"/>
            <c:invertIfNegative val="false"/>
            <c:bubble3D val="false"/>
            <c:spPr>
              <a:solidFill>
                <a:schemeClr val="accent2"/>
              </a:solidFill>
              <a:ln>
                <a:no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[工作簿2.xlsx]Sheet1!$A$20:$A$21</c:f>
              <c:strCache>
                <c:ptCount val="2"/>
                <c:pt idx="0">
                  <c:v>2019年</c:v>
                </c:pt>
                <c:pt idx="1">
                  <c:v>2020年</c:v>
                </c:pt>
              </c:strCache>
            </c:strRef>
          </c:cat>
          <c:val>
            <c:numRef>
              <c:f>[工作簿2.xlsx]Sheet1!$B$20:$B$21</c:f>
              <c:numCache>
                <c:formatCode>General</c:formatCode>
                <c:ptCount val="2"/>
                <c:pt idx="0">
                  <c:v>10952.46</c:v>
                </c:pt>
                <c:pt idx="1">
                  <c:v>11263.58</c:v>
                </c:pt>
              </c:numCache>
            </c:numRef>
          </c:val>
        </c:ser>
        <c:dLbls>
          <c:showLegendKey val="false"/>
          <c:showVal val="true"/>
          <c:showCatName val="false"/>
          <c:showSerName val="false"/>
          <c:showPercent val="false"/>
          <c:showBubbleSize val="false"/>
        </c:dLbls>
        <c:gapWidth val="219"/>
        <c:overlap val="-27"/>
        <c:axId val="798980001"/>
        <c:axId val="984948791"/>
      </c:barChart>
      <c:catAx>
        <c:axId val="798980001"/>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84948791"/>
        <c:crosses val="autoZero"/>
        <c:auto val="true"/>
        <c:lblAlgn val="ctr"/>
        <c:lblOffset val="100"/>
        <c:noMultiLvlLbl val="false"/>
      </c:catAx>
      <c:valAx>
        <c:axId val="984948791"/>
        <c:scaling>
          <c:orientation val="minMax"/>
          <c:min val="0"/>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98980001"/>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true"/>
        <c:ser>
          <c:idx val="0"/>
          <c:order val="0"/>
          <c:tx>
            <c:strRef>
              <c:f>[工作簿2.xlsx]Sheet1!$B$19</c:f>
              <c:strCache>
                <c:ptCount val="1"/>
                <c:pt idx="0">
                  <c:v>一般公共预算财政拨款支出决算变动情况</c:v>
                </c:pt>
              </c:strCache>
            </c:strRef>
          </c:tx>
          <c:spPr/>
          <c:invertIfNegative val="false"/>
          <c:dPt>
            <c:idx val="0"/>
            <c:invertIfNegative val="false"/>
            <c:bubble3D val="false"/>
            <c:spPr>
              <a:solidFill>
                <a:schemeClr val="accent1"/>
              </a:solidFill>
              <a:ln>
                <a:noFill/>
              </a:ln>
              <a:effectLst/>
            </c:spPr>
          </c:dPt>
          <c:dPt>
            <c:idx val="1"/>
            <c:invertIfNegative val="false"/>
            <c:bubble3D val="false"/>
            <c:spPr>
              <a:solidFill>
                <a:schemeClr val="accent2"/>
              </a:solidFill>
              <a:ln>
                <a:no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[工作簿2.xlsx]Sheet1!$A$20:$A$21</c:f>
              <c:strCache>
                <c:ptCount val="2"/>
                <c:pt idx="0">
                  <c:v>2019年</c:v>
                </c:pt>
                <c:pt idx="1">
                  <c:v>2020年</c:v>
                </c:pt>
              </c:strCache>
            </c:strRef>
          </c:cat>
          <c:val>
            <c:numRef>
              <c:f>[工作簿2.xlsx]Sheet1!$B$20:$B$21</c:f>
              <c:numCache>
                <c:formatCode>General</c:formatCode>
                <c:ptCount val="2"/>
                <c:pt idx="0">
                  <c:v>10952.46</c:v>
                </c:pt>
                <c:pt idx="1">
                  <c:v>11263.58</c:v>
                </c:pt>
              </c:numCache>
            </c:numRef>
          </c:val>
        </c:ser>
        <c:dLbls>
          <c:showLegendKey val="false"/>
          <c:showVal val="true"/>
          <c:showCatName val="false"/>
          <c:showSerName val="false"/>
          <c:showPercent val="false"/>
          <c:showBubbleSize val="false"/>
        </c:dLbls>
        <c:gapWidth val="219"/>
        <c:overlap val="-27"/>
        <c:axId val="798980001"/>
        <c:axId val="984948791"/>
      </c:barChart>
      <c:catAx>
        <c:axId val="798980001"/>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84948791"/>
        <c:crosses val="autoZero"/>
        <c:auto val="true"/>
        <c:lblAlgn val="ctr"/>
        <c:lblOffset val="100"/>
        <c:noMultiLvlLbl val="false"/>
      </c:catAx>
      <c:valAx>
        <c:axId val="984948791"/>
        <c:scaling>
          <c:orientation val="minMax"/>
          <c:min val="0"/>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98980001"/>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06159782764042"/>
          <c:y val="0.120654984199943"/>
        </c:manualLayout>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[工作簿3.xlsx]Sheet1!$B$24</c:f>
              <c:strCache>
                <c:ptCount val="1"/>
                <c:pt idx="0">
                  <c:v>一般公共预算财政拨款支出决算结构
</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dLbl>
              <c:idx val="1"/>
              <c:layout>
                <c:manualLayout>
                  <c:x val="-0.0697016629531786"/>
                  <c:y val="-0.0369524329843424"/>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921870532204291"/>
                  <c:y val="0.0228011401251657"/>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[工作簿3.xlsx]Sheet1!$A$25:$A$27</c:f>
              <c:strCache>
                <c:ptCount val="3"/>
                <c:pt idx="0">
                  <c:v>教育支出（类）</c:v>
                </c:pt>
                <c:pt idx="1">
                  <c:v>社会保障和就业（类）</c:v>
                </c:pt>
                <c:pt idx="2">
                  <c:v>商业服务业等支出</c:v>
                </c:pt>
              </c:strCache>
            </c:strRef>
          </c:cat>
          <c:val>
            <c:numRef>
              <c:f>[工作簿3.xlsx]Sheet1!$B$25:$B$27</c:f>
              <c:numCache>
                <c:formatCode>General</c:formatCode>
                <c:ptCount val="3"/>
                <c:pt idx="0">
                  <c:v>11218.02</c:v>
                </c:pt>
                <c:pt idx="1">
                  <c:v>11.94</c:v>
                </c:pt>
                <c:pt idx="2">
                  <c:v>33.62</c:v>
                </c:pt>
              </c:numCache>
            </c:numRef>
          </c:val>
        </c:ser>
        <c:ser>
          <c:idx val="1"/>
          <c:order val="1"/>
          <c:tx>
            <c:strRef>
              <c:f>[工作簿3.xlsx]Sheet1!$C$24</c:f>
              <c:strCache>
                <c:ptCount val="1"/>
                <c:pt idx="0">
                  <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[工作簿3.xlsx]Sheet1!$A$25:$A$27</c:f>
              <c:strCache>
                <c:ptCount val="3"/>
                <c:pt idx="0">
                  <c:v>教育支出（类）</c:v>
                </c:pt>
                <c:pt idx="1">
                  <c:v>社会保障和就业（类）</c:v>
                </c:pt>
                <c:pt idx="2">
                  <c:v>商业服务业等支出</c:v>
                </c:pt>
              </c:strCache>
            </c:strRef>
          </c:cat>
          <c:val>
            <c:numRef>
              <c:f>[工作簿3.xlsx]Sheet1!$C$25:$C$27</c:f>
              <c:numCache>
                <c:formatCode>0.00%</c:formatCode>
                <c:ptCount val="3"/>
                <c:pt idx="0">
                  <c:v>0.995955104860089</c:v>
                </c:pt>
                <c:pt idx="1">
                  <c:v>0.001</c:v>
                </c:pt>
                <c:pt idx="2">
                  <c:v>0.00298484140921448</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manualLayout>
          <c:xMode val="edge"/>
          <c:yMode val="edge"/>
          <c:x val="0.690010004287552"/>
          <c:y val="0.255099109451307"/>
          <c:w val="0.252965556667143"/>
          <c:h val="0.607584027578282"/>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1a614df-7e9e-41a5-8cf0-b83bfa13df1a}"/>
        <w:style w:val=""/>
        <w:category>
          <w:name w:val="常规"/>
          <w:gallery w:val="placeholder"/>
        </w:category>
        <w:types>
          <w:type w:val="bbPlcHdr"/>
        </w:types>
        <w:behaviors>
          <w:behavior w:val="content"/>
        </w:behaviors>
        <w:description w:val=""/>
        <w:guid w:val="{c1a614df-7e9e-41a5-8cf0-b83bfa13df1a}"/>
      </w:docPartPr>
      <w:docPartBody>
        <w:p>
          <w:r>
            <w:rPr>
              <w:color w:val="808080"/>
            </w:rPr>
            <w:t>单击此处输入文字。</w:t>
          </w:r>
        </w:p>
      </w:docPartBody>
    </w:docPart>
    <w:docPart>
      <w:docPartPr>
        <w:name w:val="{1cc78c20-e80e-4eb9-87f9-6c11e9243c21}"/>
        <w:style w:val=""/>
        <w:category>
          <w:name w:val="常规"/>
          <w:gallery w:val="placeholder"/>
        </w:category>
        <w:types>
          <w:type w:val="bbPlcHdr"/>
        </w:types>
        <w:behaviors>
          <w:behavior w:val="content"/>
        </w:behaviors>
        <w:description w:val=""/>
        <w:guid w:val="{1cc78c20-e80e-4eb9-87f9-6c11e9243c21}"/>
      </w:docPartPr>
      <w:docPartBody>
        <w:p>
          <w:r>
            <w:rPr>
              <w:color w:val="808080"/>
            </w:rPr>
            <w:t>单击此处输入文字。</w:t>
          </w:r>
        </w:p>
      </w:docPartBody>
    </w:docPart>
    <w:docPart>
      <w:docPartPr>
        <w:name w:val="{e90e9e24-e44e-446c-afc3-ffc4d328d4cb}"/>
        <w:style w:val=""/>
        <w:category>
          <w:name w:val="常规"/>
          <w:gallery w:val="placeholder"/>
        </w:category>
        <w:types>
          <w:type w:val="bbPlcHdr"/>
        </w:types>
        <w:behaviors>
          <w:behavior w:val="content"/>
        </w:behaviors>
        <w:description w:val=""/>
        <w:guid w:val="{e90e9e24-e44e-446c-afc3-ffc4d328d4cb}"/>
      </w:docPartPr>
      <w:docPartBody>
        <w:p>
          <w:r>
            <w:rPr>
              <w:color w:val="808080"/>
            </w:rPr>
            <w:t>单击此处输入文字。</w:t>
          </w:r>
        </w:p>
      </w:docPartBody>
    </w:docPart>
    <w:docPart>
      <w:docPartPr>
        <w:name w:val="{1131d051-6de5-49aa-a96a-d84fb52a32d9}"/>
        <w:style w:val=""/>
        <w:category>
          <w:name w:val="常规"/>
          <w:gallery w:val="placeholder"/>
        </w:category>
        <w:types>
          <w:type w:val="bbPlcHdr"/>
        </w:types>
        <w:behaviors>
          <w:behavior w:val="content"/>
        </w:behaviors>
        <w:description w:val=""/>
        <w:guid w:val="{1131d051-6de5-49aa-a96a-d84fb52a32d9}"/>
      </w:docPartPr>
      <w:docPartBody>
        <w:p>
          <w:r>
            <w:rPr>
              <w:color w:val="808080"/>
            </w:rPr>
            <w:t>单击此处输入文字。</w:t>
          </w:r>
        </w:p>
      </w:docPartBody>
    </w:docPart>
    <w:docPart>
      <w:docPartPr>
        <w:name w:val="{9ddd8438-3db5-407a-bf8c-f57e8f12c83e}"/>
        <w:style w:val=""/>
        <w:category>
          <w:name w:val="常规"/>
          <w:gallery w:val="placeholder"/>
        </w:category>
        <w:types>
          <w:type w:val="bbPlcHdr"/>
        </w:types>
        <w:behaviors>
          <w:behavior w:val="content"/>
        </w:behaviors>
        <w:description w:val=""/>
        <w:guid w:val="{9ddd8438-3db5-407a-bf8c-f57e8f12c83e}"/>
      </w:docPartPr>
      <w:docPartBody>
        <w:p>
          <w:r>
            <w:rPr>
              <w:color w:val="808080"/>
            </w:rPr>
            <w:t>单击此处输入文字。</w:t>
          </w:r>
        </w:p>
      </w:docPartBody>
    </w:docPart>
    <w:docPart>
      <w:docPartPr>
        <w:name w:val="{ee2d9eec-d28e-43b0-a203-5b9539b37052}"/>
        <w:style w:val=""/>
        <w:category>
          <w:name w:val="常规"/>
          <w:gallery w:val="placeholder"/>
        </w:category>
        <w:types>
          <w:type w:val="bbPlcHdr"/>
        </w:types>
        <w:behaviors>
          <w:behavior w:val="content"/>
        </w:behaviors>
        <w:description w:val=""/>
        <w:guid w:val="{ee2d9eec-d28e-43b0-a203-5b9539b37052}"/>
      </w:docPartPr>
      <w:docPartBody>
        <w:p>
          <w:r>
            <w:rPr>
              <w:color w:val="808080"/>
            </w:rPr>
            <w:t>单击此处输入文字。</w:t>
          </w:r>
        </w:p>
      </w:docPartBody>
    </w:docPart>
    <w:docPart>
      <w:docPartPr>
        <w:name w:val="{28834d91-a4c6-46f8-b848-cd636f4e4cf4}"/>
        <w:style w:val=""/>
        <w:category>
          <w:name w:val="常规"/>
          <w:gallery w:val="placeholder"/>
        </w:category>
        <w:types>
          <w:type w:val="bbPlcHdr"/>
        </w:types>
        <w:behaviors>
          <w:behavior w:val="content"/>
        </w:behaviors>
        <w:description w:val=""/>
        <w:guid w:val="{28834d91-a4c6-46f8-b848-cd636f4e4cf4}"/>
      </w:docPartPr>
      <w:docPartBody>
        <w:p>
          <w:r>
            <w:rPr>
              <w:color w:val="808080"/>
            </w:rPr>
            <w:t>单击此处输入文字。</w:t>
          </w:r>
        </w:p>
      </w:docPartBody>
    </w:docPart>
    <w:docPart>
      <w:docPartPr>
        <w:name w:val="{c755a13b-1eb6-4cfd-8133-f6e50fca2d65}"/>
        <w:style w:val=""/>
        <w:category>
          <w:name w:val="常规"/>
          <w:gallery w:val="placeholder"/>
        </w:category>
        <w:types>
          <w:type w:val="bbPlcHdr"/>
        </w:types>
        <w:behaviors>
          <w:behavior w:val="content"/>
        </w:behaviors>
        <w:description w:val=""/>
        <w:guid w:val="{c755a13b-1eb6-4cfd-8133-f6e50fca2d65}"/>
      </w:docPartPr>
      <w:docPartBody>
        <w:p>
          <w:r>
            <w:rPr>
              <w:color w:val="808080"/>
            </w:rPr>
            <w:t>单击此处输入文字。</w:t>
          </w:r>
        </w:p>
      </w:docPartBody>
    </w:docPart>
    <w:docPart>
      <w:docPartPr>
        <w:name w:val="{0bc3f6c5-92c1-4ca7-9892-a45d27e7884e}"/>
        <w:style w:val=""/>
        <w:category>
          <w:name w:val="常规"/>
          <w:gallery w:val="placeholder"/>
        </w:category>
        <w:types>
          <w:type w:val="bbPlcHdr"/>
        </w:types>
        <w:behaviors>
          <w:behavior w:val="content"/>
        </w:behaviors>
        <w:description w:val=""/>
        <w:guid w:val="{0bc3f6c5-92c1-4ca7-9892-a45d27e7884e}"/>
      </w:docPartPr>
      <w:docPartBody>
        <w:p>
          <w:r>
            <w:rPr>
              <w:color w:val="808080"/>
            </w:rPr>
            <w:t>单击此处输入文字。</w:t>
          </w:r>
        </w:p>
      </w:docPartBody>
    </w:docPart>
    <w:docPart>
      <w:docPartPr>
        <w:name w:val="{53689af7-d760-4d42-a446-dd0919c1f705}"/>
        <w:style w:val=""/>
        <w:category>
          <w:name w:val="常规"/>
          <w:gallery w:val="placeholder"/>
        </w:category>
        <w:types>
          <w:type w:val="bbPlcHdr"/>
        </w:types>
        <w:behaviors>
          <w:behavior w:val="content"/>
        </w:behaviors>
        <w:description w:val=""/>
        <w:guid w:val="{53689af7-d760-4d42-a446-dd0919c1f705}"/>
      </w:docPartPr>
      <w:docPartBody>
        <w:p>
          <w:r>
            <w:rPr>
              <w:color w:val="808080"/>
            </w:rPr>
            <w:t>单击此处输入文字。</w:t>
          </w:r>
        </w:p>
      </w:docPartBody>
    </w:docPart>
    <w:docPart>
      <w:docPartPr>
        <w:name w:val="{2ed26f09-6027-4dae-ab06-9c631310b594}"/>
        <w:style w:val=""/>
        <w:category>
          <w:name w:val="常规"/>
          <w:gallery w:val="placeholder"/>
        </w:category>
        <w:types>
          <w:type w:val="bbPlcHdr"/>
        </w:types>
        <w:behaviors>
          <w:behavior w:val="content"/>
        </w:behaviors>
        <w:description w:val=""/>
        <w:guid w:val="{2ed26f09-6027-4dae-ab06-9c631310b594}"/>
      </w:docPartPr>
      <w:docPartBody>
        <w:p>
          <w:r>
            <w:rPr>
              <w:color w:val="808080"/>
            </w:rPr>
            <w:t>单击此处输入文字。</w:t>
          </w:r>
        </w:p>
      </w:docPartBody>
    </w:docPart>
    <w:docPart>
      <w:docPartPr>
        <w:name w:val="{9d079338-0755-4f66-a81d-c492acf667c6}"/>
        <w:style w:val=""/>
        <w:category>
          <w:name w:val="常规"/>
          <w:gallery w:val="placeholder"/>
        </w:category>
        <w:types>
          <w:type w:val="bbPlcHdr"/>
        </w:types>
        <w:behaviors>
          <w:behavior w:val="content"/>
        </w:behaviors>
        <w:description w:val=""/>
        <w:guid w:val="{9d079338-0755-4f66-a81d-c492acf667c6}"/>
      </w:docPartPr>
      <w:docPartBody>
        <w:p>
          <w:r>
            <w:rPr>
              <w:color w:val="808080"/>
            </w:rPr>
            <w:t>单击此处输入文字。</w:t>
          </w:r>
        </w:p>
      </w:docPartBody>
    </w:docPart>
    <w:docPart>
      <w:docPartPr>
        <w:name w:val="{022f3a36-c0b3-434d-b5ab-f7ca9750535e}"/>
        <w:style w:val=""/>
        <w:category>
          <w:name w:val="常规"/>
          <w:gallery w:val="placeholder"/>
        </w:category>
        <w:types>
          <w:type w:val="bbPlcHdr"/>
        </w:types>
        <w:behaviors>
          <w:behavior w:val="content"/>
        </w:behaviors>
        <w:description w:val=""/>
        <w:guid w:val="{022f3a36-c0b3-434d-b5ab-f7ca9750535e}"/>
      </w:docPartPr>
      <w:docPartBody>
        <w:p>
          <w:r>
            <w:rPr>
              <w:color w:val="808080"/>
            </w:rPr>
            <w:t>单击此处输入文字。</w:t>
          </w:r>
        </w:p>
      </w:docPartBody>
    </w:docPart>
    <w:docPart>
      <w:docPartPr>
        <w:name w:val="{9ee843f4-df67-42d9-99b0-951458708a1f}"/>
        <w:style w:val=""/>
        <w:category>
          <w:name w:val="常规"/>
          <w:gallery w:val="placeholder"/>
        </w:category>
        <w:types>
          <w:type w:val="bbPlcHdr"/>
        </w:types>
        <w:behaviors>
          <w:behavior w:val="content"/>
        </w:behaviors>
        <w:description w:val=""/>
        <w:guid w:val="{9ee843f4-df67-42d9-99b0-951458708a1f}"/>
      </w:docPartPr>
      <w:docPartBody>
        <w:p>
          <w:r>
            <w:rPr>
              <w:color w:val="808080"/>
            </w:rPr>
            <w:t>单击此处输入文字。</w:t>
          </w:r>
        </w:p>
      </w:docPartBody>
    </w:docPart>
    <w:docPart>
      <w:docPartPr>
        <w:name w:val="{eec9c8d8-ae47-4295-879f-8c365d49fdf9}"/>
        <w:style w:val=""/>
        <w:category>
          <w:name w:val="常规"/>
          <w:gallery w:val="placeholder"/>
        </w:category>
        <w:types>
          <w:type w:val="bbPlcHdr"/>
        </w:types>
        <w:behaviors>
          <w:behavior w:val="content"/>
        </w:behaviors>
        <w:description w:val=""/>
        <w:guid w:val="{eec9c8d8-ae47-4295-879f-8c365d49fdf9}"/>
      </w:docPartPr>
      <w:docPartBody>
        <w:p>
          <w:r>
            <w:rPr>
              <w:color w:val="808080"/>
            </w:rPr>
            <w:t>单击此处输入文字。</w:t>
          </w:r>
        </w:p>
      </w:docPartBody>
    </w:docPart>
    <w:docPart>
      <w:docPartPr>
        <w:name w:val="{28d50d48-4af0-4470-afd7-28d5947289ae}"/>
        <w:style w:val=""/>
        <w:category>
          <w:name w:val="常规"/>
          <w:gallery w:val="placeholder"/>
        </w:category>
        <w:types>
          <w:type w:val="bbPlcHdr"/>
        </w:types>
        <w:behaviors>
          <w:behavior w:val="content"/>
        </w:behaviors>
        <w:description w:val=""/>
        <w:guid w:val="{28d50d48-4af0-4470-afd7-28d5947289ae}"/>
      </w:docPartPr>
      <w:docPartBody>
        <w:p>
          <w:r>
            <w:rPr>
              <w:color w:val="808080"/>
            </w:rPr>
            <w:t>单击此处输入文字。</w:t>
          </w:r>
        </w:p>
      </w:docPartBody>
    </w:docPart>
    <w:docPart>
      <w:docPartPr>
        <w:name w:val="{698cbd69-b96a-417a-9511-27abb788e606}"/>
        <w:style w:val=""/>
        <w:category>
          <w:name w:val="常规"/>
          <w:gallery w:val="placeholder"/>
        </w:category>
        <w:types>
          <w:type w:val="bbPlcHdr"/>
        </w:types>
        <w:behaviors>
          <w:behavior w:val="content"/>
        </w:behaviors>
        <w:description w:val=""/>
        <w:guid w:val="{698cbd69-b96a-417a-9511-27abb788e606}"/>
      </w:docPartPr>
      <w:docPartBody>
        <w:p>
          <w:r>
            <w:rPr>
              <w:color w:val="808080"/>
            </w:rPr>
            <w:t>单击此处输入文字。</w:t>
          </w:r>
        </w:p>
      </w:docPartBody>
    </w:docPart>
    <w:docPart>
      <w:docPartPr>
        <w:name w:val="{79e8f5b1-7dc5-453c-8a91-67cefc3ee348}"/>
        <w:style w:val=""/>
        <w:category>
          <w:name w:val="常规"/>
          <w:gallery w:val="placeholder"/>
        </w:category>
        <w:types>
          <w:type w:val="bbPlcHdr"/>
        </w:types>
        <w:behaviors>
          <w:behavior w:val="content"/>
        </w:behaviors>
        <w:description w:val=""/>
        <w:guid w:val="{79e8f5b1-7dc5-453c-8a91-67cefc3ee348}"/>
      </w:docPartPr>
      <w:docPartBody>
        <w:p>
          <w:r>
            <w:rPr>
              <w:color w:val="808080"/>
            </w:rPr>
            <w:t>单击此处输入文字。</w:t>
          </w:r>
        </w:p>
      </w:docPartBody>
    </w:docPart>
    <w:docPart>
      <w:docPartPr>
        <w:name w:val="{86917bfb-13da-454c-8300-f26c9510ea4d}"/>
        <w:style w:val=""/>
        <w:category>
          <w:name w:val="常规"/>
          <w:gallery w:val="placeholder"/>
        </w:category>
        <w:types>
          <w:type w:val="bbPlcHdr"/>
        </w:types>
        <w:behaviors>
          <w:behavior w:val="content"/>
        </w:behaviors>
        <w:description w:val=""/>
        <w:guid w:val="{86917bfb-13da-454c-8300-f26c9510ea4d}"/>
      </w:docPartPr>
      <w:docPartBody>
        <w:p>
          <w:r>
            <w:rPr>
              <w:color w:val="808080"/>
            </w:rPr>
            <w:t>单击此处输入文字。</w:t>
          </w:r>
        </w:p>
      </w:docPartBody>
    </w:docPart>
    <w:docPart>
      <w:docPartPr>
        <w:name w:val="{97f80310-4dff-43cb-9f7b-87c065eeb8c4}"/>
        <w:style w:val=""/>
        <w:category>
          <w:name w:val="常规"/>
          <w:gallery w:val="placeholder"/>
        </w:category>
        <w:types>
          <w:type w:val="bbPlcHdr"/>
        </w:types>
        <w:behaviors>
          <w:behavior w:val="content"/>
        </w:behaviors>
        <w:description w:val=""/>
        <w:guid w:val="{97f80310-4dff-43cb-9f7b-87c065eeb8c4}"/>
      </w:docPartPr>
      <w:docPartBody>
        <w:p>
          <w:r>
            <w:rPr>
              <w:color w:val="808080"/>
            </w:rPr>
            <w:t>单击此处输入文字。</w:t>
          </w:r>
        </w:p>
      </w:docPartBody>
    </w:docPart>
    <w:docPart>
      <w:docPartPr>
        <w:name w:val="{4564a188-eb53-4ca4-837c-aff17ddb1c93}"/>
        <w:style w:val=""/>
        <w:category>
          <w:name w:val="常规"/>
          <w:gallery w:val="placeholder"/>
        </w:category>
        <w:types>
          <w:type w:val="bbPlcHdr"/>
        </w:types>
        <w:behaviors>
          <w:behavior w:val="content"/>
        </w:behaviors>
        <w:description w:val=""/>
        <w:guid w:val="{4564a188-eb53-4ca4-837c-aff17ddb1c93}"/>
      </w:docPartPr>
      <w:docPartBody>
        <w:p>
          <w:r>
            <w:rPr>
              <w:color w:val="808080"/>
            </w:rPr>
            <w:t>单击此处输入文字。</w:t>
          </w:r>
        </w:p>
      </w:docPartBody>
    </w:docPart>
    <w:docPart>
      <w:docPartPr>
        <w:name w:val="{56344268-cc7e-4b10-ac9d-aff0a6068890}"/>
        <w:style w:val=""/>
        <w:category>
          <w:name w:val="常规"/>
          <w:gallery w:val="placeholder"/>
        </w:category>
        <w:types>
          <w:type w:val="bbPlcHdr"/>
        </w:types>
        <w:behaviors>
          <w:behavior w:val="content"/>
        </w:behaviors>
        <w:description w:val=""/>
        <w:guid w:val="{56344268-cc7e-4b10-ac9d-aff0a6068890}"/>
      </w:docPartPr>
      <w:docPartBody>
        <w:p>
          <w:r>
            <w:rPr>
              <w:color w:val="808080"/>
            </w:rPr>
            <w:t>单击此处输入文字。</w:t>
          </w:r>
        </w:p>
      </w:docPartBody>
    </w:docPart>
    <w:docPart>
      <w:docPartPr>
        <w:name w:val="{0dcc015e-3522-4f6c-b2d5-407470230316}"/>
        <w:style w:val=""/>
        <w:category>
          <w:name w:val="常规"/>
          <w:gallery w:val="placeholder"/>
        </w:category>
        <w:types>
          <w:type w:val="bbPlcHdr"/>
        </w:types>
        <w:behaviors>
          <w:behavior w:val="content"/>
        </w:behaviors>
        <w:description w:val=""/>
        <w:guid w:val="{0dcc015e-3522-4f6c-b2d5-407470230316}"/>
      </w:docPartPr>
      <w:docPartBody>
        <w:p>
          <w:r>
            <w:rPr>
              <w:color w:val="808080"/>
            </w:rPr>
            <w:t>单击此处输入文字。</w:t>
          </w:r>
        </w:p>
      </w:docPartBody>
    </w:docPart>
    <w:docPart>
      <w:docPartPr>
        <w:name w:val="{ecc83967-370f-4253-a521-991bc475f487}"/>
        <w:style w:val=""/>
        <w:category>
          <w:name w:val="常规"/>
          <w:gallery w:val="placeholder"/>
        </w:category>
        <w:types>
          <w:type w:val="bbPlcHdr"/>
        </w:types>
        <w:behaviors>
          <w:behavior w:val="content"/>
        </w:behaviors>
        <w:description w:val=""/>
        <w:guid w:val="{ecc83967-370f-4253-a521-991bc475f487}"/>
      </w:docPartPr>
      <w:docPartBody>
        <w:p>
          <w:r>
            <w:rPr>
              <w:color w:val="808080"/>
            </w:rPr>
            <w:t>单击此处输入文字。</w:t>
          </w:r>
        </w:p>
      </w:docPartBody>
    </w:docPart>
    <w:docPart>
      <w:docPartPr>
        <w:name w:val="{277e0581-952c-4a9a-8c72-32bbd9cd544e}"/>
        <w:style w:val=""/>
        <w:category>
          <w:name w:val="常规"/>
          <w:gallery w:val="placeholder"/>
        </w:category>
        <w:types>
          <w:type w:val="bbPlcHdr"/>
        </w:types>
        <w:behaviors>
          <w:behavior w:val="content"/>
        </w:behaviors>
        <w:description w:val=""/>
        <w:guid w:val="{277e0581-952c-4a9a-8c72-32bbd9cd544e}"/>
      </w:docPartPr>
      <w:docPartBody>
        <w:p>
          <w:r>
            <w:rPr>
              <w:color w:val="808080"/>
            </w:rPr>
            <w:t>单击此处输入文字。</w:t>
          </w:r>
        </w:p>
      </w:docPartBody>
    </w:docPart>
    <w:docPart>
      <w:docPartPr>
        <w:name w:val="{b438ef7a-1807-48ac-a695-2a07f42f18b0}"/>
        <w:style w:val=""/>
        <w:category>
          <w:name w:val="常规"/>
          <w:gallery w:val="placeholder"/>
        </w:category>
        <w:types>
          <w:type w:val="bbPlcHdr"/>
        </w:types>
        <w:behaviors>
          <w:behavior w:val="content"/>
        </w:behaviors>
        <w:description w:val=""/>
        <w:guid w:val="{b438ef7a-1807-48ac-a695-2a07f42f18b0}"/>
      </w:docPartPr>
      <w:docPartBody>
        <w:p>
          <w:r>
            <w:rPr>
              <w:color w:val="808080"/>
            </w:rPr>
            <w:t>单击此处输入文字。</w:t>
          </w:r>
        </w:p>
      </w:docPartBody>
    </w:docPart>
    <w:docPart>
      <w:docPartPr>
        <w:name w:val="{687e622c-1687-449b-b70e-27145f556f9b}"/>
        <w:style w:val=""/>
        <w:category>
          <w:name w:val="常规"/>
          <w:gallery w:val="placeholder"/>
        </w:category>
        <w:types>
          <w:type w:val="bbPlcHdr"/>
        </w:types>
        <w:behaviors>
          <w:behavior w:val="content"/>
        </w:behaviors>
        <w:description w:val=""/>
        <w:guid w:val="{687e622c-1687-449b-b70e-27145f556f9b}"/>
      </w:docPartPr>
      <w:docPartBody>
        <w:p>
          <w:r>
            <w:rPr>
              <w:color w:val="808080"/>
            </w:rPr>
            <w:t>单击此处输入文字。</w:t>
          </w:r>
        </w:p>
      </w:docPartBody>
    </w:docPart>
    <w:docPart>
      <w:docPartPr>
        <w:name w:val="{09ffe35f-15d8-4314-a408-cecc01a6c843}"/>
        <w:style w:val=""/>
        <w:category>
          <w:name w:val="常规"/>
          <w:gallery w:val="placeholder"/>
        </w:category>
        <w:types>
          <w:type w:val="bbPlcHdr"/>
        </w:types>
        <w:behaviors>
          <w:behavior w:val="content"/>
        </w:behaviors>
        <w:description w:val=""/>
        <w:guid w:val="{09ffe35f-15d8-4314-a408-cecc01a6c843}"/>
      </w:docPartPr>
      <w:docPartBody>
        <w:p>
          <w:r>
            <w:rPr>
              <w:color w:val="808080"/>
            </w:rPr>
            <w:t>单击此处输入文字。</w:t>
          </w:r>
        </w:p>
      </w:docPartBody>
    </w:docPart>
    <w:docPart>
      <w:docPartPr>
        <w:name w:val="{fc42ca79-13d8-448b-8eec-cfd12b5c2232}"/>
        <w:style w:val=""/>
        <w:category>
          <w:name w:val="常规"/>
          <w:gallery w:val="placeholder"/>
        </w:category>
        <w:types>
          <w:type w:val="bbPlcHdr"/>
        </w:types>
        <w:behaviors>
          <w:behavior w:val="content"/>
        </w:behaviors>
        <w:description w:val=""/>
        <w:guid w:val="{fc42ca79-13d8-448b-8eec-cfd12b5c2232}"/>
      </w:docPartPr>
      <w:docPartBody>
        <w:p>
          <w:r>
            <w:rPr>
              <w:color w:val="808080"/>
            </w:rPr>
            <w:t>单击此处输入文字。</w:t>
          </w:r>
        </w:p>
      </w:docPartBody>
    </w:docPart>
    <w:docPart>
      <w:docPartPr>
        <w:name w:val="{2995f50c-a1a5-4c80-9b04-b6b0e4584975}"/>
        <w:style w:val=""/>
        <w:category>
          <w:name w:val="常规"/>
          <w:gallery w:val="placeholder"/>
        </w:category>
        <w:types>
          <w:type w:val="bbPlcHdr"/>
        </w:types>
        <w:behaviors>
          <w:behavior w:val="content"/>
        </w:behaviors>
        <w:description w:val=""/>
        <w:guid w:val="{2995f50c-a1a5-4c80-9b04-b6b0e4584975}"/>
      </w:docPartPr>
      <w:docPartBody>
        <w:p>
          <w:r>
            <w:rPr>
              <w:color w:val="808080"/>
            </w:rPr>
            <w:t>单击此处输入文字。</w:t>
          </w:r>
        </w:p>
      </w:docPartBody>
    </w:docPart>
    <w:docPart>
      <w:docPartPr>
        <w:name w:val="{d0b6e1fc-80b2-4353-a849-aca71f8d8d8b}"/>
        <w:style w:val=""/>
        <w:category>
          <w:name w:val="常规"/>
          <w:gallery w:val="placeholder"/>
        </w:category>
        <w:types>
          <w:type w:val="bbPlcHdr"/>
        </w:types>
        <w:behaviors>
          <w:behavior w:val="content"/>
        </w:behaviors>
        <w:description w:val=""/>
        <w:guid w:val="{d0b6e1fc-80b2-4353-a849-aca71f8d8d8b}"/>
      </w:docPartPr>
      <w:docPartBody>
        <w:p>
          <w:r>
            <w:rPr>
              <w:color w:val="808080"/>
            </w:rPr>
            <w:t>单击此处输入文字。</w:t>
          </w:r>
        </w:p>
      </w:docPartBody>
    </w:docPart>
    <w:docPart>
      <w:docPartPr>
        <w:name w:val="{95a14886-5a14-4bd5-9241-900febe2cb6c}"/>
        <w:style w:val=""/>
        <w:category>
          <w:name w:val="常规"/>
          <w:gallery w:val="placeholder"/>
        </w:category>
        <w:types>
          <w:type w:val="bbPlcHdr"/>
        </w:types>
        <w:behaviors>
          <w:behavior w:val="content"/>
        </w:behaviors>
        <w:description w:val=""/>
        <w:guid w:val="{95a14886-5a14-4bd5-9241-900febe2cb6c}"/>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66</Pages>
  <Words>23086</Words>
  <Characters>24466</Characters>
  <Lines>0</Lines>
  <Paragraphs>0</Paragraphs>
  <TotalTime>1</TotalTime>
  <ScaleCrop>false</ScaleCrop>
  <LinksUpToDate>false</LinksUpToDate>
  <CharactersWithSpaces>24611</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2022-06-08T22:09:00Z</dcterms:created>
  <dc:creator>ZH</dc:creator>
  <cp:lastModifiedBy>user</cp:lastModifiedBy>
  <cp:lastPrinted>2022-06-08T22:53:00Z</cp:lastPrinted>
  <dcterms:modified xsi:type="dcterms:W3CDTF">2022-11-11T11:26:30Z</dcterms:modified>
  <dc:title>2020年度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21AE372A1FDB40F8A6D0A6D62605093C</vt:lpwstr>
  </property>
</Properties>
</file>