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88C" w:rsidRPr="00C61D69" w:rsidRDefault="00D9188C" w:rsidP="00C61D69">
      <w:pPr>
        <w:spacing w:line="560" w:lineRule="exact"/>
        <w:rPr>
          <w:rFonts w:ascii="黑体" w:eastAsia="黑体" w:hAnsi="黑体"/>
          <w:b/>
          <w:sz w:val="32"/>
          <w:szCs w:val="32"/>
        </w:rPr>
      </w:pPr>
      <w:r w:rsidRPr="00C61D69">
        <w:rPr>
          <w:rFonts w:ascii="黑体" w:eastAsia="黑体" w:hAnsi="黑体" w:hint="eastAsia"/>
          <w:b/>
          <w:sz w:val="32"/>
          <w:szCs w:val="32"/>
        </w:rPr>
        <w:t>附件</w:t>
      </w:r>
    </w:p>
    <w:p w:rsidR="00D9188C" w:rsidRDefault="00D9188C" w:rsidP="00C61D69">
      <w:pPr>
        <w:spacing w:line="56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p w:rsidR="00D9188C" w:rsidRPr="00C61D69" w:rsidRDefault="00D9188C" w:rsidP="00C61D69">
      <w:pPr>
        <w:spacing w:line="560" w:lineRule="exact"/>
        <w:jc w:val="center"/>
        <w:rPr>
          <w:rFonts w:ascii="方正小标宋简体" w:eastAsia="方正小标宋简体" w:cs="宋体"/>
          <w:b/>
          <w:bCs/>
          <w:sz w:val="44"/>
          <w:szCs w:val="44"/>
        </w:rPr>
      </w:pPr>
      <w:r w:rsidRPr="00C61D69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商务部关于“十四五”时期促进酒类流通</w:t>
      </w:r>
    </w:p>
    <w:p w:rsidR="00D9188C" w:rsidRPr="00C61D69" w:rsidRDefault="00D9188C" w:rsidP="00C61D69">
      <w:pPr>
        <w:spacing w:line="560" w:lineRule="exact"/>
        <w:jc w:val="center"/>
        <w:rPr>
          <w:rFonts w:ascii="方正小标宋简体" w:eastAsia="方正小标宋简体" w:cs="宋体"/>
          <w:b/>
          <w:bCs/>
          <w:sz w:val="44"/>
          <w:szCs w:val="44"/>
        </w:rPr>
      </w:pPr>
      <w:r w:rsidRPr="00C61D69">
        <w:rPr>
          <w:rFonts w:ascii="方正小标宋简体" w:eastAsia="方正小标宋简体" w:hAnsi="宋体" w:cs="宋体" w:hint="eastAsia"/>
          <w:b/>
          <w:bCs/>
          <w:sz w:val="44"/>
          <w:szCs w:val="44"/>
        </w:rPr>
        <w:t>健康发展的指导意见</w:t>
      </w:r>
    </w:p>
    <w:p w:rsidR="00D9188C" w:rsidRPr="00C61D69" w:rsidRDefault="00D9188C" w:rsidP="00C61D69">
      <w:pPr>
        <w:pStyle w:val="a5"/>
        <w:widowControl/>
        <w:spacing w:before="0" w:beforeAutospacing="0" w:after="0" w:afterAutospacing="0" w:line="560" w:lineRule="exact"/>
        <w:jc w:val="center"/>
        <w:rPr>
          <w:rFonts w:ascii="楷体_GB2312" w:eastAsia="楷体_GB2312" w:hAnsi="??"/>
          <w:b/>
          <w:bCs/>
          <w:kern w:val="2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kern w:val="2"/>
          <w:sz w:val="32"/>
          <w:szCs w:val="32"/>
        </w:rPr>
        <w:t>（征求意见稿）</w:t>
      </w:r>
    </w:p>
    <w:p w:rsidR="00D9188C" w:rsidRDefault="00D9188C" w:rsidP="00C61D69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color w:val="000000"/>
          <w:sz w:val="32"/>
          <w:szCs w:val="32"/>
        </w:rPr>
      </w:pPr>
    </w:p>
    <w:p w:rsidR="00D9188C" w:rsidRDefault="00D9188C" w:rsidP="00C61D69">
      <w:pPr>
        <w:pStyle w:val="a5"/>
        <w:widowControl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为加强酒类流通管理，推动行业发展，根据《中华人民共和国国民经济和社会发展第十四个五年规划和</w:t>
      </w:r>
      <w:r>
        <w:rPr>
          <w:rFonts w:ascii="仿宋_GB2312" w:eastAsia="仿宋_GB2312" w:hAnsi="仿宋_GB2312" w:cs="仿宋_GB2312"/>
          <w:sz w:val="32"/>
          <w:szCs w:val="32"/>
        </w:rPr>
        <w:t>2035</w:t>
      </w:r>
      <w:r>
        <w:rPr>
          <w:rFonts w:ascii="仿宋_GB2312" w:eastAsia="仿宋_GB2312" w:hAnsi="仿宋_GB2312" w:cs="仿宋_GB2312" w:hint="eastAsia"/>
          <w:sz w:val="32"/>
          <w:szCs w:val="32"/>
        </w:rPr>
        <w:t>年远景目标纲要》，现就“十四五”时期酒类流通发展提出如下意见。</w:t>
      </w:r>
    </w:p>
    <w:p w:rsidR="00D9188C" w:rsidRDefault="00D9188C" w:rsidP="00C61D6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一、总体要求</w:t>
      </w:r>
    </w:p>
    <w:p w:rsidR="00D9188C" w:rsidRPr="00C61D69" w:rsidRDefault="00D9188C" w:rsidP="00C61D69">
      <w:pPr>
        <w:spacing w:line="560" w:lineRule="exact"/>
        <w:ind w:firstLineChars="200" w:firstLine="643"/>
        <w:rPr>
          <w:rFonts w:ascii="楷体_GB2312" w:eastAsia="楷体_GB2312" w:hAnsi="??"/>
          <w:b/>
          <w:bCs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（一）指导思想</w:t>
      </w:r>
    </w:p>
    <w:p w:rsidR="00D9188C" w:rsidRDefault="00D9188C" w:rsidP="00C61D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以习近平新时代中国特色社会主义思想为指导，深入贯彻党的十九大和十九届二中、三中、四中、五中全会精神，立足新发展阶段，贯彻新发展理念，构建新发展格局，认真落实《国民经济和社会发展第十四个五年规划和</w:t>
      </w:r>
      <w:r>
        <w:rPr>
          <w:rFonts w:ascii="仿宋_GB2312" w:eastAsia="仿宋_GB2312" w:hAnsi="仿宋_GB2312" w:cs="仿宋_GB2312"/>
          <w:sz w:val="32"/>
          <w:szCs w:val="32"/>
        </w:rPr>
        <w:t xml:space="preserve"> 2035 </w:t>
      </w:r>
      <w:r>
        <w:rPr>
          <w:rFonts w:ascii="仿宋_GB2312" w:eastAsia="仿宋_GB2312" w:hAnsi="仿宋_GB2312" w:cs="仿宋_GB2312" w:hint="eastAsia"/>
          <w:sz w:val="32"/>
          <w:szCs w:val="32"/>
        </w:rPr>
        <w:t>年远景目标纲要》《国内贸易流通“十四五”发展规划》的总体要求，以满足人民日益增长的美好生活需要为根本目的，以改革创新为根本动力，大力推进现代酒类流通体系建设，畅通国内国际双循环，着力提升流通效能，优化营商环境，推动促进酒类流通行业高质量发展。</w:t>
      </w:r>
    </w:p>
    <w:p w:rsidR="00D9188C" w:rsidRPr="00C61D69" w:rsidRDefault="00D9188C" w:rsidP="00C61D69">
      <w:pPr>
        <w:spacing w:line="560" w:lineRule="exact"/>
        <w:ind w:firstLineChars="200" w:firstLine="643"/>
        <w:rPr>
          <w:rFonts w:ascii="楷体_GB2312" w:eastAsia="楷体_GB2312" w:hAnsi="??"/>
          <w:b/>
          <w:bCs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（二）基本原则</w:t>
      </w:r>
    </w:p>
    <w:p w:rsidR="00D9188C" w:rsidRDefault="00D9188C" w:rsidP="00C61D69">
      <w:pPr>
        <w:spacing w:line="560" w:lineRule="exact"/>
        <w:ind w:firstLineChars="200" w:firstLine="640"/>
        <w:rPr>
          <w:rFonts w:ascii="仿宋_GB2312" w:eastAsia="仿宋_GB2312" w:hAnsi="仿宋_GB2312" w:cs="仿宋_GB2312"/>
          <w:b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坚持创新发展。以创新为驱动力，推进酒类流通的数字化、智能化改造，促进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模式创新、业态创新、管理创新、制度创新，</w:t>
      </w:r>
      <w:r>
        <w:rPr>
          <w:rFonts w:ascii="仿宋_GB2312" w:eastAsia="仿宋_GB2312" w:hAnsi="仿宋_GB2312" w:cs="仿宋_GB2312" w:hint="eastAsia"/>
          <w:sz w:val="32"/>
          <w:szCs w:val="32"/>
        </w:rPr>
        <w:t>高标准建设现代化酒类流通体系。</w:t>
      </w:r>
    </w:p>
    <w:p w:rsidR="00D9188C" w:rsidRDefault="00D9188C" w:rsidP="00C61D69">
      <w:pPr>
        <w:spacing w:line="560" w:lineRule="exact"/>
        <w:ind w:firstLineChars="200" w:firstLine="643"/>
        <w:rPr>
          <w:rFonts w:ascii="??" w:eastAsia="Times New Roman" w:hAnsi="??"/>
          <w:b/>
          <w:bCs/>
          <w:sz w:val="32"/>
          <w:szCs w:val="32"/>
        </w:rPr>
        <w:sectPr w:rsidR="00D9188C" w:rsidSect="00C61D69">
          <w:footerReference w:type="default" r:id="rId6"/>
          <w:pgSz w:w="11906" w:h="16838" w:code="9"/>
          <w:pgMar w:top="2098" w:right="1474" w:bottom="1814" w:left="1588" w:header="851" w:footer="1247" w:gutter="0"/>
          <w:cols w:space="720"/>
          <w:docGrid w:type="lines" w:linePitch="312"/>
        </w:sectPr>
      </w:pPr>
    </w:p>
    <w:p w:rsidR="00D9188C" w:rsidRDefault="00D9188C" w:rsidP="00C61D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坚持融合发展。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充分发挥酒类流通对生产和消费的引导作用，提升流通环节的质量和效率，</w:t>
      </w:r>
      <w:r>
        <w:rPr>
          <w:rFonts w:ascii="仿宋_GB2312" w:eastAsia="仿宋_GB2312" w:hAnsi="仿宋_GB2312" w:cs="仿宋_GB2312" w:hint="eastAsia"/>
          <w:sz w:val="32"/>
          <w:szCs w:val="32"/>
        </w:rPr>
        <w:t>推动酒类流通行业与文化、旅游等相关产业跨界融合。</w:t>
      </w:r>
    </w:p>
    <w:p w:rsidR="00D9188C" w:rsidRDefault="00D9188C" w:rsidP="00C61D69">
      <w:pPr>
        <w:widowControl/>
        <w:spacing w:line="560" w:lineRule="exact"/>
        <w:ind w:firstLineChars="200" w:firstLine="640"/>
        <w:jc w:val="left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坚持安全发展。统筹安全和发展，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建立健全酒类</w:t>
      </w:r>
      <w:r>
        <w:rPr>
          <w:rFonts w:ascii="仿宋_GB2312" w:eastAsia="仿宋_GB2312" w:hAnsi="仿宋_GB2312" w:cs="仿宋_GB2312" w:hint="eastAsia"/>
          <w:sz w:val="32"/>
          <w:szCs w:val="32"/>
        </w:rPr>
        <w:t>流通安全体系，加强对酒类流通企业分类指导，充分发挥政策的激励引导和保障支持作用。</w:t>
      </w:r>
    </w:p>
    <w:p w:rsidR="00D9188C" w:rsidRPr="00C61D69" w:rsidRDefault="00D9188C" w:rsidP="00C61D69">
      <w:pPr>
        <w:spacing w:line="560" w:lineRule="exact"/>
        <w:ind w:firstLineChars="200" w:firstLine="643"/>
        <w:rPr>
          <w:rFonts w:ascii="楷体_GB2312" w:eastAsia="楷体_GB2312" w:hAnsi="??"/>
          <w:b/>
          <w:bCs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（三）主要目标</w:t>
      </w:r>
    </w:p>
    <w:p w:rsidR="00D9188C" w:rsidRDefault="00D9188C" w:rsidP="00C61D69">
      <w:pPr>
        <w:spacing w:line="56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到</w:t>
      </w:r>
      <w:r>
        <w:rPr>
          <w:rFonts w:ascii="仿宋_GB2312" w:eastAsia="仿宋_GB2312" w:hAnsi="仿宋_GB2312" w:cs="仿宋_GB2312"/>
          <w:sz w:val="32"/>
          <w:szCs w:val="32"/>
        </w:rPr>
        <w:t>2025</w:t>
      </w:r>
      <w:r>
        <w:rPr>
          <w:rFonts w:ascii="仿宋_GB2312" w:eastAsia="仿宋_GB2312" w:hAnsi="仿宋_GB2312" w:cs="仿宋_GB2312" w:hint="eastAsia"/>
          <w:sz w:val="32"/>
          <w:szCs w:val="32"/>
        </w:rPr>
        <w:t>年，基本建成规模化发展、连锁化运营、标准化引领，多渠道、多业态、多层次、多场景、全覆盖的酒类流通新格局。基本形成依法经营、公平竞争、放心安全、绿色科学的酒类流通发展环境。培育千亿级酒类流通企业</w:t>
      </w:r>
      <w:r>
        <w:rPr>
          <w:rFonts w:ascii="仿宋_GB2312" w:eastAsia="仿宋_GB2312" w:hAnsi="仿宋_GB2312" w:cs="仿宋_GB2312"/>
          <w:sz w:val="32"/>
          <w:szCs w:val="32"/>
        </w:rPr>
        <w:t>1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家，百亿级酒类流通企业</w:t>
      </w:r>
      <w:r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家，</w:t>
      </w:r>
      <w:r>
        <w:rPr>
          <w:rFonts w:ascii="仿宋_GB2312" w:eastAsia="仿宋_GB2312" w:hAnsi="仿宋_GB2312" w:cs="仿宋_GB2312"/>
          <w:sz w:val="32"/>
          <w:szCs w:val="32"/>
        </w:rPr>
        <w:t>50</w:t>
      </w:r>
      <w:r>
        <w:rPr>
          <w:rFonts w:ascii="仿宋_GB2312" w:eastAsia="仿宋_GB2312" w:hAnsi="仿宋_GB2312" w:cs="仿宋_GB2312" w:hint="eastAsia"/>
          <w:sz w:val="32"/>
          <w:szCs w:val="32"/>
        </w:rPr>
        <w:t>亿级酒类流通企业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家。酒类流通连锁化率、城市配送比例大幅提升。</w:t>
      </w:r>
    </w:p>
    <w:p w:rsidR="00D9188C" w:rsidRDefault="00D9188C" w:rsidP="00C61D6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二、主要任务</w:t>
      </w:r>
    </w:p>
    <w:p w:rsidR="00D9188C" w:rsidRDefault="00D9188C" w:rsidP="00C61D6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  <w:shd w:val="clear" w:color="auto" w:fill="FFFFFF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（一）优化行业结构。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支持大型酒类流通企业跨区域发展，鼓励中小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微流通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商户转型创新，鼓励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酒类电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商企业多形式整合市场资源，推动全国性酒类连锁品牌建设，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培育更多知名酒类流通品牌企业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。鼓励酒类流通渠道扁平化发展，提升流通效率降低流通成本，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适应酒类市场大众消费、个性消费、理性消费的趋势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D9188C" w:rsidRDefault="00D9188C" w:rsidP="00C61D69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（二）推动数字化转型。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顺应商业变革和消费升级趋势，鼓励酒类流通企业运用大数据、云计算、移动互联网等现代信息技术，形成更多流通新平台、新业态、新模式。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加快酒类流通行业供应链数字化智能化升级。</w:t>
      </w:r>
    </w:p>
    <w:p w:rsidR="00D9188C" w:rsidRDefault="00D9188C" w:rsidP="00C61D69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lastRenderedPageBreak/>
        <w:t>（三）促进流通模式创新。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加强线上平台建设，鼓励发展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社区电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商、社交电商、直播电商等新业态。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引导大型流通企业以数据赋能生产企业，培育定制消费、时尚消费等商业新模式。促进商旅文等跨界融合，加强线下体验消费，打造个性化酒类消费场景，满足不同人群酒类消费升级的需要。打造一批适应商业步行街、国际消费中心城市等新商业氛围的品牌示范店。</w:t>
      </w:r>
    </w:p>
    <w:p w:rsidR="00D9188C" w:rsidRDefault="00D9188C" w:rsidP="00C61D69">
      <w:pPr>
        <w:widowControl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（四）提升品牌引领能力。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加强生产、流通、消费要素协同，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引导酒类生产企业完善酒类品种、品质、品牌供给。</w:t>
      </w:r>
      <w:r>
        <w:rPr>
          <w:rFonts w:ascii="仿宋_GB2312" w:eastAsia="仿宋_GB2312" w:hAnsi="仿宋_GB2312" w:cs="仿宋_GB2312" w:hint="eastAsia"/>
          <w:sz w:val="32"/>
          <w:szCs w:val="32"/>
        </w:rPr>
        <w:t>加强酒类流通品牌的培育，推进酒类品牌建设工程，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畅通地区特色酒类商品流通。</w:t>
      </w:r>
      <w:r>
        <w:rPr>
          <w:rFonts w:ascii="仿宋_GB2312" w:eastAsia="仿宋_GB2312" w:hAnsi="仿宋_GB2312" w:cs="仿宋_GB2312" w:hint="eastAsia"/>
          <w:sz w:val="32"/>
          <w:szCs w:val="32"/>
        </w:rPr>
        <w:t>支持品牌企业上市发展，形成一批高效专业、覆盖面广、影响力大、放心安全的酒类流通品牌企业集群。</w:t>
      </w:r>
    </w:p>
    <w:p w:rsidR="00D9188C" w:rsidRDefault="00D9188C" w:rsidP="00C61D69">
      <w:pPr>
        <w:pStyle w:val="1"/>
        <w:spacing w:line="560" w:lineRule="exact"/>
        <w:ind w:firstLineChars="250" w:firstLine="803"/>
        <w:rPr>
          <w:rFonts w:ascii="仿宋_GB2312" w:eastAsia="仿宋_GB2312" w:hAnsi="仿宋_GB2312" w:cs="仿宋_GB2312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（五）积极开拓国际市场。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优化国际市场布局，扩大与“一带一路”沿线国家贸易规模，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依托进博会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、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消博会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等大型国际展会，以及酒类特色小镇等平台，促进内外贸、产供销协调发展。鼓励酒类企业“走出去”拓展国际市场，推动境外商品采购、营销推广、售后服务和仓储物流网络建设。</w:t>
      </w:r>
    </w:p>
    <w:p w:rsidR="00D9188C" w:rsidRDefault="00D9188C" w:rsidP="00C61D69">
      <w:pPr>
        <w:pStyle w:val="1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  <w:shd w:val="clear" w:color="auto" w:fill="FFFFFF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（六）优化市场流通环境。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强化行业信用体系建设，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强化酒类流通企业守法经营自律意识。充分发挥行业协会作用，配合相关部门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打击销售假冒伪劣酒类商品等违法侵权行为，加大农村和城乡结合部市场治理力度，营造良好营商环境。</w:t>
      </w:r>
    </w:p>
    <w:p w:rsidR="00D9188C" w:rsidRDefault="00D9188C" w:rsidP="00C61D69">
      <w:pPr>
        <w:pStyle w:val="1"/>
        <w:spacing w:line="560" w:lineRule="exact"/>
        <w:ind w:firstLineChars="200" w:firstLine="643"/>
        <w:rPr>
          <w:rFonts w:ascii="仿宋_GB2312" w:eastAsia="仿宋_GB2312" w:hAnsi="仿宋_GB2312" w:cs="仿宋_GB2312"/>
          <w:kern w:val="0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（七）引导科学理性消费。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支持开展“科学饮酒、理性饮酒、文明饮酒”主题宣传活动，普及酒类商品知识，增强健康理性消费意识。督促酒类流通企业履行社会责任，严格执行禁止向未成</w:t>
      </w:r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lastRenderedPageBreak/>
        <w:t>年人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群销售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  <w:shd w:val="clear" w:color="auto" w:fill="FFFFFF"/>
        </w:rPr>
        <w:t>酒类商品的相关规定，积极配合执法部门监管。倡导厉行节约，反对浪费，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践行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  <w:shd w:val="clear" w:color="auto" w:fill="FFFFFF"/>
        </w:rPr>
        <w:t>绿色健康的生活方式、涵养简约文明的饮食文化。</w:t>
      </w:r>
    </w:p>
    <w:p w:rsidR="00D9188C" w:rsidRDefault="00D9188C" w:rsidP="00C61D69">
      <w:pPr>
        <w:spacing w:line="56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三、保障措施</w:t>
      </w:r>
    </w:p>
    <w:p w:rsidR="00D9188C" w:rsidRDefault="00D9188C" w:rsidP="00C61D6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（一）加强组织领导。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商务主管部门要主动适应形势，切实转变观念，创新管理方式，认真履行酒类流通管理职责。根据本指导意见和地方实际，安排部署本地区“十四五”酒类流通管理工作。加强部门协作，形成酒类流通管理合力。</w:t>
      </w:r>
    </w:p>
    <w:p w:rsidR="00D9188C" w:rsidRDefault="00D9188C" w:rsidP="00C61D6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（二）强化标准建设。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商务主管部门要指导行业协会、商会、酒类标准化组织，建立健全酒类流通标准化体系，夯实行业基础，支撑行业高质量发展。引导行业与企业积极参与国际标准制定，推进酒类流通领域相关标准与国际标准对接，提升技术、产品和服务相关标准的国际化程度。</w:t>
      </w:r>
    </w:p>
    <w:p w:rsidR="00D9188C" w:rsidRDefault="00D9188C" w:rsidP="00C61D69">
      <w:pPr>
        <w:spacing w:line="560" w:lineRule="exact"/>
        <w:ind w:firstLineChars="200" w:firstLine="643"/>
        <w:rPr>
          <w:rFonts w:ascii="仿宋_GB2312" w:eastAsia="仿宋_GB2312" w:hAnsi="仿宋_GB2312" w:cs="仿宋_GB2312"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（三）加大政策指导。</w:t>
      </w:r>
      <w:r>
        <w:rPr>
          <w:rFonts w:ascii="仿宋_GB2312" w:eastAsia="仿宋_GB2312" w:hAnsi="仿宋_GB2312" w:cs="仿宋_GB2312" w:hint="eastAsia"/>
          <w:sz w:val="32"/>
          <w:szCs w:val="32"/>
        </w:rPr>
        <w:t>各地商务主管部门要注重示范引领，通过试点示范等方式，鼓励骨干企业先行先试。充分发挥龙头企业对行业的带动作用，促进产销两端衔接。加强经验总结和推广，形成更多可推广、可复制的政策工具包。</w:t>
      </w:r>
    </w:p>
    <w:p w:rsidR="00D9188C" w:rsidRDefault="00D9188C" w:rsidP="00C61D69">
      <w:pPr>
        <w:spacing w:line="560" w:lineRule="exact"/>
        <w:ind w:firstLineChars="200" w:firstLine="643"/>
        <w:rPr>
          <w:rFonts w:ascii="仿宋_GB2312" w:eastAsia="仿宋_GB2312" w:hAnsi="仿宋_GB2312" w:cs="仿宋_GB2312"/>
          <w:b/>
          <w:bCs/>
          <w:sz w:val="32"/>
          <w:szCs w:val="32"/>
        </w:rPr>
      </w:pP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（四）</w:t>
      </w:r>
      <w:r w:rsidRPr="00C61D69">
        <w:rPr>
          <w:rFonts w:ascii="楷体_GB2312" w:eastAsia="楷体_GB2312" w:hAnsi="宋体" w:cs="宋体" w:hint="eastAsia"/>
          <w:b/>
          <w:bCs/>
          <w:sz w:val="32"/>
          <w:szCs w:val="32"/>
        </w:rPr>
        <w:t>发挥协</w:t>
      </w:r>
      <w:r w:rsidRPr="00C61D69">
        <w:rPr>
          <w:rFonts w:ascii="楷体_GB2312" w:eastAsia="楷体_GB2312" w:hAnsi="??" w:hint="eastAsia"/>
          <w:b/>
          <w:bCs/>
          <w:sz w:val="32"/>
          <w:szCs w:val="32"/>
        </w:rPr>
        <w:t>会作用。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支持行业协会在行业统计、市场分析、趋势研究、消费培育、咨询服务等方面发挥积极作用。加大专业性技术人才的培养力度，支持行业协会与院校合作创建酒类流通专业人才培训基地。</w:t>
      </w:r>
    </w:p>
    <w:p w:rsidR="00D9188C" w:rsidRDefault="00D9188C" w:rsidP="00C61D69">
      <w:pPr>
        <w:spacing w:line="560" w:lineRule="exact"/>
        <w:rPr>
          <w:rFonts w:ascii="Times New Roman" w:eastAsia="方正仿宋_GBK" w:hAnsi="Times New Roman"/>
          <w:color w:val="000000"/>
          <w:sz w:val="32"/>
          <w:szCs w:val="32"/>
        </w:rPr>
      </w:pPr>
    </w:p>
    <w:sectPr w:rsidR="00D9188C" w:rsidSect="00C61D69">
      <w:footerReference w:type="default" r:id="rId7"/>
      <w:pgSz w:w="11906" w:h="16838" w:code="9"/>
      <w:pgMar w:top="2098" w:right="1474" w:bottom="1814" w:left="1588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0F9B" w:rsidRDefault="00DF0F9B" w:rsidP="0059305D">
      <w:r>
        <w:separator/>
      </w:r>
    </w:p>
  </w:endnote>
  <w:endnote w:type="continuationSeparator" w:id="0">
    <w:p w:rsidR="00DF0F9B" w:rsidRDefault="00DF0F9B" w:rsidP="005930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??">
    <w:altName w:val="MS Gothic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8C" w:rsidRPr="00C61D69" w:rsidRDefault="00D9188C" w:rsidP="00E276F6">
    <w:pPr>
      <w:pStyle w:val="a3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C61D69">
      <w:rPr>
        <w:rStyle w:val="a6"/>
        <w:rFonts w:ascii="宋体" w:hAnsi="宋体"/>
        <w:sz w:val="28"/>
        <w:szCs w:val="28"/>
      </w:rPr>
      <w:t xml:space="preserve">— </w:t>
    </w:r>
    <w:r w:rsidR="003C4EB4" w:rsidRPr="00C61D69">
      <w:rPr>
        <w:rStyle w:val="a6"/>
        <w:rFonts w:ascii="宋体" w:hAnsi="宋体"/>
        <w:sz w:val="28"/>
        <w:szCs w:val="28"/>
      </w:rPr>
      <w:fldChar w:fldCharType="begin"/>
    </w:r>
    <w:r w:rsidRPr="00C61D69">
      <w:rPr>
        <w:rStyle w:val="a6"/>
        <w:rFonts w:ascii="宋体" w:hAnsi="宋体"/>
        <w:sz w:val="28"/>
        <w:szCs w:val="28"/>
      </w:rPr>
      <w:instrText xml:space="preserve">PAGE  </w:instrText>
    </w:r>
    <w:r w:rsidR="003C4EB4" w:rsidRPr="00C61D69">
      <w:rPr>
        <w:rStyle w:val="a6"/>
        <w:rFonts w:ascii="宋体" w:hAnsi="宋体"/>
        <w:sz w:val="28"/>
        <w:szCs w:val="28"/>
      </w:rPr>
      <w:fldChar w:fldCharType="separate"/>
    </w:r>
    <w:r w:rsidR="00241364">
      <w:rPr>
        <w:rStyle w:val="a6"/>
        <w:rFonts w:ascii="宋体" w:hAnsi="宋体"/>
        <w:noProof/>
        <w:sz w:val="28"/>
        <w:szCs w:val="28"/>
      </w:rPr>
      <w:t>1</w:t>
    </w:r>
    <w:r w:rsidR="003C4EB4" w:rsidRPr="00C61D69">
      <w:rPr>
        <w:rStyle w:val="a6"/>
        <w:rFonts w:ascii="宋体" w:hAnsi="宋体"/>
        <w:sz w:val="28"/>
        <w:szCs w:val="28"/>
      </w:rPr>
      <w:fldChar w:fldCharType="end"/>
    </w:r>
    <w:r w:rsidRPr="00C61D69">
      <w:rPr>
        <w:rStyle w:val="a6"/>
        <w:rFonts w:ascii="宋体" w:hAnsi="宋体"/>
        <w:sz w:val="28"/>
        <w:szCs w:val="28"/>
      </w:rPr>
      <w:t xml:space="preserve"> —</w:t>
    </w:r>
  </w:p>
  <w:p w:rsidR="00D9188C" w:rsidRDefault="00D9188C" w:rsidP="00C61D69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188C" w:rsidRPr="00C61D69" w:rsidRDefault="00D9188C" w:rsidP="00E276F6">
    <w:pPr>
      <w:pStyle w:val="a3"/>
      <w:framePr w:wrap="around" w:vAnchor="text" w:hAnchor="margin" w:xAlign="outside" w:y="1"/>
      <w:rPr>
        <w:rStyle w:val="a6"/>
        <w:rFonts w:ascii="宋体"/>
        <w:sz w:val="28"/>
        <w:szCs w:val="28"/>
      </w:rPr>
    </w:pPr>
    <w:r w:rsidRPr="00C61D69">
      <w:rPr>
        <w:rStyle w:val="a6"/>
        <w:rFonts w:ascii="宋体" w:hAnsi="宋体"/>
        <w:sz w:val="28"/>
        <w:szCs w:val="28"/>
      </w:rPr>
      <w:t xml:space="preserve">— </w:t>
    </w:r>
    <w:r w:rsidR="003C4EB4" w:rsidRPr="00C61D69">
      <w:rPr>
        <w:rStyle w:val="a6"/>
        <w:rFonts w:ascii="宋体" w:hAnsi="宋体"/>
        <w:sz w:val="28"/>
        <w:szCs w:val="28"/>
      </w:rPr>
      <w:fldChar w:fldCharType="begin"/>
    </w:r>
    <w:r w:rsidRPr="00C61D69">
      <w:rPr>
        <w:rStyle w:val="a6"/>
        <w:rFonts w:ascii="宋体" w:hAnsi="宋体"/>
        <w:sz w:val="28"/>
        <w:szCs w:val="28"/>
      </w:rPr>
      <w:instrText xml:space="preserve">PAGE  </w:instrText>
    </w:r>
    <w:r w:rsidR="003C4EB4" w:rsidRPr="00C61D69">
      <w:rPr>
        <w:rStyle w:val="a6"/>
        <w:rFonts w:ascii="宋体" w:hAnsi="宋体"/>
        <w:sz w:val="28"/>
        <w:szCs w:val="28"/>
      </w:rPr>
      <w:fldChar w:fldCharType="separate"/>
    </w:r>
    <w:r w:rsidR="00241364">
      <w:rPr>
        <w:rStyle w:val="a6"/>
        <w:rFonts w:ascii="宋体" w:hAnsi="宋体"/>
        <w:noProof/>
        <w:sz w:val="28"/>
        <w:szCs w:val="28"/>
      </w:rPr>
      <w:t>2</w:t>
    </w:r>
    <w:r w:rsidR="003C4EB4" w:rsidRPr="00C61D69">
      <w:rPr>
        <w:rStyle w:val="a6"/>
        <w:rFonts w:ascii="宋体" w:hAnsi="宋体"/>
        <w:sz w:val="28"/>
        <w:szCs w:val="28"/>
      </w:rPr>
      <w:fldChar w:fldCharType="end"/>
    </w:r>
    <w:r w:rsidRPr="00C61D69">
      <w:rPr>
        <w:rStyle w:val="a6"/>
        <w:rFonts w:ascii="宋体" w:hAnsi="宋体"/>
        <w:sz w:val="28"/>
        <w:szCs w:val="28"/>
      </w:rPr>
      <w:t xml:space="preserve"> —</w:t>
    </w:r>
  </w:p>
  <w:p w:rsidR="00D9188C" w:rsidRDefault="00D9188C" w:rsidP="00C61D69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0F9B" w:rsidRDefault="00DF0F9B" w:rsidP="0059305D">
      <w:r>
        <w:separator/>
      </w:r>
    </w:p>
  </w:footnote>
  <w:footnote w:type="continuationSeparator" w:id="0">
    <w:p w:rsidR="00DF0F9B" w:rsidRDefault="00DF0F9B" w:rsidP="005930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9305D"/>
    <w:rsid w:val="BDCA40BF"/>
    <w:rsid w:val="BEF51670"/>
    <w:rsid w:val="CAEB20D9"/>
    <w:rsid w:val="CCEED251"/>
    <w:rsid w:val="DDFFB2A0"/>
    <w:rsid w:val="DFFFD6E8"/>
    <w:rsid w:val="ECDCDAC9"/>
    <w:rsid w:val="EF2FBA01"/>
    <w:rsid w:val="FBA4AAEE"/>
    <w:rsid w:val="FC2C1F97"/>
    <w:rsid w:val="FF7F5688"/>
    <w:rsid w:val="FFF71BDC"/>
    <w:rsid w:val="00241364"/>
    <w:rsid w:val="00351A24"/>
    <w:rsid w:val="003C4EB4"/>
    <w:rsid w:val="00430D1E"/>
    <w:rsid w:val="0059305D"/>
    <w:rsid w:val="00C61D69"/>
    <w:rsid w:val="00D9188C"/>
    <w:rsid w:val="00DF0F9B"/>
    <w:rsid w:val="00E276F6"/>
    <w:rsid w:val="2FF68705"/>
    <w:rsid w:val="325DE4AF"/>
    <w:rsid w:val="373E0074"/>
    <w:rsid w:val="39B549D2"/>
    <w:rsid w:val="39EB7732"/>
    <w:rsid w:val="3EAB0813"/>
    <w:rsid w:val="56BF3146"/>
    <w:rsid w:val="5EFEF4BC"/>
    <w:rsid w:val="5FD67768"/>
    <w:rsid w:val="6D9639DA"/>
    <w:rsid w:val="6EDD2DE4"/>
    <w:rsid w:val="6FBDB0F7"/>
    <w:rsid w:val="71FFCD19"/>
    <w:rsid w:val="732F2FD7"/>
    <w:rsid w:val="74FB1803"/>
    <w:rsid w:val="757D5A6E"/>
    <w:rsid w:val="7BD30DFF"/>
    <w:rsid w:val="7CFAA3DC"/>
    <w:rsid w:val="7FD10871"/>
    <w:rsid w:val="9AF3E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05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930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61CE9"/>
    <w:rPr>
      <w:sz w:val="18"/>
      <w:szCs w:val="18"/>
    </w:rPr>
  </w:style>
  <w:style w:type="paragraph" w:styleId="a4">
    <w:name w:val="header"/>
    <w:basedOn w:val="a"/>
    <w:link w:val="Char0"/>
    <w:uiPriority w:val="99"/>
    <w:rsid w:val="0059305D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0">
    <w:name w:val="页眉 Char"/>
    <w:basedOn w:val="a0"/>
    <w:link w:val="a4"/>
    <w:uiPriority w:val="99"/>
    <w:semiHidden/>
    <w:rsid w:val="00461CE9"/>
    <w:rPr>
      <w:sz w:val="18"/>
      <w:szCs w:val="18"/>
    </w:rPr>
  </w:style>
  <w:style w:type="paragraph" w:styleId="a5">
    <w:name w:val="Normal (Web)"/>
    <w:basedOn w:val="a"/>
    <w:uiPriority w:val="99"/>
    <w:rsid w:val="0059305D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a6">
    <w:name w:val="page number"/>
    <w:basedOn w:val="a0"/>
    <w:uiPriority w:val="99"/>
    <w:rsid w:val="0059305D"/>
    <w:rPr>
      <w:rFonts w:cs="Times New Roman"/>
    </w:rPr>
  </w:style>
  <w:style w:type="character" w:styleId="a7">
    <w:name w:val="Hyperlink"/>
    <w:basedOn w:val="a0"/>
    <w:uiPriority w:val="99"/>
    <w:rsid w:val="0059305D"/>
    <w:rPr>
      <w:rFonts w:cs="Times New Roman"/>
      <w:color w:val="0000FF"/>
      <w:u w:val="single"/>
    </w:rPr>
  </w:style>
  <w:style w:type="paragraph" w:customStyle="1" w:styleId="1">
    <w:name w:val="正文1"/>
    <w:uiPriority w:val="99"/>
    <w:rsid w:val="0059305D"/>
    <w:pPr>
      <w:jc w:val="both"/>
    </w:pPr>
    <w:rPr>
      <w:rFonts w:ascii="Times New Roman" w:hAnsi="Times New Roman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1104</Characters>
  <Application>Microsoft Office Word</Application>
  <DocSecurity>0</DocSecurity>
  <Lines>73</Lines>
  <Paragraphs>63</Paragraphs>
  <ScaleCrop>false</ScaleCrop>
  <Company/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冯俊兮</cp:lastModifiedBy>
  <cp:revision>2</cp:revision>
  <cp:lastPrinted>2021-09-09T17:05:00Z</cp:lastPrinted>
  <dcterms:created xsi:type="dcterms:W3CDTF">2021-09-13T06:31:00Z</dcterms:created>
  <dcterms:modified xsi:type="dcterms:W3CDTF">2021-09-13T06:31:00Z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2052-11.8.2.9793</vt:lpwstr>
  </property>
</Properties>
</file>